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A045">
      <w:pPr>
        <w:spacing w:line="240" w:lineRule="auto"/>
        <w:ind w:firstLineChars="0"/>
        <w:jc w:val="center"/>
        <w:outlineLvl w:val="1"/>
        <w:rPr>
          <w:sz w:val="32"/>
          <w:szCs w:val="32"/>
        </w:rPr>
      </w:pPr>
      <w:r>
        <w:rPr>
          <w:rFonts w:hint="eastAsia" w:ascii="黑体" w:hAnsi="黑体" w:eastAsia="黑体" w:cs="黑体"/>
          <w:b/>
          <w:bCs/>
          <w:sz w:val="32"/>
          <w:szCs w:val="32"/>
        </w:rPr>
        <w:t>系统运行维护要求</w:t>
      </w:r>
    </w:p>
    <w:p w14:paraId="49862941">
      <w:pPr>
        <w:keepNext/>
        <w:keepLines/>
        <w:tabs>
          <w:tab w:val="left" w:pos="420"/>
        </w:tabs>
        <w:spacing w:line="240" w:lineRule="auto"/>
        <w:ind w:left="567" w:firstLine="0" w:firstLineChars="0"/>
        <w:outlineLvl w:val="2"/>
        <w:rPr>
          <w:b/>
          <w:bCs/>
          <w:sz w:val="32"/>
          <w:szCs w:val="32"/>
        </w:rPr>
      </w:pPr>
      <w:r>
        <w:rPr>
          <w:rFonts w:hint="eastAsia"/>
          <w:b/>
          <w:bCs/>
          <w:sz w:val="32"/>
          <w:szCs w:val="32"/>
        </w:rPr>
        <w:t>1.</w:t>
      </w:r>
      <w:r>
        <w:rPr>
          <w:b/>
          <w:bCs/>
          <w:sz w:val="32"/>
          <w:szCs w:val="32"/>
        </w:rPr>
        <w:t>基本要求</w:t>
      </w:r>
    </w:p>
    <w:p w14:paraId="2E1182DD">
      <w:pPr>
        <w:ind w:firstLine="640"/>
        <w:rPr>
          <w:sz w:val="32"/>
          <w:szCs w:val="32"/>
        </w:rPr>
      </w:pPr>
      <w:r>
        <w:rPr>
          <w:rFonts w:hint="eastAsia"/>
          <w:sz w:val="32"/>
          <w:szCs w:val="32"/>
        </w:rPr>
        <w:t>1</w:t>
      </w:r>
      <w:r>
        <w:rPr>
          <w:sz w:val="32"/>
          <w:szCs w:val="32"/>
        </w:rPr>
        <w:t>.1</w:t>
      </w:r>
      <w:r>
        <w:rPr>
          <w:rFonts w:hint="eastAsia"/>
          <w:sz w:val="32"/>
          <w:szCs w:val="32"/>
        </w:rPr>
        <w:t>噪声自动监测系统的运行维护应满足中国环境监测总站《功能区声环境质量自动监测系统运行维护和质量控制技术要求》和HJ906附录C和本附件所列的运行维护要求。</w:t>
      </w:r>
    </w:p>
    <w:p w14:paraId="38B2A3CD">
      <w:pPr>
        <w:ind w:firstLine="640"/>
        <w:rPr>
          <w:sz w:val="32"/>
          <w:szCs w:val="32"/>
        </w:rPr>
      </w:pPr>
      <w:r>
        <w:rPr>
          <w:rFonts w:hint="eastAsia"/>
          <w:sz w:val="32"/>
          <w:szCs w:val="32"/>
        </w:rPr>
        <w:t>1.2</w:t>
      </w:r>
      <w:r>
        <w:rPr>
          <w:sz w:val="32"/>
          <w:szCs w:val="32"/>
        </w:rPr>
        <w:t>噪声自动监测系统应全年 365 天(闰年 366 天)连续运行，因仪器故障检修、量值溯源等停运超过 24 小时，须报告负责该站点管理的主管部门，48 小时内应采取有效措施恢复正常运行。需要主动停运的，须提前报负责该站点管理的主管部门批准。</w:t>
      </w:r>
    </w:p>
    <w:p w14:paraId="463E783F">
      <w:pPr>
        <w:ind w:firstLine="640"/>
        <w:rPr>
          <w:sz w:val="32"/>
          <w:szCs w:val="32"/>
        </w:rPr>
      </w:pPr>
      <w:r>
        <w:rPr>
          <w:rFonts w:hint="eastAsia"/>
          <w:sz w:val="32"/>
          <w:szCs w:val="32"/>
        </w:rPr>
        <w:t>1</w:t>
      </w:r>
      <w:r>
        <w:rPr>
          <w:sz w:val="32"/>
          <w:szCs w:val="32"/>
        </w:rPr>
        <w:t>.3除外部停电或其他不可抗拒的原因外，应保证噪声自动监测系统小时数据采集率大于 95%，否则应及时维护或检修。数据采集率以秒级数据作为计算单元。</w:t>
      </w:r>
    </w:p>
    <w:p w14:paraId="4D4C21DF">
      <w:pPr>
        <w:ind w:firstLine="640"/>
        <w:rPr>
          <w:sz w:val="32"/>
          <w:szCs w:val="32"/>
        </w:rPr>
      </w:pPr>
      <w:r>
        <w:rPr>
          <w:rFonts w:hint="eastAsia"/>
          <w:sz w:val="32"/>
          <w:szCs w:val="32"/>
        </w:rPr>
        <w:t>1</w:t>
      </w:r>
      <w:r>
        <w:rPr>
          <w:sz w:val="32"/>
          <w:szCs w:val="32"/>
        </w:rPr>
        <w:t>.4在日常运行中因仪器故障检修、量值溯源等临时使用备用仪器开展监测的情况，须于备机使用后1周内报告该站点管理的主管部门。</w:t>
      </w:r>
    </w:p>
    <w:p w14:paraId="3721F3C0">
      <w:pPr>
        <w:ind w:firstLine="640"/>
      </w:pPr>
      <w:r>
        <w:rPr>
          <w:rFonts w:hint="eastAsia"/>
          <w:sz w:val="32"/>
          <w:szCs w:val="32"/>
        </w:rPr>
        <w:t>2.</w:t>
      </w:r>
      <w:r>
        <w:rPr>
          <w:b/>
          <w:bCs/>
          <w:sz w:val="32"/>
          <w:szCs w:val="32"/>
        </w:rPr>
        <w:t>噪声自动监测系统的检查维护要求</w:t>
      </w:r>
    </w:p>
    <w:p w14:paraId="44D13D88">
      <w:pPr>
        <w:ind w:firstLine="640"/>
        <w:rPr>
          <w:sz w:val="32"/>
          <w:szCs w:val="32"/>
        </w:rPr>
      </w:pPr>
      <w:r>
        <w:rPr>
          <w:rFonts w:hint="eastAsia"/>
          <w:sz w:val="32"/>
          <w:szCs w:val="32"/>
        </w:rPr>
        <w:t>2</w:t>
      </w:r>
      <w:r>
        <w:rPr>
          <w:sz w:val="32"/>
          <w:szCs w:val="32"/>
        </w:rPr>
        <w:t>.1总则</w:t>
      </w:r>
    </w:p>
    <w:p w14:paraId="05E01E6A">
      <w:pPr>
        <w:ind w:firstLine="640"/>
        <w:rPr>
          <w:sz w:val="32"/>
          <w:szCs w:val="32"/>
        </w:rPr>
      </w:pPr>
      <w:r>
        <w:rPr>
          <w:rFonts w:hint="eastAsia"/>
          <w:sz w:val="32"/>
          <w:szCs w:val="32"/>
        </w:rPr>
        <w:t>2</w:t>
      </w:r>
      <w:r>
        <w:rPr>
          <w:sz w:val="32"/>
          <w:szCs w:val="32"/>
        </w:rPr>
        <w:t>.1.1对各点的仪器设备建立档案，包括点位信息（站点编号、地址、海拔、经纬度等）、设备信息（仪器型号、编号、运行时间、IP 地址等）、仪器故障检修更换记录等。</w:t>
      </w:r>
    </w:p>
    <w:p w14:paraId="3EB66E1F">
      <w:pPr>
        <w:ind w:firstLine="640"/>
        <w:rPr>
          <w:sz w:val="32"/>
          <w:szCs w:val="32"/>
        </w:rPr>
      </w:pPr>
      <w:r>
        <w:rPr>
          <w:rFonts w:hint="eastAsia"/>
          <w:sz w:val="32"/>
          <w:szCs w:val="32"/>
        </w:rPr>
        <w:t>2</w:t>
      </w:r>
      <w:r>
        <w:rPr>
          <w:sz w:val="32"/>
          <w:szCs w:val="32"/>
        </w:rPr>
        <w:t>.1.2台风、暴雪、沙尘等特殊天气下应提前做好防护工作，必要时可断电，卸下传声器，检查机箱密闭性。强对流天气后，宜增加现场巡检维护。</w:t>
      </w:r>
    </w:p>
    <w:p w14:paraId="0381B789">
      <w:pPr>
        <w:ind w:firstLine="640"/>
        <w:rPr>
          <w:sz w:val="32"/>
          <w:szCs w:val="32"/>
        </w:rPr>
      </w:pPr>
      <w:r>
        <w:rPr>
          <w:rFonts w:hint="eastAsia"/>
          <w:sz w:val="32"/>
          <w:szCs w:val="32"/>
        </w:rPr>
        <w:t>2</w:t>
      </w:r>
      <w:r>
        <w:rPr>
          <w:sz w:val="32"/>
          <w:szCs w:val="32"/>
        </w:rPr>
        <w:t>.1.3检查维护应由具备噪声监测及治理相关技术培训合格证书的专业人员进行。检查维护后应做好记录，记录内容包括维护人的姓名、维护时间、各站点状态、站点各部件状态、故障处置信息等。</w:t>
      </w:r>
    </w:p>
    <w:p w14:paraId="45C3AA64">
      <w:pPr>
        <w:pStyle w:val="2"/>
        <w:ind w:firstLine="640"/>
        <w:rPr>
          <w:sz w:val="32"/>
          <w:szCs w:val="32"/>
        </w:rPr>
      </w:pPr>
      <w:r>
        <w:rPr>
          <w:rFonts w:hint="eastAsia"/>
          <w:sz w:val="32"/>
          <w:szCs w:val="32"/>
        </w:rPr>
        <w:t>2</w:t>
      </w:r>
      <w:r>
        <w:rPr>
          <w:sz w:val="32"/>
          <w:szCs w:val="32"/>
        </w:rPr>
        <w:t>.1.4除本次采购的备机，运维方根据实际需要进行增购，保证有足够的备件及备用仪器。</w:t>
      </w:r>
    </w:p>
    <w:p w14:paraId="00117D44">
      <w:pPr>
        <w:pStyle w:val="2"/>
        <w:ind w:firstLine="640"/>
        <w:rPr>
          <w:sz w:val="32"/>
          <w:szCs w:val="32"/>
        </w:rPr>
      </w:pPr>
      <w:r>
        <w:rPr>
          <w:rFonts w:hint="eastAsia"/>
          <w:sz w:val="32"/>
          <w:szCs w:val="32"/>
        </w:rPr>
        <w:t>2</w:t>
      </w:r>
      <w:r>
        <w:rPr>
          <w:sz w:val="32"/>
          <w:szCs w:val="32"/>
        </w:rPr>
        <w:t>.1.5噪声监测子站</w:t>
      </w:r>
      <w:r>
        <w:rPr>
          <w:rFonts w:hint="eastAsia"/>
          <w:sz w:val="32"/>
          <w:szCs w:val="32"/>
        </w:rPr>
        <w:t>可开展现场</w:t>
      </w:r>
      <w:r>
        <w:rPr>
          <w:sz w:val="32"/>
          <w:szCs w:val="32"/>
        </w:rPr>
        <w:t>检定</w:t>
      </w:r>
      <w:r>
        <w:rPr>
          <w:rFonts w:hint="eastAsia"/>
          <w:sz w:val="32"/>
          <w:szCs w:val="32"/>
        </w:rPr>
        <w:t>，在检定</w:t>
      </w:r>
      <w:r>
        <w:rPr>
          <w:sz w:val="32"/>
          <w:szCs w:val="32"/>
        </w:rPr>
        <w:t>期间，</w:t>
      </w:r>
      <w:r>
        <w:rPr>
          <w:rFonts w:hint="eastAsia"/>
          <w:sz w:val="32"/>
          <w:szCs w:val="32"/>
        </w:rPr>
        <w:t>应保证不影响数据传输的稳定性。也可以使用备机开展监测，监测数据参与监控系统数据统计。</w:t>
      </w:r>
    </w:p>
    <w:p w14:paraId="3BB5BAD0">
      <w:pPr>
        <w:ind w:firstLine="640"/>
        <w:rPr>
          <w:sz w:val="32"/>
          <w:szCs w:val="32"/>
        </w:rPr>
      </w:pPr>
      <w:r>
        <w:rPr>
          <w:rFonts w:hint="eastAsia"/>
          <w:sz w:val="32"/>
          <w:szCs w:val="32"/>
        </w:rPr>
        <w:t>2</w:t>
      </w:r>
      <w:r>
        <w:rPr>
          <w:sz w:val="32"/>
          <w:szCs w:val="32"/>
        </w:rPr>
        <w:t>.1.6承诺如生态环境部门下发新的运维要求时，能够满足其要求开展运维。</w:t>
      </w:r>
    </w:p>
    <w:p w14:paraId="4DA59A1A">
      <w:pPr>
        <w:ind w:firstLine="640"/>
        <w:rPr>
          <w:sz w:val="32"/>
          <w:szCs w:val="32"/>
        </w:rPr>
      </w:pPr>
      <w:r>
        <w:rPr>
          <w:rFonts w:hint="eastAsia"/>
          <w:sz w:val="32"/>
          <w:szCs w:val="32"/>
        </w:rPr>
        <w:t>2</w:t>
      </w:r>
      <w:r>
        <w:rPr>
          <w:sz w:val="32"/>
          <w:szCs w:val="32"/>
        </w:rPr>
        <w:t>.1.7建立应急保障计划，报备应急联系人员安排及联络方式。</w:t>
      </w:r>
    </w:p>
    <w:p w14:paraId="6EC0F06D">
      <w:pPr>
        <w:ind w:firstLine="640"/>
        <w:rPr>
          <w:sz w:val="32"/>
          <w:szCs w:val="32"/>
        </w:rPr>
      </w:pPr>
      <w:r>
        <w:rPr>
          <w:rFonts w:hint="eastAsia"/>
          <w:sz w:val="32"/>
          <w:szCs w:val="32"/>
        </w:rPr>
        <w:t>2</w:t>
      </w:r>
      <w:r>
        <w:rPr>
          <w:sz w:val="32"/>
          <w:szCs w:val="32"/>
        </w:rPr>
        <w:t>.2基础条件</w:t>
      </w:r>
    </w:p>
    <w:p w14:paraId="05AF6700">
      <w:pPr>
        <w:ind w:firstLine="640" w:firstLineChars="200"/>
        <w:jc w:val="both"/>
        <w:rPr>
          <w:rFonts w:hint="default" w:ascii="Times New Roman" w:hAnsi="Times New Roman" w:eastAsia="仿宋_GB2312" w:cs="Times New Roman"/>
          <w:sz w:val="34"/>
          <w:szCs w:val="34"/>
          <w:vertAlign w:val="baseline"/>
          <w:lang w:val="en-US" w:eastAsia="zh-CN"/>
        </w:rPr>
      </w:pPr>
      <w:r>
        <w:rPr>
          <w:rFonts w:hint="eastAsia" w:eastAsia="宋体"/>
          <w:sz w:val="32"/>
          <w:szCs w:val="32"/>
        </w:rPr>
        <w:t>2</w:t>
      </w:r>
      <w:r>
        <w:rPr>
          <w:rFonts w:eastAsia="宋体"/>
          <w:sz w:val="32"/>
          <w:szCs w:val="32"/>
        </w:rPr>
        <w:t>.2.1</w:t>
      </w:r>
      <w:r>
        <w:rPr>
          <w:rFonts w:hint="default" w:eastAsia="宋体"/>
          <w:sz w:val="32"/>
          <w:szCs w:val="32"/>
          <w:lang w:val="en-US" w:eastAsia="zh-CN"/>
        </w:rPr>
        <w:t>投标人需配备必要的运维巡检终端设备，以完成现场签到打卡，拍照取证、现场运行维护、故障维修、质控校准、远程巡检、设</w:t>
      </w:r>
      <w:bookmarkStart w:id="0" w:name="_GoBack"/>
      <w:bookmarkEnd w:id="0"/>
      <w:r>
        <w:rPr>
          <w:rFonts w:hint="default" w:eastAsia="宋体"/>
          <w:sz w:val="32"/>
          <w:szCs w:val="32"/>
          <w:lang w:val="en-US" w:eastAsia="zh-CN"/>
        </w:rPr>
        <w:t>备巡查记录等运维质控电子记录等工作。</w:t>
      </w:r>
    </w:p>
    <w:p w14:paraId="319529E0">
      <w:pPr>
        <w:ind w:firstLine="640"/>
        <w:rPr>
          <w:sz w:val="32"/>
          <w:szCs w:val="32"/>
        </w:rPr>
      </w:pPr>
      <w:r>
        <w:rPr>
          <w:rFonts w:hint="eastAsia"/>
          <w:sz w:val="32"/>
          <w:szCs w:val="32"/>
        </w:rPr>
        <w:t>2</w:t>
      </w:r>
      <w:r>
        <w:rPr>
          <w:sz w:val="32"/>
          <w:szCs w:val="32"/>
        </w:rPr>
        <w:t>.2.2应具有在高寒地区环境噪声自动监测行业的建设和运维经验，建有完整的组织架构，设备设施及支持服务，具有相对完善的运维服务保障机制、备品备件库和良好的用户服务记录。提供相关证明文件并加盖厂商公章。</w:t>
      </w:r>
    </w:p>
    <w:p w14:paraId="06DB0209">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.3日常检查</w:t>
      </w:r>
    </w:p>
    <w:p w14:paraId="704DB6CC">
      <w:pPr>
        <w:ind w:firstLine="640"/>
        <w:rPr>
          <w:sz w:val="32"/>
          <w:szCs w:val="32"/>
        </w:rPr>
      </w:pPr>
      <w:r>
        <w:rPr>
          <w:rFonts w:hint="eastAsia"/>
          <w:sz w:val="32"/>
          <w:szCs w:val="32"/>
        </w:rPr>
        <w:t>2</w:t>
      </w:r>
      <w:r>
        <w:rPr>
          <w:sz w:val="32"/>
          <w:szCs w:val="32"/>
        </w:rPr>
        <w:t>.3.1应</w:t>
      </w:r>
      <w:r>
        <w:rPr>
          <w:rFonts w:hint="eastAsia"/>
          <w:sz w:val="32"/>
          <w:szCs w:val="32"/>
        </w:rPr>
        <w:t>每日人工审核自动监测数据，并</w:t>
      </w:r>
      <w:r>
        <w:rPr>
          <w:sz w:val="32"/>
          <w:szCs w:val="32"/>
        </w:rPr>
        <w:t>定时远程自检。</w:t>
      </w:r>
    </w:p>
    <w:p w14:paraId="4D2D7029">
      <w:pPr>
        <w:ind w:firstLine="640"/>
        <w:rPr>
          <w:sz w:val="32"/>
          <w:szCs w:val="32"/>
        </w:rPr>
      </w:pPr>
      <w:r>
        <w:rPr>
          <w:rFonts w:hint="eastAsia"/>
          <w:sz w:val="32"/>
          <w:szCs w:val="32"/>
        </w:rPr>
        <w:t>2</w:t>
      </w:r>
      <w:r>
        <w:rPr>
          <w:sz w:val="32"/>
          <w:szCs w:val="32"/>
        </w:rPr>
        <w:t>.3.2每日检查各监测站点的数据传输情况是否正常。若发现某站点数据传输异常，应立即查明原因并排除故障。短时无法解决数据传输问题时，应及时从站点终端处人工备份数据。在影响因素无法确定时，通知运维相关人员进行现场查验，判断是周围环境改变（如施工、遮挡等）还是属于系统或仪器故障，后者将在24小时内处理并上报，按规定要求解决故障。</w:t>
      </w:r>
    </w:p>
    <w:p w14:paraId="706C372C">
      <w:pPr>
        <w:ind w:firstLine="640"/>
        <w:rPr>
          <w:sz w:val="32"/>
          <w:szCs w:val="32"/>
        </w:rPr>
      </w:pPr>
      <w:r>
        <w:rPr>
          <w:rFonts w:hint="eastAsia"/>
          <w:sz w:val="32"/>
          <w:szCs w:val="32"/>
        </w:rPr>
        <w:t>2</w:t>
      </w:r>
      <w:r>
        <w:rPr>
          <w:sz w:val="32"/>
          <w:szCs w:val="32"/>
        </w:rPr>
        <w:t>.3.3每日通过远程监控系统检查各站点运行状况是否正常。</w:t>
      </w:r>
    </w:p>
    <w:p w14:paraId="527F6550">
      <w:pPr>
        <w:ind w:firstLine="640"/>
        <w:rPr>
          <w:sz w:val="32"/>
          <w:szCs w:val="32"/>
        </w:rPr>
      </w:pPr>
      <w:r>
        <w:rPr>
          <w:rFonts w:hint="eastAsia"/>
          <w:sz w:val="32"/>
          <w:szCs w:val="32"/>
        </w:rPr>
        <w:t>2</w:t>
      </w:r>
      <w:r>
        <w:rPr>
          <w:sz w:val="32"/>
          <w:szCs w:val="32"/>
        </w:rPr>
        <w:t>.3.4每日应对各站点的时钟和日历设置进行检查，若发现时钟和日历错误应及时调整。</w:t>
      </w:r>
    </w:p>
    <w:p w14:paraId="5197A2E9">
      <w:pPr>
        <w:ind w:firstLine="640"/>
        <w:rPr>
          <w:sz w:val="32"/>
          <w:szCs w:val="32"/>
        </w:rPr>
      </w:pPr>
      <w:r>
        <w:rPr>
          <w:rFonts w:hint="eastAsia"/>
          <w:sz w:val="32"/>
          <w:szCs w:val="32"/>
        </w:rPr>
        <w:t>2</w:t>
      </w:r>
      <w:r>
        <w:rPr>
          <w:sz w:val="32"/>
          <w:szCs w:val="32"/>
        </w:rPr>
        <w:t>.3.5每日应对各站点噪声事件的录音进行回放，备注主要噪声源。</w:t>
      </w:r>
    </w:p>
    <w:p w14:paraId="02DA4820">
      <w:pPr>
        <w:ind w:firstLine="640"/>
        <w:rPr>
          <w:sz w:val="32"/>
          <w:szCs w:val="32"/>
        </w:rPr>
      </w:pPr>
      <w:r>
        <w:rPr>
          <w:rFonts w:hint="eastAsia"/>
          <w:sz w:val="32"/>
          <w:szCs w:val="32"/>
        </w:rPr>
        <w:t>2</w:t>
      </w:r>
      <w:r>
        <w:rPr>
          <w:sz w:val="32"/>
          <w:szCs w:val="32"/>
        </w:rPr>
        <w:t>.3.6每日应检查数据是否异常，对功能区噪声点位的分钟数据进行审核工作，对异常数据及空白数据进行标注，及时将异常时间段上报监测站并分析数据异常或缺失原因。如：数据极高或极低、持续不变或与前几日平均值相差较大等。出现异常值时，均不得擅自删除，应先检查数据异常原因，再根据原因判断数据是否有效。</w:t>
      </w:r>
    </w:p>
    <w:p w14:paraId="4E3025F4">
      <w:pPr>
        <w:ind w:firstLine="640"/>
        <w:rPr>
          <w:sz w:val="32"/>
          <w:szCs w:val="32"/>
        </w:rPr>
      </w:pPr>
      <w:r>
        <w:rPr>
          <w:rFonts w:hint="eastAsia"/>
          <w:sz w:val="32"/>
          <w:szCs w:val="32"/>
        </w:rPr>
        <w:t>2</w:t>
      </w:r>
      <w:r>
        <w:rPr>
          <w:sz w:val="32"/>
          <w:szCs w:val="32"/>
        </w:rPr>
        <w:t>.3.7日常检查情况应每日记录。</w:t>
      </w:r>
    </w:p>
    <w:p w14:paraId="709797EC">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.4定期巡检及维护</w:t>
      </w:r>
    </w:p>
    <w:p w14:paraId="73A4210F">
      <w:pPr>
        <w:ind w:firstLine="640"/>
        <w:rPr>
          <w:sz w:val="32"/>
          <w:szCs w:val="32"/>
        </w:rPr>
      </w:pPr>
      <w:r>
        <w:rPr>
          <w:rFonts w:hint="eastAsia"/>
          <w:sz w:val="32"/>
          <w:szCs w:val="32"/>
        </w:rPr>
        <w:t>2</w:t>
      </w:r>
      <w:r>
        <w:rPr>
          <w:sz w:val="32"/>
          <w:szCs w:val="32"/>
        </w:rPr>
        <w:t>.4.1应定期（至少每月一次）进行声校准。</w:t>
      </w:r>
    </w:p>
    <w:p w14:paraId="468E3B33">
      <w:pPr>
        <w:ind w:firstLine="640"/>
        <w:rPr>
          <w:sz w:val="32"/>
          <w:szCs w:val="32"/>
        </w:rPr>
      </w:pPr>
      <w:r>
        <w:rPr>
          <w:rFonts w:hint="eastAsia"/>
          <w:sz w:val="32"/>
          <w:szCs w:val="32"/>
        </w:rPr>
        <w:t>2</w:t>
      </w:r>
      <w:r>
        <w:rPr>
          <w:sz w:val="32"/>
          <w:szCs w:val="32"/>
        </w:rPr>
        <w:t>.4.2检查站点支架、机箱外观是否完好。检查传声器、延长电缆、避雷设施等外部设备是否被损坏，是否附有异物。</w:t>
      </w:r>
    </w:p>
    <w:p w14:paraId="5F9F679D">
      <w:pPr>
        <w:ind w:firstLine="640"/>
        <w:rPr>
          <w:sz w:val="32"/>
          <w:szCs w:val="32"/>
        </w:rPr>
      </w:pPr>
      <w:r>
        <w:rPr>
          <w:rFonts w:hint="eastAsia"/>
          <w:sz w:val="32"/>
          <w:szCs w:val="32"/>
        </w:rPr>
        <w:t>2</w:t>
      </w:r>
      <w:r>
        <w:rPr>
          <w:sz w:val="32"/>
          <w:szCs w:val="32"/>
        </w:rPr>
        <w:t>.4.3对噪声自动监测站点机箱内、外进行清洁。</w:t>
      </w:r>
    </w:p>
    <w:p w14:paraId="7398106A">
      <w:pPr>
        <w:ind w:firstLine="640"/>
        <w:rPr>
          <w:rFonts w:eastAsia="仿宋"/>
          <w:sz w:val="28"/>
          <w:szCs w:val="28"/>
        </w:rPr>
      </w:pPr>
      <w:r>
        <w:rPr>
          <w:rFonts w:hint="eastAsia"/>
          <w:sz w:val="32"/>
          <w:szCs w:val="32"/>
        </w:rPr>
        <w:t>2</w:t>
      </w:r>
      <w:r>
        <w:rPr>
          <w:sz w:val="32"/>
          <w:szCs w:val="32"/>
        </w:rPr>
        <w:t>.4.4检查仪器及系统的工作状态参数是否正常，电源、风扇、通讯设备和辅助设施等是否稳定，如需更换，现场需用备件替代，检查维护要求见表1。</w:t>
      </w:r>
    </w:p>
    <w:p w14:paraId="395997C4">
      <w:pPr>
        <w:ind w:firstLine="480"/>
        <w:jc w:val="center"/>
        <w:rPr>
          <w:rFonts w:eastAsia="黑体"/>
          <w:szCs w:val="21"/>
        </w:rPr>
      </w:pPr>
      <w:r>
        <w:rPr>
          <w:rFonts w:eastAsia="黑体"/>
          <w:szCs w:val="21"/>
        </w:rPr>
        <w:t>表 1各设备检查维护要求</w:t>
      </w: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2127"/>
        <w:gridCol w:w="5208"/>
      </w:tblGrid>
      <w:tr w14:paraId="0978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noWrap w:val="0"/>
            <w:vAlign w:val="center"/>
          </w:tcPr>
          <w:p w14:paraId="2F6067FF">
            <w:pPr>
              <w:ind w:firstLine="0" w:firstLineChars="0"/>
              <w:jc w:val="center"/>
              <w:rPr>
                <w:b/>
                <w:bCs/>
                <w:szCs w:val="21"/>
              </w:rPr>
            </w:pPr>
            <w:r>
              <w:rPr>
                <w:b/>
                <w:bCs/>
                <w:szCs w:val="21"/>
              </w:rPr>
              <w:t>设备名称</w:t>
            </w:r>
          </w:p>
        </w:tc>
        <w:tc>
          <w:tcPr>
            <w:tcW w:w="2127" w:type="dxa"/>
            <w:noWrap w:val="0"/>
            <w:vAlign w:val="center"/>
          </w:tcPr>
          <w:p w14:paraId="1EDC0421">
            <w:pPr>
              <w:ind w:firstLine="0" w:firstLineChars="0"/>
              <w:jc w:val="center"/>
              <w:rPr>
                <w:b/>
                <w:bCs/>
                <w:szCs w:val="21"/>
              </w:rPr>
            </w:pPr>
            <w:r>
              <w:rPr>
                <w:b/>
                <w:bCs/>
                <w:szCs w:val="21"/>
              </w:rPr>
              <w:t>维护对象</w:t>
            </w:r>
          </w:p>
        </w:tc>
        <w:tc>
          <w:tcPr>
            <w:tcW w:w="5208" w:type="dxa"/>
            <w:noWrap w:val="0"/>
            <w:vAlign w:val="center"/>
          </w:tcPr>
          <w:p w14:paraId="2CC3B4EF">
            <w:pPr>
              <w:ind w:firstLine="0" w:firstLineChars="0"/>
              <w:jc w:val="center"/>
              <w:rPr>
                <w:b/>
                <w:bCs/>
                <w:szCs w:val="21"/>
              </w:rPr>
            </w:pPr>
            <w:r>
              <w:rPr>
                <w:b/>
                <w:bCs/>
                <w:szCs w:val="21"/>
              </w:rPr>
              <w:t>检查维护内容</w:t>
            </w:r>
          </w:p>
        </w:tc>
      </w:tr>
      <w:tr w14:paraId="1B044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restart"/>
            <w:noWrap w:val="0"/>
            <w:vAlign w:val="center"/>
          </w:tcPr>
          <w:p w14:paraId="1543BD58">
            <w:pPr>
              <w:ind w:firstLine="0" w:firstLineChars="0"/>
              <w:jc w:val="center"/>
              <w:rPr>
                <w:szCs w:val="21"/>
              </w:rPr>
            </w:pPr>
            <w:r>
              <w:rPr>
                <w:szCs w:val="21"/>
              </w:rPr>
              <w:t>传声器</w:t>
            </w:r>
          </w:p>
        </w:tc>
        <w:tc>
          <w:tcPr>
            <w:tcW w:w="2127" w:type="dxa"/>
            <w:noWrap w:val="0"/>
            <w:vAlign w:val="center"/>
          </w:tcPr>
          <w:p w14:paraId="1E98DBA2">
            <w:pPr>
              <w:ind w:firstLine="0" w:firstLineChars="0"/>
              <w:jc w:val="center"/>
              <w:rPr>
                <w:szCs w:val="21"/>
              </w:rPr>
            </w:pPr>
            <w:r>
              <w:rPr>
                <w:szCs w:val="21"/>
              </w:rPr>
              <w:t>传声器</w:t>
            </w:r>
          </w:p>
        </w:tc>
        <w:tc>
          <w:tcPr>
            <w:tcW w:w="5208" w:type="dxa"/>
            <w:noWrap w:val="0"/>
            <w:vAlign w:val="center"/>
          </w:tcPr>
          <w:p w14:paraId="4C36F94A">
            <w:pPr>
              <w:ind w:firstLine="0" w:firstLineChars="0"/>
              <w:rPr>
                <w:szCs w:val="21"/>
              </w:rPr>
            </w:pPr>
            <w:r>
              <w:rPr>
                <w:szCs w:val="21"/>
              </w:rPr>
              <w:t>外观是否变形、破损，进行声校准</w:t>
            </w:r>
          </w:p>
        </w:tc>
      </w:tr>
      <w:tr w14:paraId="18A9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tcBorders>
              <w:top w:val="nil"/>
            </w:tcBorders>
            <w:noWrap w:val="0"/>
            <w:vAlign w:val="center"/>
          </w:tcPr>
          <w:p w14:paraId="37F9DCC0">
            <w:pPr>
              <w:ind w:firstLine="0" w:firstLineChars="0"/>
              <w:jc w:val="center"/>
              <w:rPr>
                <w:szCs w:val="21"/>
              </w:rPr>
            </w:pPr>
          </w:p>
        </w:tc>
        <w:tc>
          <w:tcPr>
            <w:tcW w:w="2127" w:type="dxa"/>
            <w:noWrap w:val="0"/>
            <w:vAlign w:val="center"/>
          </w:tcPr>
          <w:p w14:paraId="1BD92689">
            <w:pPr>
              <w:ind w:firstLine="0" w:firstLineChars="0"/>
              <w:jc w:val="center"/>
              <w:rPr>
                <w:szCs w:val="21"/>
              </w:rPr>
            </w:pPr>
            <w:r>
              <w:rPr>
                <w:szCs w:val="21"/>
              </w:rPr>
              <w:t>防风罩</w:t>
            </w:r>
          </w:p>
        </w:tc>
        <w:tc>
          <w:tcPr>
            <w:tcW w:w="5208" w:type="dxa"/>
            <w:noWrap w:val="0"/>
            <w:vAlign w:val="center"/>
          </w:tcPr>
          <w:p w14:paraId="4CD5E5C9">
            <w:pPr>
              <w:ind w:firstLine="0" w:firstLineChars="0"/>
              <w:rPr>
                <w:szCs w:val="21"/>
              </w:rPr>
            </w:pPr>
            <w:r>
              <w:rPr>
                <w:szCs w:val="21"/>
              </w:rPr>
              <w:t>视风化和清洁情况更换</w:t>
            </w:r>
          </w:p>
        </w:tc>
      </w:tr>
      <w:tr w14:paraId="270B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restart"/>
            <w:noWrap w:val="0"/>
            <w:vAlign w:val="center"/>
          </w:tcPr>
          <w:p w14:paraId="689053CB">
            <w:pPr>
              <w:ind w:firstLine="0" w:firstLineChars="0"/>
              <w:jc w:val="center"/>
              <w:rPr>
                <w:szCs w:val="21"/>
              </w:rPr>
            </w:pPr>
            <w:r>
              <w:rPr>
                <w:szCs w:val="21"/>
              </w:rPr>
              <w:t>噪声分析仪</w:t>
            </w:r>
          </w:p>
        </w:tc>
        <w:tc>
          <w:tcPr>
            <w:tcW w:w="2127" w:type="dxa"/>
            <w:noWrap w:val="0"/>
            <w:vAlign w:val="center"/>
          </w:tcPr>
          <w:p w14:paraId="40FB7E37">
            <w:pPr>
              <w:ind w:firstLine="0" w:firstLineChars="0"/>
              <w:jc w:val="center"/>
              <w:rPr>
                <w:szCs w:val="21"/>
              </w:rPr>
            </w:pPr>
            <w:r>
              <w:rPr>
                <w:szCs w:val="21"/>
              </w:rPr>
              <w:t>所有电参数</w:t>
            </w:r>
          </w:p>
        </w:tc>
        <w:tc>
          <w:tcPr>
            <w:tcW w:w="5208" w:type="dxa"/>
            <w:noWrap w:val="0"/>
            <w:vAlign w:val="center"/>
          </w:tcPr>
          <w:p w14:paraId="7BFE6044">
            <w:pPr>
              <w:ind w:firstLine="0" w:firstLineChars="0"/>
              <w:rPr>
                <w:szCs w:val="21"/>
              </w:rPr>
            </w:pPr>
            <w:r>
              <w:rPr>
                <w:szCs w:val="21"/>
              </w:rPr>
              <w:t>检查是否正常</w:t>
            </w:r>
          </w:p>
        </w:tc>
      </w:tr>
      <w:tr w14:paraId="006E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tcBorders>
              <w:top w:val="nil"/>
            </w:tcBorders>
            <w:noWrap w:val="0"/>
            <w:vAlign w:val="center"/>
          </w:tcPr>
          <w:p w14:paraId="0679F90D">
            <w:pPr>
              <w:ind w:firstLine="0" w:firstLineChars="0"/>
              <w:jc w:val="center"/>
              <w:rPr>
                <w:szCs w:val="21"/>
              </w:rPr>
            </w:pPr>
          </w:p>
        </w:tc>
        <w:tc>
          <w:tcPr>
            <w:tcW w:w="2127" w:type="dxa"/>
            <w:noWrap w:val="0"/>
            <w:vAlign w:val="center"/>
          </w:tcPr>
          <w:p w14:paraId="44177850">
            <w:pPr>
              <w:ind w:firstLine="0" w:firstLineChars="0"/>
              <w:jc w:val="center"/>
              <w:rPr>
                <w:szCs w:val="21"/>
              </w:rPr>
            </w:pPr>
            <w:r>
              <w:rPr>
                <w:szCs w:val="21"/>
              </w:rPr>
              <w:t>空开</w:t>
            </w:r>
          </w:p>
        </w:tc>
        <w:tc>
          <w:tcPr>
            <w:tcW w:w="5208" w:type="dxa"/>
            <w:noWrap w:val="0"/>
            <w:vAlign w:val="center"/>
          </w:tcPr>
          <w:p w14:paraId="0798B38D">
            <w:pPr>
              <w:ind w:firstLine="0" w:firstLineChars="0"/>
              <w:rPr>
                <w:szCs w:val="21"/>
              </w:rPr>
            </w:pPr>
            <w:r>
              <w:rPr>
                <w:szCs w:val="21"/>
              </w:rPr>
              <w:t>检查有无跳闸</w:t>
            </w:r>
          </w:p>
        </w:tc>
      </w:tr>
      <w:tr w14:paraId="1AA9A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tcBorders>
              <w:top w:val="nil"/>
            </w:tcBorders>
            <w:noWrap w:val="0"/>
            <w:vAlign w:val="center"/>
          </w:tcPr>
          <w:p w14:paraId="69B49773">
            <w:pPr>
              <w:ind w:firstLine="0" w:firstLineChars="0"/>
              <w:jc w:val="center"/>
              <w:rPr>
                <w:szCs w:val="21"/>
              </w:rPr>
            </w:pPr>
          </w:p>
        </w:tc>
        <w:tc>
          <w:tcPr>
            <w:tcW w:w="2127" w:type="dxa"/>
            <w:noWrap w:val="0"/>
            <w:vAlign w:val="center"/>
          </w:tcPr>
          <w:p w14:paraId="34AEE61F">
            <w:pPr>
              <w:ind w:firstLine="0" w:firstLineChars="0"/>
              <w:jc w:val="center"/>
              <w:rPr>
                <w:szCs w:val="21"/>
              </w:rPr>
            </w:pPr>
            <w:r>
              <w:rPr>
                <w:szCs w:val="21"/>
              </w:rPr>
              <w:t>网络设备</w:t>
            </w:r>
          </w:p>
        </w:tc>
        <w:tc>
          <w:tcPr>
            <w:tcW w:w="5208" w:type="dxa"/>
            <w:noWrap w:val="0"/>
            <w:vAlign w:val="center"/>
          </w:tcPr>
          <w:p w14:paraId="3B2281FF">
            <w:pPr>
              <w:ind w:firstLine="0" w:firstLineChars="0"/>
              <w:rPr>
                <w:szCs w:val="21"/>
              </w:rPr>
            </w:pPr>
            <w:r>
              <w:rPr>
                <w:szCs w:val="21"/>
              </w:rPr>
              <w:t>检查路由器工作状态、通讯数据传输是否正常</w:t>
            </w:r>
          </w:p>
        </w:tc>
      </w:tr>
      <w:tr w14:paraId="7F26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restart"/>
            <w:noWrap w:val="0"/>
            <w:vAlign w:val="center"/>
          </w:tcPr>
          <w:p w14:paraId="63E2DA42">
            <w:pPr>
              <w:ind w:firstLine="0" w:firstLineChars="0"/>
              <w:jc w:val="center"/>
              <w:rPr>
                <w:szCs w:val="21"/>
              </w:rPr>
            </w:pPr>
            <w:r>
              <w:rPr>
                <w:szCs w:val="21"/>
              </w:rPr>
              <w:t>辅助设备</w:t>
            </w:r>
          </w:p>
        </w:tc>
        <w:tc>
          <w:tcPr>
            <w:tcW w:w="2127" w:type="dxa"/>
            <w:noWrap w:val="0"/>
            <w:vAlign w:val="center"/>
          </w:tcPr>
          <w:p w14:paraId="61C5DF84">
            <w:pPr>
              <w:ind w:firstLine="0" w:firstLineChars="0"/>
              <w:jc w:val="center"/>
              <w:rPr>
                <w:szCs w:val="21"/>
              </w:rPr>
            </w:pPr>
            <w:r>
              <w:rPr>
                <w:szCs w:val="21"/>
              </w:rPr>
              <w:t>供电电源</w:t>
            </w:r>
          </w:p>
        </w:tc>
        <w:tc>
          <w:tcPr>
            <w:tcW w:w="5208" w:type="dxa"/>
            <w:noWrap w:val="0"/>
            <w:vAlign w:val="center"/>
          </w:tcPr>
          <w:p w14:paraId="174C5A89">
            <w:pPr>
              <w:ind w:firstLine="0" w:firstLineChars="0"/>
              <w:rPr>
                <w:szCs w:val="21"/>
              </w:rPr>
            </w:pPr>
            <w:r>
              <w:rPr>
                <w:szCs w:val="21"/>
              </w:rPr>
              <w:t>是否正常运行</w:t>
            </w:r>
          </w:p>
        </w:tc>
      </w:tr>
      <w:tr w14:paraId="473A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noWrap w:val="0"/>
            <w:vAlign w:val="center"/>
          </w:tcPr>
          <w:p w14:paraId="16FCA9FC">
            <w:pPr>
              <w:ind w:firstLine="0" w:firstLineChars="0"/>
              <w:jc w:val="center"/>
              <w:rPr>
                <w:szCs w:val="21"/>
              </w:rPr>
            </w:pPr>
          </w:p>
        </w:tc>
        <w:tc>
          <w:tcPr>
            <w:tcW w:w="2127" w:type="dxa"/>
            <w:noWrap w:val="0"/>
            <w:vAlign w:val="center"/>
          </w:tcPr>
          <w:p w14:paraId="1DE5C298">
            <w:pPr>
              <w:ind w:firstLine="0" w:firstLineChars="0"/>
              <w:jc w:val="center"/>
              <w:rPr>
                <w:szCs w:val="21"/>
              </w:rPr>
            </w:pPr>
            <w:r>
              <w:rPr>
                <w:szCs w:val="21"/>
              </w:rPr>
              <w:t>蓄电池</w:t>
            </w:r>
          </w:p>
        </w:tc>
        <w:tc>
          <w:tcPr>
            <w:tcW w:w="5208" w:type="dxa"/>
            <w:noWrap w:val="0"/>
            <w:vAlign w:val="center"/>
          </w:tcPr>
          <w:p w14:paraId="255123E5">
            <w:pPr>
              <w:ind w:firstLine="0" w:firstLineChars="0"/>
              <w:rPr>
                <w:szCs w:val="21"/>
              </w:rPr>
            </w:pPr>
            <w:r>
              <w:rPr>
                <w:szCs w:val="21"/>
              </w:rPr>
              <w:t>电压是否稳定、是否欠压、漏液</w:t>
            </w:r>
          </w:p>
        </w:tc>
      </w:tr>
      <w:tr w14:paraId="6E34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82" w:type="dxa"/>
            <w:vMerge w:val="continue"/>
            <w:noWrap w:val="0"/>
            <w:vAlign w:val="center"/>
          </w:tcPr>
          <w:p w14:paraId="2EC516F0">
            <w:pPr>
              <w:ind w:firstLine="0" w:firstLineChars="0"/>
              <w:jc w:val="center"/>
              <w:rPr>
                <w:szCs w:val="21"/>
              </w:rPr>
            </w:pPr>
          </w:p>
        </w:tc>
        <w:tc>
          <w:tcPr>
            <w:tcW w:w="2127" w:type="dxa"/>
            <w:noWrap w:val="0"/>
            <w:vAlign w:val="center"/>
          </w:tcPr>
          <w:p w14:paraId="48322F86">
            <w:pPr>
              <w:ind w:firstLine="0" w:firstLineChars="0"/>
              <w:jc w:val="center"/>
              <w:rPr>
                <w:szCs w:val="21"/>
              </w:rPr>
            </w:pPr>
            <w:r>
              <w:rPr>
                <w:szCs w:val="21"/>
              </w:rPr>
              <w:t>气象仪</w:t>
            </w:r>
          </w:p>
        </w:tc>
        <w:tc>
          <w:tcPr>
            <w:tcW w:w="5208" w:type="dxa"/>
            <w:noWrap w:val="0"/>
            <w:vAlign w:val="center"/>
          </w:tcPr>
          <w:p w14:paraId="142D166D">
            <w:pPr>
              <w:ind w:firstLine="0" w:firstLineChars="0"/>
              <w:rPr>
                <w:szCs w:val="21"/>
              </w:rPr>
            </w:pPr>
            <w:r>
              <w:rPr>
                <w:szCs w:val="21"/>
              </w:rPr>
              <w:t>是否清洁、无变形、无破损</w:t>
            </w:r>
          </w:p>
        </w:tc>
      </w:tr>
      <w:tr w14:paraId="0B80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5DFC43ED">
            <w:pPr>
              <w:ind w:firstLine="0" w:firstLineChars="0"/>
              <w:jc w:val="center"/>
              <w:rPr>
                <w:szCs w:val="21"/>
              </w:rPr>
            </w:pPr>
          </w:p>
        </w:tc>
        <w:tc>
          <w:tcPr>
            <w:tcW w:w="2127" w:type="dxa"/>
            <w:noWrap w:val="0"/>
            <w:vAlign w:val="center"/>
          </w:tcPr>
          <w:p w14:paraId="593EC74E">
            <w:pPr>
              <w:ind w:firstLine="0" w:firstLineChars="0"/>
              <w:jc w:val="center"/>
              <w:rPr>
                <w:szCs w:val="21"/>
              </w:rPr>
            </w:pPr>
            <w:r>
              <w:rPr>
                <w:szCs w:val="21"/>
              </w:rPr>
              <w:t>车流量监测仪</w:t>
            </w:r>
          </w:p>
        </w:tc>
        <w:tc>
          <w:tcPr>
            <w:tcW w:w="5208" w:type="dxa"/>
            <w:noWrap w:val="0"/>
            <w:vAlign w:val="center"/>
          </w:tcPr>
          <w:p w14:paraId="444822BE">
            <w:pPr>
              <w:ind w:firstLine="0" w:firstLineChars="0"/>
              <w:rPr>
                <w:szCs w:val="21"/>
              </w:rPr>
            </w:pPr>
            <w:r>
              <w:rPr>
                <w:szCs w:val="21"/>
              </w:rPr>
              <w:t>车流量是否准确</w:t>
            </w:r>
          </w:p>
        </w:tc>
      </w:tr>
      <w:tr w14:paraId="10F8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66012CF3">
            <w:pPr>
              <w:ind w:firstLine="0" w:firstLineChars="0"/>
              <w:jc w:val="center"/>
              <w:rPr>
                <w:szCs w:val="21"/>
              </w:rPr>
            </w:pPr>
          </w:p>
        </w:tc>
        <w:tc>
          <w:tcPr>
            <w:tcW w:w="2127" w:type="dxa"/>
            <w:noWrap w:val="0"/>
            <w:vAlign w:val="center"/>
          </w:tcPr>
          <w:p w14:paraId="49E92907">
            <w:pPr>
              <w:ind w:firstLine="0" w:firstLineChars="0"/>
              <w:jc w:val="center"/>
              <w:rPr>
                <w:szCs w:val="21"/>
              </w:rPr>
            </w:pPr>
            <w:r>
              <w:rPr>
                <w:szCs w:val="21"/>
              </w:rPr>
              <w:t>视频监控</w:t>
            </w:r>
          </w:p>
        </w:tc>
        <w:tc>
          <w:tcPr>
            <w:tcW w:w="5208" w:type="dxa"/>
            <w:noWrap w:val="0"/>
            <w:vAlign w:val="center"/>
          </w:tcPr>
          <w:p w14:paraId="47D59398">
            <w:pPr>
              <w:ind w:firstLine="0" w:firstLineChars="0"/>
              <w:rPr>
                <w:szCs w:val="21"/>
              </w:rPr>
            </w:pPr>
            <w:r>
              <w:rPr>
                <w:szCs w:val="21"/>
              </w:rPr>
              <w:t>是否正常运行</w:t>
            </w:r>
          </w:p>
        </w:tc>
      </w:tr>
      <w:tr w14:paraId="71B8D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03B1EE90">
            <w:pPr>
              <w:ind w:firstLine="0" w:firstLineChars="0"/>
              <w:jc w:val="center"/>
              <w:rPr>
                <w:szCs w:val="21"/>
              </w:rPr>
            </w:pPr>
          </w:p>
        </w:tc>
        <w:tc>
          <w:tcPr>
            <w:tcW w:w="2127" w:type="dxa"/>
            <w:noWrap w:val="0"/>
            <w:vAlign w:val="center"/>
          </w:tcPr>
          <w:p w14:paraId="7889DB8E">
            <w:pPr>
              <w:ind w:firstLine="0" w:firstLineChars="0"/>
              <w:jc w:val="center"/>
              <w:rPr>
                <w:szCs w:val="21"/>
              </w:rPr>
            </w:pPr>
            <w:r>
              <w:rPr>
                <w:szCs w:val="21"/>
              </w:rPr>
              <w:t>声源追踪仪</w:t>
            </w:r>
          </w:p>
        </w:tc>
        <w:tc>
          <w:tcPr>
            <w:tcW w:w="5208" w:type="dxa"/>
            <w:noWrap w:val="0"/>
            <w:vAlign w:val="center"/>
          </w:tcPr>
          <w:p w14:paraId="61535550">
            <w:pPr>
              <w:ind w:firstLine="0" w:firstLineChars="0"/>
              <w:rPr>
                <w:szCs w:val="21"/>
              </w:rPr>
            </w:pPr>
            <w:r>
              <w:rPr>
                <w:szCs w:val="21"/>
              </w:rPr>
              <w:t>是否正常运行</w:t>
            </w:r>
          </w:p>
        </w:tc>
      </w:tr>
      <w:tr w14:paraId="7E901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882" w:type="dxa"/>
            <w:vMerge w:val="continue"/>
            <w:noWrap w:val="0"/>
            <w:vAlign w:val="center"/>
          </w:tcPr>
          <w:p w14:paraId="3E338B0B">
            <w:pPr>
              <w:ind w:firstLine="0" w:firstLineChars="0"/>
              <w:jc w:val="center"/>
              <w:rPr>
                <w:szCs w:val="21"/>
              </w:rPr>
            </w:pPr>
          </w:p>
        </w:tc>
        <w:tc>
          <w:tcPr>
            <w:tcW w:w="2127" w:type="dxa"/>
            <w:noWrap w:val="0"/>
            <w:vAlign w:val="center"/>
          </w:tcPr>
          <w:p w14:paraId="00B8D605">
            <w:pPr>
              <w:ind w:firstLine="0" w:firstLineChars="0"/>
              <w:jc w:val="center"/>
              <w:rPr>
                <w:szCs w:val="21"/>
              </w:rPr>
            </w:pPr>
            <w:r>
              <w:rPr>
                <w:szCs w:val="21"/>
              </w:rPr>
              <w:t>风扇</w:t>
            </w:r>
          </w:p>
        </w:tc>
        <w:tc>
          <w:tcPr>
            <w:tcW w:w="5208" w:type="dxa"/>
            <w:noWrap w:val="0"/>
            <w:vAlign w:val="center"/>
          </w:tcPr>
          <w:p w14:paraId="57823C74">
            <w:pPr>
              <w:ind w:firstLine="0" w:firstLineChars="0"/>
              <w:rPr>
                <w:szCs w:val="21"/>
              </w:rPr>
            </w:pPr>
            <w:r>
              <w:rPr>
                <w:szCs w:val="21"/>
              </w:rPr>
              <w:t>通风是否正常、是否有异响</w:t>
            </w:r>
          </w:p>
        </w:tc>
      </w:tr>
    </w:tbl>
    <w:p w14:paraId="21D8BC4F">
      <w:pPr>
        <w:ind w:firstLine="640"/>
        <w:rPr>
          <w:sz w:val="32"/>
          <w:szCs w:val="32"/>
        </w:rPr>
      </w:pPr>
      <w:r>
        <w:rPr>
          <w:rFonts w:hint="eastAsia"/>
          <w:sz w:val="32"/>
          <w:szCs w:val="32"/>
        </w:rPr>
        <w:t>2</w:t>
      </w:r>
      <w:r>
        <w:rPr>
          <w:sz w:val="32"/>
          <w:szCs w:val="32"/>
        </w:rPr>
        <w:t>.4.5检查仪器的各连接线是否可靠，包括电源连接线、通信设备连接线、传声器连接线等。若出现数据异常及设备故障，巡检值班人员将跟相关人员简单汇报当日的巡检情况、站点故障的解决计划及其他运维工作的进展情况（如站点电力中断再连接的进展情况，站点数据的上传情况等）。</w:t>
      </w:r>
    </w:p>
    <w:p w14:paraId="43C93A4D">
      <w:pPr>
        <w:ind w:firstLine="640"/>
        <w:rPr>
          <w:sz w:val="32"/>
          <w:szCs w:val="32"/>
        </w:rPr>
      </w:pPr>
      <w:r>
        <w:rPr>
          <w:rFonts w:hint="eastAsia"/>
          <w:sz w:val="32"/>
          <w:szCs w:val="32"/>
        </w:rPr>
        <w:t>2</w:t>
      </w:r>
      <w:r>
        <w:rPr>
          <w:sz w:val="32"/>
          <w:szCs w:val="32"/>
        </w:rPr>
        <w:t>.4.6采用手持式风速仪，对气象单元自动监测的风速值进行核对。</w:t>
      </w:r>
    </w:p>
    <w:p w14:paraId="5D89DFCA">
      <w:pPr>
        <w:ind w:firstLine="640"/>
        <w:rPr>
          <w:sz w:val="32"/>
          <w:szCs w:val="32"/>
        </w:rPr>
      </w:pPr>
      <w:r>
        <w:rPr>
          <w:rFonts w:hint="eastAsia"/>
          <w:sz w:val="32"/>
          <w:szCs w:val="32"/>
        </w:rPr>
        <w:t>2</w:t>
      </w:r>
      <w:r>
        <w:rPr>
          <w:sz w:val="32"/>
          <w:szCs w:val="32"/>
        </w:rPr>
        <w:t>.4.7做好巡检维护记录。有问题应及时处理，保证系统能安全运行。发现仪器故障时，乙方保证平均故障响应时间不超过12小时，一般故障排除时间不超过24小时，重大故障排除时间不超过72小时。</w:t>
      </w:r>
    </w:p>
    <w:p w14:paraId="73A7DDB4">
      <w:pPr>
        <w:ind w:firstLine="640"/>
        <w:rPr>
          <w:sz w:val="32"/>
          <w:szCs w:val="32"/>
        </w:rPr>
      </w:pPr>
      <w:r>
        <w:rPr>
          <w:rFonts w:hint="eastAsia"/>
          <w:sz w:val="32"/>
          <w:szCs w:val="32"/>
        </w:rPr>
        <w:t>2</w:t>
      </w:r>
      <w:r>
        <w:rPr>
          <w:sz w:val="32"/>
          <w:szCs w:val="32"/>
        </w:rPr>
        <w:t>.4.8备份上月功能区声环境质量自动监测的原始数据，包括气象、车流量等相关数据。</w:t>
      </w:r>
    </w:p>
    <w:p w14:paraId="16B56994">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.5年度维护</w:t>
      </w:r>
    </w:p>
    <w:p w14:paraId="1A784D8D">
      <w:pPr>
        <w:ind w:firstLine="640"/>
        <w:rPr>
          <w:sz w:val="32"/>
          <w:szCs w:val="32"/>
        </w:rPr>
      </w:pPr>
      <w:r>
        <w:rPr>
          <w:rFonts w:hint="eastAsia"/>
          <w:sz w:val="32"/>
          <w:szCs w:val="32"/>
        </w:rPr>
        <w:t>2</w:t>
      </w:r>
      <w:r>
        <w:rPr>
          <w:sz w:val="32"/>
          <w:szCs w:val="32"/>
        </w:rPr>
        <w:t>.5.1盘点备件库存，提出当年仪器备品耗材的购置计划，确保噪声自动监测系统正常运行。</w:t>
      </w:r>
    </w:p>
    <w:p w14:paraId="50814ED9">
      <w:pPr>
        <w:ind w:firstLine="640"/>
        <w:rPr>
          <w:sz w:val="32"/>
          <w:szCs w:val="32"/>
        </w:rPr>
      </w:pPr>
      <w:r>
        <w:rPr>
          <w:rFonts w:hint="eastAsia"/>
          <w:sz w:val="32"/>
          <w:szCs w:val="32"/>
        </w:rPr>
        <w:t>2</w:t>
      </w:r>
      <w:r>
        <w:rPr>
          <w:sz w:val="32"/>
          <w:szCs w:val="32"/>
        </w:rPr>
        <w:t>.5.2按照仪器使用和维修手册规定的要求，根据配件使用状态，及时更换监测仪器中的风罩、路由器等配件。</w:t>
      </w:r>
    </w:p>
    <w:p w14:paraId="52CD2C87">
      <w:pPr>
        <w:ind w:firstLine="640"/>
        <w:rPr>
          <w:sz w:val="32"/>
          <w:szCs w:val="32"/>
        </w:rPr>
      </w:pPr>
      <w:r>
        <w:rPr>
          <w:rFonts w:hint="eastAsia"/>
          <w:sz w:val="32"/>
          <w:szCs w:val="32"/>
        </w:rPr>
        <w:t>2</w:t>
      </w:r>
      <w:r>
        <w:rPr>
          <w:sz w:val="32"/>
          <w:szCs w:val="32"/>
        </w:rPr>
        <w:t>.5.3视老化程度对机箱、支架等外部件进行保养，如：更换零件、喷涂防锈漆等，保证站点安全、稳固。</w:t>
      </w:r>
    </w:p>
    <w:p w14:paraId="2D591ED8">
      <w:pPr>
        <w:ind w:firstLine="640"/>
        <w:rPr>
          <w:sz w:val="32"/>
          <w:szCs w:val="32"/>
        </w:rPr>
      </w:pPr>
      <w:r>
        <w:rPr>
          <w:rFonts w:hint="eastAsia"/>
          <w:sz w:val="32"/>
          <w:szCs w:val="32"/>
        </w:rPr>
        <w:t>2</w:t>
      </w:r>
      <w:r>
        <w:rPr>
          <w:sz w:val="32"/>
          <w:szCs w:val="32"/>
        </w:rPr>
        <w:t>.5.4对电路板、电线、各种接头的老化程度进行检测，发现问题和安全隐患及时更换。</w:t>
      </w:r>
    </w:p>
    <w:p w14:paraId="39F2312D">
      <w:pPr>
        <w:ind w:firstLine="640"/>
        <w:rPr>
          <w:sz w:val="32"/>
          <w:szCs w:val="32"/>
        </w:rPr>
      </w:pPr>
      <w:r>
        <w:rPr>
          <w:rFonts w:hint="eastAsia"/>
          <w:sz w:val="32"/>
          <w:szCs w:val="32"/>
        </w:rPr>
        <w:t>2</w:t>
      </w:r>
      <w:r>
        <w:rPr>
          <w:sz w:val="32"/>
          <w:szCs w:val="32"/>
        </w:rPr>
        <w:t>.5.5对维护及更换配件情况进行记录。</w:t>
      </w:r>
    </w:p>
    <w:p w14:paraId="65EAAEB6">
      <w:r>
        <w:rPr>
          <w:rFonts w:hint="eastAsia"/>
          <w:sz w:val="32"/>
          <w:szCs w:val="32"/>
        </w:rPr>
        <w:t>2</w:t>
      </w:r>
      <w:r>
        <w:rPr>
          <w:sz w:val="32"/>
          <w:szCs w:val="32"/>
        </w:rPr>
        <w:t>.5.</w:t>
      </w:r>
      <w:r>
        <w:rPr>
          <w:rFonts w:hint="eastAsia"/>
          <w:sz w:val="32"/>
          <w:szCs w:val="32"/>
        </w:rPr>
        <w:t>6</w:t>
      </w:r>
      <w:r>
        <w:rPr>
          <w:sz w:val="32"/>
          <w:szCs w:val="32"/>
        </w:rPr>
        <w:t>定期提交每个监测子站的运行维护报告：每月维护结束后5日内提交运维记录报表；每季维护结束后10日内提交季度维护报告；每年提交年度维护报告。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7D48E"/>
    <w:multiLevelType w:val="singleLevel"/>
    <w:tmpl w:val="00E7D48E"/>
    <w:lvl w:ilvl="0" w:tentative="0">
      <w:start w:val="1"/>
      <w:numFmt w:val="decimal"/>
      <w:pStyle w:val="6"/>
      <w:suff w:val="nothing"/>
      <w:lvlText w:val="(%1)"/>
      <w:lvlJc w:val="left"/>
      <w:pPr>
        <w:ind w:left="420" w:leftChars="0" w:hanging="420" w:firstLineChars="0"/>
      </w:pPr>
      <w:rPr>
        <w:rFonts w:hint="default"/>
      </w:rPr>
    </w:lvl>
  </w:abstractNum>
  <w:abstractNum w:abstractNumId="1">
    <w:nsid w:val="396F915C"/>
    <w:multiLevelType w:val="multilevel"/>
    <w:tmpl w:val="396F915C"/>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tabs>
          <w:tab w:val="left" w:pos="0"/>
        </w:tabs>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ascii="微软雅黑" w:hAnsi="微软雅黑" w:eastAsia="微软雅黑" w:cs="微软雅黑"/>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WE3ODRjMDg4OGY3YzkyN2U4Y2Q5ZGVlMzgwNTcifQ=="/>
  </w:docVars>
  <w:rsids>
    <w:rsidRoot w:val="13834308"/>
    <w:rsid w:val="003D42F8"/>
    <w:rsid w:val="00D86A4A"/>
    <w:rsid w:val="01DC0921"/>
    <w:rsid w:val="0315776F"/>
    <w:rsid w:val="031B0138"/>
    <w:rsid w:val="03E21CB5"/>
    <w:rsid w:val="0483164E"/>
    <w:rsid w:val="04896E5D"/>
    <w:rsid w:val="0533072D"/>
    <w:rsid w:val="05510BD7"/>
    <w:rsid w:val="0A6F0BAC"/>
    <w:rsid w:val="0BF3713A"/>
    <w:rsid w:val="0C313EC2"/>
    <w:rsid w:val="0D1469FC"/>
    <w:rsid w:val="0DA41B83"/>
    <w:rsid w:val="0F9564DC"/>
    <w:rsid w:val="11812358"/>
    <w:rsid w:val="12BB7219"/>
    <w:rsid w:val="13834308"/>
    <w:rsid w:val="14C33AB5"/>
    <w:rsid w:val="15D042BA"/>
    <w:rsid w:val="160A4E94"/>
    <w:rsid w:val="16381B0E"/>
    <w:rsid w:val="174E29A3"/>
    <w:rsid w:val="17E017CB"/>
    <w:rsid w:val="18C24158"/>
    <w:rsid w:val="1AD93A76"/>
    <w:rsid w:val="1B3F1817"/>
    <w:rsid w:val="1C1A02E1"/>
    <w:rsid w:val="1D441B15"/>
    <w:rsid w:val="1D56725D"/>
    <w:rsid w:val="1F7E7F2B"/>
    <w:rsid w:val="22572493"/>
    <w:rsid w:val="22BB3D01"/>
    <w:rsid w:val="22FA3F7A"/>
    <w:rsid w:val="23062787"/>
    <w:rsid w:val="23384D2F"/>
    <w:rsid w:val="238D4AC2"/>
    <w:rsid w:val="23E66539"/>
    <w:rsid w:val="24E3525A"/>
    <w:rsid w:val="25105A94"/>
    <w:rsid w:val="26586DC8"/>
    <w:rsid w:val="27283EA7"/>
    <w:rsid w:val="28904FD2"/>
    <w:rsid w:val="2A906605"/>
    <w:rsid w:val="2ABC728F"/>
    <w:rsid w:val="2C1B2CF0"/>
    <w:rsid w:val="2C6728FA"/>
    <w:rsid w:val="2F396B52"/>
    <w:rsid w:val="2FE93128"/>
    <w:rsid w:val="30DF0573"/>
    <w:rsid w:val="310B520B"/>
    <w:rsid w:val="31E03612"/>
    <w:rsid w:val="32202587"/>
    <w:rsid w:val="32B0189E"/>
    <w:rsid w:val="33A03D17"/>
    <w:rsid w:val="347411FE"/>
    <w:rsid w:val="352B5D40"/>
    <w:rsid w:val="358F6B99"/>
    <w:rsid w:val="360F7DE6"/>
    <w:rsid w:val="362C03EF"/>
    <w:rsid w:val="37162F50"/>
    <w:rsid w:val="38342582"/>
    <w:rsid w:val="38A762B5"/>
    <w:rsid w:val="3AE1015D"/>
    <w:rsid w:val="3D027332"/>
    <w:rsid w:val="3D143CBF"/>
    <w:rsid w:val="3ED47BA5"/>
    <w:rsid w:val="3FFD6C8D"/>
    <w:rsid w:val="40BA03C7"/>
    <w:rsid w:val="40F23A26"/>
    <w:rsid w:val="412E621C"/>
    <w:rsid w:val="41932CFE"/>
    <w:rsid w:val="4368769D"/>
    <w:rsid w:val="44130FB7"/>
    <w:rsid w:val="4666013D"/>
    <w:rsid w:val="47010819"/>
    <w:rsid w:val="47927375"/>
    <w:rsid w:val="47A85461"/>
    <w:rsid w:val="47AF41B1"/>
    <w:rsid w:val="488F0E01"/>
    <w:rsid w:val="497178AF"/>
    <w:rsid w:val="4B534ADE"/>
    <w:rsid w:val="4D903D49"/>
    <w:rsid w:val="4F0B7849"/>
    <w:rsid w:val="5109055A"/>
    <w:rsid w:val="51F54A54"/>
    <w:rsid w:val="52155C86"/>
    <w:rsid w:val="527A64E9"/>
    <w:rsid w:val="559E60B2"/>
    <w:rsid w:val="55A13269"/>
    <w:rsid w:val="56BB4D84"/>
    <w:rsid w:val="584F6029"/>
    <w:rsid w:val="5AEB4E62"/>
    <w:rsid w:val="5AFA6F68"/>
    <w:rsid w:val="5B155C32"/>
    <w:rsid w:val="5B8D4F11"/>
    <w:rsid w:val="5CC13AD7"/>
    <w:rsid w:val="5DB61824"/>
    <w:rsid w:val="5DB93B64"/>
    <w:rsid w:val="5EF32261"/>
    <w:rsid w:val="6095043E"/>
    <w:rsid w:val="60B90C1E"/>
    <w:rsid w:val="62A660E9"/>
    <w:rsid w:val="62B44E29"/>
    <w:rsid w:val="63443004"/>
    <w:rsid w:val="635C1CED"/>
    <w:rsid w:val="65C03568"/>
    <w:rsid w:val="66A21997"/>
    <w:rsid w:val="68A12D73"/>
    <w:rsid w:val="691E2BE3"/>
    <w:rsid w:val="699D2050"/>
    <w:rsid w:val="69BE2739"/>
    <w:rsid w:val="6A59734F"/>
    <w:rsid w:val="6E1E5BAD"/>
    <w:rsid w:val="6E8612BC"/>
    <w:rsid w:val="6EEF326B"/>
    <w:rsid w:val="6EF065B3"/>
    <w:rsid w:val="6F4C31BA"/>
    <w:rsid w:val="6F6747F7"/>
    <w:rsid w:val="6F686419"/>
    <w:rsid w:val="708F2B0E"/>
    <w:rsid w:val="71303E41"/>
    <w:rsid w:val="716F0551"/>
    <w:rsid w:val="71DE7F80"/>
    <w:rsid w:val="71DF16C2"/>
    <w:rsid w:val="73247AB1"/>
    <w:rsid w:val="73A74769"/>
    <w:rsid w:val="744B7032"/>
    <w:rsid w:val="74F04C0C"/>
    <w:rsid w:val="750C7511"/>
    <w:rsid w:val="75A10669"/>
    <w:rsid w:val="75D87CAC"/>
    <w:rsid w:val="77A21925"/>
    <w:rsid w:val="78706AE6"/>
    <w:rsid w:val="78954CA0"/>
    <w:rsid w:val="78B05A6F"/>
    <w:rsid w:val="79C3033E"/>
    <w:rsid w:val="7A377B15"/>
    <w:rsid w:val="7A9E53BF"/>
    <w:rsid w:val="7AC9574D"/>
    <w:rsid w:val="7E0D5167"/>
    <w:rsid w:val="7F09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autoRedefine/>
    <w:qFormat/>
    <w:uiPriority w:val="0"/>
    <w:pPr>
      <w:keepNext/>
      <w:keepLines/>
      <w:numPr>
        <w:ilvl w:val="0"/>
        <w:numId w:val="1"/>
      </w:numPr>
      <w:tabs>
        <w:tab w:val="left" w:pos="0"/>
      </w:tabs>
      <w:spacing w:beforeLines="0" w:beforeAutospacing="0" w:afterLines="0" w:afterAutospacing="0" w:line="240" w:lineRule="auto"/>
      <w:ind w:firstLineChars="0"/>
      <w:jc w:val="center"/>
      <w:outlineLvl w:val="0"/>
    </w:pPr>
    <w:rPr>
      <w:rFonts w:ascii="Calibri" w:hAnsi="Calibri" w:eastAsia="宋体" w:cs="Times New Roman"/>
      <w:b/>
      <w:kern w:val="44"/>
      <w:sz w:val="36"/>
      <w:szCs w:val="22"/>
    </w:rPr>
  </w:style>
  <w:style w:type="paragraph" w:styleId="4">
    <w:name w:val="heading 2"/>
    <w:basedOn w:val="1"/>
    <w:next w:val="1"/>
    <w:link w:val="21"/>
    <w:autoRedefine/>
    <w:semiHidden/>
    <w:unhideWhenUsed/>
    <w:qFormat/>
    <w:uiPriority w:val="0"/>
    <w:pPr>
      <w:numPr>
        <w:ilvl w:val="1"/>
        <w:numId w:val="1"/>
      </w:numPr>
      <w:spacing w:before="0" w:beforeAutospacing="0" w:after="0" w:afterAutospacing="0"/>
      <w:ind w:firstLine="0" w:firstLineChars="0"/>
      <w:jc w:val="center"/>
      <w:outlineLvl w:val="1"/>
    </w:pPr>
    <w:rPr>
      <w:rFonts w:hint="eastAsia" w:ascii="宋体" w:hAnsi="宋体" w:eastAsia="宋体" w:cs="宋体"/>
      <w:b/>
      <w:bCs/>
      <w:snapToGrid w:val="0"/>
      <w:color w:val="000000"/>
      <w:kern w:val="0"/>
      <w:sz w:val="28"/>
      <w:szCs w:val="36"/>
      <w:lang w:eastAsia="en-US" w:bidi="ar"/>
    </w:rPr>
  </w:style>
  <w:style w:type="paragraph" w:styleId="5">
    <w:name w:val="heading 3"/>
    <w:basedOn w:val="1"/>
    <w:next w:val="1"/>
    <w:link w:val="23"/>
    <w:autoRedefine/>
    <w:semiHidden/>
    <w:unhideWhenUsed/>
    <w:qFormat/>
    <w:uiPriority w:val="0"/>
    <w:pPr>
      <w:keepNext/>
      <w:keepLines/>
      <w:numPr>
        <w:ilvl w:val="2"/>
        <w:numId w:val="1"/>
      </w:numPr>
      <w:spacing w:beforeLines="0" w:afterLines="0" w:line="360" w:lineRule="auto"/>
      <w:ind w:firstLine="400"/>
      <w:outlineLvl w:val="2"/>
    </w:pPr>
    <w:rPr>
      <w:rFonts w:ascii="Arial" w:hAnsi="Arial" w:eastAsia="Arial" w:cs="Arial"/>
      <w:b/>
      <w:bCs/>
      <w:snapToGrid w:val="0"/>
      <w:color w:val="000000"/>
      <w:kern w:val="0"/>
      <w:sz w:val="28"/>
      <w:szCs w:val="32"/>
      <w:lang w:eastAsia="en-US"/>
    </w:rPr>
  </w:style>
  <w:style w:type="paragraph" w:styleId="6">
    <w:name w:val="heading 4"/>
    <w:basedOn w:val="1"/>
    <w:next w:val="1"/>
    <w:link w:val="22"/>
    <w:autoRedefine/>
    <w:semiHidden/>
    <w:unhideWhenUsed/>
    <w:qFormat/>
    <w:uiPriority w:val="0"/>
    <w:pPr>
      <w:numPr>
        <w:ilvl w:val="0"/>
        <w:numId w:val="2"/>
      </w:numPr>
      <w:spacing w:beforeAutospacing="0" w:after="0" w:afterAutospacing="0" w:line="360" w:lineRule="auto"/>
      <w:ind w:left="0" w:firstLine="420" w:firstLineChars="200"/>
      <w:jc w:val="left"/>
      <w:outlineLvl w:val="3"/>
    </w:pPr>
    <w:rPr>
      <w:rFonts w:hint="eastAsia" w:ascii="宋体" w:hAnsi="宋体" w:eastAsia="宋体" w:cs="宋体"/>
      <w:b/>
      <w:bCs/>
      <w:color w:val="000000"/>
      <w:lang w:bidi="ar"/>
    </w:rPr>
  </w:style>
  <w:style w:type="paragraph" w:styleId="7">
    <w:name w:val="heading 5"/>
    <w:basedOn w:val="1"/>
    <w:next w:val="1"/>
    <w:autoRedefine/>
    <w:semiHidden/>
    <w:unhideWhenUsed/>
    <w:qFormat/>
    <w:uiPriority w:val="0"/>
    <w:pPr>
      <w:keepNext/>
      <w:keepLines/>
      <w:spacing w:beforeLines="0" w:beforeAutospacing="0" w:afterLines="0" w:afterAutospacing="0" w:line="240" w:lineRule="auto"/>
      <w:ind w:left="0" w:firstLine="0" w:firstLineChars="0"/>
      <w:outlineLvl w:val="4"/>
    </w:p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style>
  <w:style w:type="paragraph" w:styleId="12">
    <w:name w:val="Body Text"/>
    <w:basedOn w:val="1"/>
    <w:qFormat/>
    <w:uiPriority w:val="0"/>
    <w:pPr>
      <w:spacing w:line="360" w:lineRule="auto"/>
      <w:ind w:firstLine="400" w:firstLineChars="200"/>
    </w:pPr>
    <w:rPr>
      <w:rFonts w:ascii="宋体" w:hAnsi="宋体" w:eastAsia="宋体" w:cs="宋体"/>
      <w:snapToGrid w:val="0"/>
      <w:color w:val="000000"/>
      <w:kern w:val="0"/>
      <w:sz w:val="24"/>
      <w:szCs w:val="20"/>
      <w:lang w:eastAsia="en-US"/>
    </w:rPr>
  </w:style>
  <w:style w:type="paragraph" w:styleId="13">
    <w:name w:val="Body Text Indent"/>
    <w:basedOn w:val="1"/>
    <w:autoRedefine/>
    <w:qFormat/>
    <w:uiPriority w:val="0"/>
    <w:pPr>
      <w:spacing w:after="120" w:afterLines="0" w:afterAutospacing="0"/>
      <w:ind w:left="420" w:leftChars="200"/>
    </w:pPr>
  </w:style>
  <w:style w:type="paragraph" w:styleId="14">
    <w:name w:val="toc 3"/>
    <w:basedOn w:val="1"/>
    <w:next w:val="1"/>
    <w:autoRedefine/>
    <w:qFormat/>
    <w:uiPriority w:val="0"/>
    <w:pPr>
      <w:ind w:left="480" w:leftChars="200" w:firstLine="0" w:firstLineChars="0"/>
    </w:pPr>
    <w:rPr>
      <w:rFonts w:ascii="Times New Roman" w:hAnsi="Times New Roman" w:eastAsia="宋体"/>
    </w:rPr>
  </w:style>
  <w:style w:type="paragraph" w:styleId="15">
    <w:name w:val="toc 1"/>
    <w:basedOn w:val="1"/>
    <w:next w:val="1"/>
    <w:autoRedefine/>
    <w:qFormat/>
    <w:uiPriority w:val="0"/>
    <w:pPr>
      <w:ind w:firstLine="0" w:firstLineChars="0"/>
    </w:pPr>
    <w:rPr>
      <w:rFonts w:ascii="Times New Roman" w:hAnsi="Times New Roman" w:eastAsia="宋体"/>
    </w:rPr>
  </w:style>
  <w:style w:type="paragraph" w:styleId="16">
    <w:name w:val="toc 2"/>
    <w:basedOn w:val="1"/>
    <w:next w:val="1"/>
    <w:autoRedefine/>
    <w:qFormat/>
    <w:uiPriority w:val="0"/>
    <w:pPr>
      <w:ind w:left="240" w:leftChars="100" w:firstLine="0" w:firstLineChars="0"/>
    </w:pPr>
    <w:rPr>
      <w:rFonts w:ascii="Times New Roman" w:hAnsi="Times New Roman" w:eastAsia="宋体"/>
    </w:rPr>
  </w:style>
  <w:style w:type="paragraph" w:styleId="17">
    <w:name w:val="Body Text First Indent 2"/>
    <w:basedOn w:val="13"/>
    <w:autoRedefine/>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2 Char"/>
    <w:link w:val="4"/>
    <w:autoRedefine/>
    <w:qFormat/>
    <w:uiPriority w:val="0"/>
    <w:rPr>
      <w:rFonts w:ascii="宋体" w:hAnsi="宋体" w:eastAsia="宋体" w:cs="宋体"/>
      <w:b/>
      <w:bCs/>
      <w:snapToGrid w:val="0"/>
      <w:color w:val="000000"/>
      <w:kern w:val="0"/>
      <w:sz w:val="28"/>
      <w:szCs w:val="36"/>
      <w:lang w:val="en-US" w:eastAsia="en-US" w:bidi="ar"/>
    </w:rPr>
  </w:style>
  <w:style w:type="character" w:customStyle="1" w:styleId="22">
    <w:name w:val="标题 4 Char"/>
    <w:link w:val="6"/>
    <w:autoRedefine/>
    <w:qFormat/>
    <w:uiPriority w:val="0"/>
    <w:rPr>
      <w:rFonts w:ascii="宋体" w:hAnsi="宋体" w:eastAsia="宋体" w:cs="宋体"/>
      <w:b/>
      <w:snapToGrid w:val="0"/>
      <w:color w:val="000000"/>
      <w:kern w:val="0"/>
      <w:szCs w:val="21"/>
      <w:lang w:eastAsia="en-US"/>
    </w:rPr>
  </w:style>
  <w:style w:type="character" w:customStyle="1" w:styleId="23">
    <w:name w:val="标题 3 Char"/>
    <w:link w:val="5"/>
    <w:qFormat/>
    <w:uiPriority w:val="0"/>
    <w:rPr>
      <w:rFonts w:ascii="Arial" w:hAnsi="Arial" w:eastAsia="Arial" w:cs="Arial"/>
      <w:b/>
      <w:bCs/>
      <w:snapToGrid w:val="0"/>
      <w:color w:val="000000"/>
      <w:kern w:val="0"/>
      <w:sz w:val="28"/>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2532</Words>
  <Characters>2746</Characters>
  <Lines>0</Lines>
  <Paragraphs>0</Paragraphs>
  <TotalTime>0</TotalTime>
  <ScaleCrop>false</ScaleCrop>
  <LinksUpToDate>false</LinksUpToDate>
  <CharactersWithSpaces>2758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2024-11-22T06:44:00Z</dcterms:created>
  <dc:creator>王</dc:creator>
  <cp:lastModifiedBy>纹</cp:lastModifiedBy>
  <dcterms:modified xsi:type="dcterms:W3CDTF">2024-12-03T00:51:04Z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EAA79EFFAFE046378E65CD1993ADC545_11</vt:lpwstr>
  </property>
</Properties>
</file>