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5BD21">
      <w:pPr>
        <w:autoSpaceDE w:val="0"/>
        <w:autoSpaceDN w:val="0"/>
        <w:adjustRightInd w:val="0"/>
        <w:jc w:val="left"/>
      </w:pPr>
      <w:bookmarkStart w:id="0" w:name="_GoBack"/>
      <w:bookmarkEnd w:id="0"/>
      <w:r>
        <w:rPr>
          <w:rFonts w:hint="eastAsia" w:ascii="仿宋" w:hAnsi="仿宋" w:eastAsia="仿宋" w:cs="宋体"/>
          <w:color w:val="666666"/>
          <w:kern w:val="0"/>
          <w:sz w:val="28"/>
          <w:szCs w:val="28"/>
        </w:rPr>
        <w:t>文件参数</w:t>
      </w:r>
    </w:p>
    <w:p w14:paraId="5BF17C4C"/>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1220"/>
        <w:gridCol w:w="3765"/>
      </w:tblGrid>
      <w:tr w14:paraId="6ECD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2" w:type="dxa"/>
          </w:tcPr>
          <w:p w14:paraId="75FA7EDA">
            <w:pPr>
              <w:autoSpaceDE w:val="0"/>
              <w:autoSpaceDN w:val="0"/>
              <w:adjustRightInd w:val="0"/>
              <w:jc w:val="left"/>
              <w:rPr>
                <w:rFonts w:hint="eastAsia" w:ascii="仿宋" w:hAnsi="仿宋" w:eastAsia="仿宋" w:cs="仿宋"/>
                <w:b/>
                <w:bCs/>
                <w:color w:val="666666"/>
                <w:kern w:val="0"/>
                <w:sz w:val="24"/>
                <w:szCs w:val="24"/>
              </w:rPr>
            </w:pPr>
            <w:r>
              <w:rPr>
                <w:rFonts w:hint="eastAsia" w:ascii="仿宋" w:hAnsi="仿宋" w:eastAsia="仿宋" w:cs="仿宋"/>
                <w:b/>
                <w:bCs/>
                <w:color w:val="666666"/>
                <w:kern w:val="0"/>
                <w:sz w:val="24"/>
                <w:szCs w:val="24"/>
              </w:rPr>
              <w:t>序号</w:t>
            </w:r>
          </w:p>
        </w:tc>
        <w:tc>
          <w:tcPr>
            <w:tcW w:w="1220" w:type="dxa"/>
          </w:tcPr>
          <w:p w14:paraId="09420706">
            <w:pPr>
              <w:autoSpaceDE w:val="0"/>
              <w:autoSpaceDN w:val="0"/>
              <w:adjustRightInd w:val="0"/>
              <w:jc w:val="left"/>
              <w:rPr>
                <w:rFonts w:hint="eastAsia" w:ascii="仿宋" w:hAnsi="仿宋" w:eastAsia="仿宋" w:cs="仿宋"/>
                <w:b/>
                <w:bCs/>
                <w:color w:val="666666"/>
                <w:kern w:val="0"/>
                <w:sz w:val="24"/>
                <w:szCs w:val="24"/>
              </w:rPr>
            </w:pPr>
            <w:r>
              <w:rPr>
                <w:rFonts w:hint="eastAsia" w:ascii="仿宋" w:hAnsi="仿宋" w:eastAsia="仿宋" w:cs="仿宋"/>
                <w:b/>
                <w:bCs/>
                <w:color w:val="666666"/>
                <w:kern w:val="0"/>
                <w:sz w:val="24"/>
                <w:szCs w:val="24"/>
              </w:rPr>
              <w:t>服务名称</w:t>
            </w:r>
          </w:p>
        </w:tc>
        <w:tc>
          <w:tcPr>
            <w:tcW w:w="3765" w:type="dxa"/>
          </w:tcPr>
          <w:p w14:paraId="4FBE0DBC">
            <w:pPr>
              <w:autoSpaceDE w:val="0"/>
              <w:autoSpaceDN w:val="0"/>
              <w:adjustRightInd w:val="0"/>
              <w:jc w:val="left"/>
              <w:rPr>
                <w:rFonts w:hint="eastAsia" w:ascii="仿宋" w:hAnsi="仿宋" w:eastAsia="仿宋" w:cs="仿宋"/>
                <w:b/>
                <w:bCs/>
                <w:color w:val="666666"/>
                <w:kern w:val="0"/>
                <w:sz w:val="24"/>
                <w:szCs w:val="24"/>
              </w:rPr>
            </w:pPr>
            <w:r>
              <w:rPr>
                <w:rFonts w:hint="eastAsia" w:ascii="仿宋" w:hAnsi="仿宋" w:eastAsia="仿宋" w:cs="仿宋"/>
                <w:b/>
                <w:bCs/>
                <w:color w:val="666666"/>
                <w:kern w:val="0"/>
                <w:sz w:val="24"/>
                <w:szCs w:val="24"/>
              </w:rPr>
              <w:t>服务需求</w:t>
            </w:r>
          </w:p>
        </w:tc>
      </w:tr>
      <w:tr w14:paraId="64AA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472B1ACE">
            <w:pPr>
              <w:autoSpaceDE w:val="0"/>
              <w:autoSpaceDN w:val="0"/>
              <w:adjustRightInd w:val="0"/>
              <w:jc w:val="center"/>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1</w:t>
            </w:r>
          </w:p>
        </w:tc>
        <w:tc>
          <w:tcPr>
            <w:tcW w:w="1220" w:type="dxa"/>
            <w:vAlign w:val="center"/>
          </w:tcPr>
          <w:p w14:paraId="40DC1FCD">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kern w:val="0"/>
                <w:sz w:val="24"/>
                <w:szCs w:val="24"/>
              </w:rPr>
              <w:t>不动产与房产数据比对管理</w:t>
            </w:r>
          </w:p>
        </w:tc>
        <w:tc>
          <w:tcPr>
            <w:tcW w:w="3765" w:type="dxa"/>
            <w:vAlign w:val="center"/>
          </w:tcPr>
          <w:p w14:paraId="003E9A0A">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房产端导出所有商品房楼盘信息，交由不动产挂接房屋信息，并回传商品房房屋异常状态（查封、抵押、预告、产权） 交由房产端比对。</w:t>
            </w:r>
          </w:p>
        </w:tc>
      </w:tr>
      <w:tr w14:paraId="4DC3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7AD88B4B">
            <w:pPr>
              <w:autoSpaceDE w:val="0"/>
              <w:autoSpaceDN w:val="0"/>
              <w:adjustRightInd w:val="0"/>
              <w:jc w:val="center"/>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2</w:t>
            </w:r>
          </w:p>
        </w:tc>
        <w:tc>
          <w:tcPr>
            <w:tcW w:w="1220" w:type="dxa"/>
            <w:vAlign w:val="center"/>
          </w:tcPr>
          <w:p w14:paraId="54E14C2E">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kern w:val="0"/>
                <w:sz w:val="24"/>
                <w:szCs w:val="24"/>
              </w:rPr>
              <w:t>商品楼盘同步接口</w:t>
            </w:r>
          </w:p>
        </w:tc>
        <w:tc>
          <w:tcPr>
            <w:tcW w:w="3765" w:type="dxa"/>
            <w:vAlign w:val="center"/>
          </w:tcPr>
          <w:p w14:paraId="11AC49EA">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商品房预销售审批系统在预（销）售申 请、变更业务办结后，将预（销）售信 息同步</w:t>
            </w:r>
          </w:p>
          <w:p w14:paraId="693FF9F2">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到“中间库”，其中包括开发企 业信息、预（销）售项目信息幢信息、 房信息。</w:t>
            </w:r>
          </w:p>
        </w:tc>
      </w:tr>
      <w:tr w14:paraId="359F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383F9E30">
            <w:pPr>
              <w:autoSpaceDE w:val="0"/>
              <w:autoSpaceDN w:val="0"/>
              <w:adjustRightInd w:val="0"/>
              <w:jc w:val="center"/>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3</w:t>
            </w:r>
          </w:p>
        </w:tc>
        <w:tc>
          <w:tcPr>
            <w:tcW w:w="1220" w:type="dxa"/>
            <w:vAlign w:val="center"/>
          </w:tcPr>
          <w:p w14:paraId="7013D560">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kern w:val="0"/>
                <w:sz w:val="24"/>
                <w:szCs w:val="24"/>
              </w:rPr>
              <w:t>商品房合同信息查询接口</w:t>
            </w:r>
          </w:p>
        </w:tc>
        <w:tc>
          <w:tcPr>
            <w:tcW w:w="3765" w:type="dxa"/>
            <w:vAlign w:val="center"/>
          </w:tcPr>
          <w:p w14:paraId="1A07A117">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不动产根据商品房合同号提取合同信 息，其中包括合同基本信息、卖房信息、</w:t>
            </w:r>
          </w:p>
          <w:p w14:paraId="17C74D2F">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买方信息。</w:t>
            </w:r>
          </w:p>
        </w:tc>
      </w:tr>
      <w:tr w14:paraId="3BC6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1A12C4E9">
            <w:pPr>
              <w:autoSpaceDE w:val="0"/>
              <w:autoSpaceDN w:val="0"/>
              <w:adjustRightInd w:val="0"/>
              <w:jc w:val="center"/>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4</w:t>
            </w:r>
          </w:p>
        </w:tc>
        <w:tc>
          <w:tcPr>
            <w:tcW w:w="1220" w:type="dxa"/>
            <w:vAlign w:val="center"/>
          </w:tcPr>
          <w:p w14:paraId="1668EFFC">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kern w:val="0"/>
                <w:sz w:val="24"/>
                <w:szCs w:val="24"/>
              </w:rPr>
              <w:t>商品房状态更新接口</w:t>
            </w:r>
          </w:p>
        </w:tc>
        <w:tc>
          <w:tcPr>
            <w:tcW w:w="3765" w:type="dxa"/>
            <w:vAlign w:val="center"/>
          </w:tcPr>
          <w:p w14:paraId="25AD17A9">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不动产受理预查封登记、商品房转移登记，商品房买卖、商品房预告设立/注销登、预告抵押设立/注销登记、在建工程抵押设立/注销登记受理、作废时，需要调用此接口更新商品房信息， 防止己限制的合同被注销。</w:t>
            </w:r>
          </w:p>
        </w:tc>
      </w:tr>
      <w:tr w14:paraId="5AF5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7FB22C1A">
            <w:pPr>
              <w:autoSpaceDE w:val="0"/>
              <w:autoSpaceDN w:val="0"/>
              <w:adjustRightInd w:val="0"/>
              <w:jc w:val="center"/>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5</w:t>
            </w:r>
          </w:p>
        </w:tc>
        <w:tc>
          <w:tcPr>
            <w:tcW w:w="1220" w:type="dxa"/>
            <w:vAlign w:val="center"/>
          </w:tcPr>
          <w:p w14:paraId="7E3511FC">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kern w:val="0"/>
                <w:sz w:val="24"/>
                <w:szCs w:val="24"/>
              </w:rPr>
              <w:t>业务受理数据同步接口</w:t>
            </w:r>
          </w:p>
        </w:tc>
        <w:tc>
          <w:tcPr>
            <w:tcW w:w="3765" w:type="dxa"/>
            <w:vAlign w:val="center"/>
          </w:tcPr>
          <w:p w14:paraId="143982FE">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房产接收程序将不动产受理信息实时 存储到房产数据库中，房产接收程序保 证每条数据入库时插入或更新一条操 作日志，接收成功或接收失败，接收程 序会实时反馈给不动产推送程序，业务 受理推送包含:不动产初始登记受理信 息、不动产转移登记受理信息、不动产 变更登记受理信息、不动产抵押登记受 理信息、不动产查封登记受理信、补换证登记受理信息。</w:t>
            </w:r>
          </w:p>
        </w:tc>
      </w:tr>
      <w:tr w14:paraId="7617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7385F222">
            <w:pPr>
              <w:autoSpaceDE w:val="0"/>
              <w:autoSpaceDN w:val="0"/>
              <w:adjustRightInd w:val="0"/>
              <w:jc w:val="center"/>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6</w:t>
            </w:r>
          </w:p>
        </w:tc>
        <w:tc>
          <w:tcPr>
            <w:tcW w:w="1220" w:type="dxa"/>
            <w:vAlign w:val="center"/>
          </w:tcPr>
          <w:p w14:paraId="2E13F90C">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kern w:val="0"/>
                <w:sz w:val="24"/>
                <w:szCs w:val="24"/>
              </w:rPr>
              <w:t>业务办结数据同步接口</w:t>
            </w:r>
          </w:p>
        </w:tc>
        <w:tc>
          <w:tcPr>
            <w:tcW w:w="3765" w:type="dxa"/>
            <w:vAlign w:val="center"/>
          </w:tcPr>
          <w:p w14:paraId="224BF63A">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房产业务办结数据接收端程序,将不动 产推送的业务登记办结数据进行数据 挂接</w:t>
            </w:r>
          </w:p>
          <w:p w14:paraId="2539A0DF">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，挂接内容包括：房屋证载信息、 房屋属性信息、房屋权利人信息、房屋 状态信息等。房产接收程序保</w:t>
            </w:r>
          </w:p>
          <w:p w14:paraId="01FA83C8">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证每条数 据入库时插入或更新一条操作日志，接 收成功或接收失败，接收程序会实时反 馈给不动产推送程序。</w:t>
            </w:r>
          </w:p>
        </w:tc>
      </w:tr>
      <w:tr w14:paraId="4CE2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677B7B04">
            <w:pPr>
              <w:autoSpaceDE w:val="0"/>
              <w:autoSpaceDN w:val="0"/>
              <w:adjustRightInd w:val="0"/>
              <w:jc w:val="center"/>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7</w:t>
            </w:r>
          </w:p>
        </w:tc>
        <w:tc>
          <w:tcPr>
            <w:tcW w:w="1220" w:type="dxa"/>
            <w:vAlign w:val="center"/>
          </w:tcPr>
          <w:p w14:paraId="2BDCBCF0">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kern w:val="0"/>
                <w:sz w:val="24"/>
                <w:szCs w:val="24"/>
              </w:rPr>
              <w:t>业务作废信息同步接口</w:t>
            </w:r>
          </w:p>
        </w:tc>
        <w:tc>
          <w:tcPr>
            <w:tcW w:w="3765" w:type="dxa"/>
            <w:vAlign w:val="center"/>
          </w:tcPr>
          <w:p w14:paraId="3A29F4F2">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在不动产登记业务受理和办理过程中， 如发生退件或作废件情况时，需要调用房产业务作废信息同步接口，将房产已 接收过的数据进行状态更新和同步。</w:t>
            </w:r>
          </w:p>
        </w:tc>
      </w:tr>
      <w:tr w14:paraId="485E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197CCD53">
            <w:pPr>
              <w:autoSpaceDE w:val="0"/>
              <w:autoSpaceDN w:val="0"/>
              <w:adjustRightInd w:val="0"/>
              <w:jc w:val="center"/>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8</w:t>
            </w:r>
          </w:p>
        </w:tc>
        <w:tc>
          <w:tcPr>
            <w:tcW w:w="1220" w:type="dxa"/>
            <w:vAlign w:val="center"/>
          </w:tcPr>
          <w:p w14:paraId="6ED27FB3">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kern w:val="0"/>
                <w:sz w:val="24"/>
                <w:szCs w:val="24"/>
              </w:rPr>
              <w:t>有效性信息验证接口</w:t>
            </w:r>
          </w:p>
        </w:tc>
        <w:tc>
          <w:tcPr>
            <w:tcW w:w="3765" w:type="dxa"/>
            <w:vAlign w:val="center"/>
          </w:tcPr>
          <w:p w14:paraId="6C19FF04">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房产有效性信息验证接口核验内容包 括1 否，是否有抵押、是否有査 封、是否有异</w:t>
            </w:r>
          </w:p>
          <w:p w14:paraId="6013C12A">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议，是否转移变更，通过 房产有效性信息验证接口实时调用不 动产登记系统相关房屋有效性状态数 据,房产有效性信息验证接口在调用每 个房屋状态时，需要将有效性信息验证 结果信息实时写入到房产库相应日志 表中，调取数据成功或失败都要记录数 据库日志。</w:t>
            </w:r>
          </w:p>
        </w:tc>
      </w:tr>
      <w:tr w14:paraId="5554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73ED06EC">
            <w:pPr>
              <w:autoSpaceDE w:val="0"/>
              <w:autoSpaceDN w:val="0"/>
              <w:adjustRightInd w:val="0"/>
              <w:jc w:val="center"/>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9</w:t>
            </w:r>
          </w:p>
        </w:tc>
        <w:tc>
          <w:tcPr>
            <w:tcW w:w="1220" w:type="dxa"/>
            <w:vAlign w:val="center"/>
          </w:tcPr>
          <w:p w14:paraId="288D37FA">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rPr>
              <w:t>存量房网签合同数据同步接</w:t>
            </w:r>
          </w:p>
          <w:p w14:paraId="5402769E">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kern w:val="0"/>
                <w:sz w:val="24"/>
                <w:szCs w:val="24"/>
              </w:rPr>
              <w:t>口</w:t>
            </w:r>
          </w:p>
        </w:tc>
        <w:tc>
          <w:tcPr>
            <w:tcW w:w="3765" w:type="dxa"/>
            <w:vAlign w:val="center"/>
          </w:tcPr>
          <w:p w14:paraId="70957766">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不动产根据二手房合同号提取合同信 息，其中包括合同基本信息、卖房信息、 买方信息。</w:t>
            </w:r>
          </w:p>
        </w:tc>
      </w:tr>
      <w:tr w14:paraId="0DD7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20A3FFBB">
            <w:pPr>
              <w:autoSpaceDE w:val="0"/>
              <w:autoSpaceDN w:val="0"/>
              <w:adjustRightInd w:val="0"/>
              <w:jc w:val="center"/>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10</w:t>
            </w:r>
          </w:p>
        </w:tc>
        <w:tc>
          <w:tcPr>
            <w:tcW w:w="1220" w:type="dxa"/>
            <w:vAlign w:val="center"/>
          </w:tcPr>
          <w:p w14:paraId="6E7856D9">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rPr>
              <w:t>联调部署</w:t>
            </w:r>
          </w:p>
          <w:p w14:paraId="70097933">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rPr>
              <w:t>和上线</w:t>
            </w:r>
          </w:p>
        </w:tc>
        <w:tc>
          <w:tcPr>
            <w:tcW w:w="3765" w:type="dxa"/>
            <w:vAlign w:val="center"/>
          </w:tcPr>
          <w:p w14:paraId="370C721D">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color w:val="666666"/>
                <w:kern w:val="0"/>
                <w:sz w:val="24"/>
                <w:szCs w:val="24"/>
              </w:rPr>
              <w:t>将开发完成的房产各类接收和推送程序部署到房产端服务器，搭建测试环境 、编写测试用例、准备测试数 据，房产业务部门、不动产业务部门、双方技术对接负责单位进行联调测试，确保双方接口平稳上线运行。</w:t>
            </w:r>
          </w:p>
        </w:tc>
      </w:tr>
      <w:tr w14:paraId="665D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443B8275">
            <w:pPr>
              <w:autoSpaceDE w:val="0"/>
              <w:autoSpaceDN w:val="0"/>
              <w:adjustRightInd w:val="0"/>
              <w:jc w:val="center"/>
              <w:rPr>
                <w:rFonts w:hint="eastAsia" w:ascii="仿宋" w:hAnsi="仿宋" w:eastAsia="仿宋" w:cs="仿宋"/>
                <w:color w:val="666666"/>
                <w:kern w:val="0"/>
                <w:sz w:val="24"/>
                <w:szCs w:val="24"/>
                <w:lang w:val="en-US" w:eastAsia="zh-CN"/>
              </w:rPr>
            </w:pPr>
            <w:r>
              <w:rPr>
                <w:rFonts w:hint="eastAsia" w:ascii="仿宋" w:hAnsi="仿宋" w:eastAsia="仿宋" w:cs="仿宋"/>
                <w:color w:val="666666"/>
                <w:kern w:val="0"/>
                <w:sz w:val="24"/>
                <w:szCs w:val="24"/>
                <w:lang w:val="en-US" w:eastAsia="zh-CN"/>
              </w:rPr>
              <w:t>11</w:t>
            </w:r>
          </w:p>
        </w:tc>
        <w:tc>
          <w:tcPr>
            <w:tcW w:w="1220" w:type="dxa"/>
            <w:vAlign w:val="center"/>
          </w:tcPr>
          <w:p w14:paraId="1442F942">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存量房一件事</w:t>
            </w:r>
            <w:r>
              <w:rPr>
                <w:rFonts w:hint="eastAsia" w:ascii="仿宋" w:hAnsi="仿宋" w:eastAsia="仿宋" w:cs="仿宋"/>
                <w:kern w:val="0"/>
                <w:sz w:val="24"/>
                <w:szCs w:val="24"/>
                <w:lang w:val="en-US"/>
              </w:rPr>
              <w:t>存量房买卖合同核验</w:t>
            </w:r>
          </w:p>
        </w:tc>
        <w:tc>
          <w:tcPr>
            <w:tcW w:w="3765" w:type="dxa"/>
            <w:vAlign w:val="top"/>
          </w:tcPr>
          <w:p w14:paraId="362B59E1">
            <w:pPr>
              <w:pStyle w:val="5"/>
              <w:spacing w:before="3"/>
              <w:rPr>
                <w:rFonts w:hint="eastAsia" w:ascii="仿宋" w:hAnsi="仿宋" w:eastAsia="仿宋" w:cs="仿宋"/>
                <w:color w:val="666666"/>
                <w:kern w:val="0"/>
                <w:sz w:val="24"/>
                <w:szCs w:val="24"/>
              </w:rPr>
            </w:pPr>
            <w:r>
              <w:rPr>
                <w:rFonts w:hint="eastAsia" w:ascii="仿宋" w:hAnsi="仿宋" w:eastAsia="仿宋" w:cs="仿宋"/>
                <w:bCs/>
                <w:sz w:val="24"/>
                <w:szCs w:val="28"/>
                <w:lang w:val="en-US"/>
              </w:rPr>
              <w:t>“黑龙江省数字政府系统”通过该接口验证申报信息是否可以进行网签备案业务。</w:t>
            </w:r>
          </w:p>
        </w:tc>
      </w:tr>
      <w:tr w14:paraId="622B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4F85C118">
            <w:pPr>
              <w:autoSpaceDE w:val="0"/>
              <w:autoSpaceDN w:val="0"/>
              <w:adjustRightInd w:val="0"/>
              <w:jc w:val="center"/>
              <w:rPr>
                <w:rFonts w:hint="eastAsia" w:ascii="仿宋" w:hAnsi="仿宋" w:eastAsia="仿宋" w:cs="仿宋"/>
                <w:color w:val="666666"/>
                <w:kern w:val="0"/>
                <w:sz w:val="24"/>
                <w:szCs w:val="24"/>
                <w:lang w:val="en-US" w:eastAsia="zh-CN"/>
              </w:rPr>
            </w:pPr>
            <w:r>
              <w:rPr>
                <w:rFonts w:hint="eastAsia" w:ascii="仿宋" w:hAnsi="仿宋" w:eastAsia="仿宋" w:cs="仿宋"/>
                <w:color w:val="666666"/>
                <w:kern w:val="0"/>
                <w:sz w:val="24"/>
                <w:szCs w:val="24"/>
                <w:lang w:val="en-US" w:eastAsia="zh-CN"/>
              </w:rPr>
              <w:t>12</w:t>
            </w:r>
          </w:p>
        </w:tc>
        <w:tc>
          <w:tcPr>
            <w:tcW w:w="1220" w:type="dxa"/>
            <w:vAlign w:val="center"/>
          </w:tcPr>
          <w:p w14:paraId="23511B7D">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存量房一件事办件信息接收</w:t>
            </w:r>
          </w:p>
        </w:tc>
        <w:tc>
          <w:tcPr>
            <w:tcW w:w="3765" w:type="dxa"/>
            <w:vAlign w:val="top"/>
          </w:tcPr>
          <w:p w14:paraId="7FE63F63">
            <w:pPr>
              <w:pStyle w:val="5"/>
              <w:spacing w:before="3"/>
              <w:rPr>
                <w:rFonts w:hint="eastAsia" w:ascii="仿宋" w:hAnsi="仿宋" w:eastAsia="仿宋" w:cs="仿宋"/>
                <w:color w:val="666666"/>
                <w:kern w:val="0"/>
                <w:sz w:val="24"/>
                <w:szCs w:val="24"/>
              </w:rPr>
            </w:pPr>
            <w:r>
              <w:rPr>
                <w:rFonts w:hint="eastAsia" w:ascii="仿宋" w:hAnsi="仿宋" w:eastAsia="仿宋" w:cs="仿宋"/>
                <w:bCs/>
                <w:sz w:val="24"/>
                <w:szCs w:val="28"/>
                <w:lang w:val="en-US"/>
              </w:rPr>
              <w:t>用于接收“黑龙江省数字政府系统”推送的办件申报信息，存量房网签备案系统验证办件申报信息有效性后，完成存量房买卖合同的自动生成工作。</w:t>
            </w:r>
          </w:p>
        </w:tc>
      </w:tr>
      <w:tr w14:paraId="418A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7EBAFF34">
            <w:pPr>
              <w:autoSpaceDE w:val="0"/>
              <w:autoSpaceDN w:val="0"/>
              <w:adjustRightInd w:val="0"/>
              <w:jc w:val="center"/>
              <w:rPr>
                <w:rFonts w:hint="eastAsia" w:ascii="仿宋" w:hAnsi="仿宋" w:eastAsia="仿宋" w:cs="仿宋"/>
                <w:color w:val="666666"/>
                <w:kern w:val="0"/>
                <w:sz w:val="24"/>
                <w:szCs w:val="24"/>
                <w:lang w:val="en-US" w:eastAsia="zh-CN"/>
              </w:rPr>
            </w:pPr>
            <w:r>
              <w:rPr>
                <w:rFonts w:hint="eastAsia" w:ascii="仿宋" w:hAnsi="仿宋" w:eastAsia="仿宋" w:cs="仿宋"/>
                <w:color w:val="666666"/>
                <w:kern w:val="0"/>
                <w:sz w:val="24"/>
                <w:szCs w:val="24"/>
                <w:lang w:val="en-US" w:eastAsia="zh-CN"/>
              </w:rPr>
              <w:t>13</w:t>
            </w:r>
          </w:p>
        </w:tc>
        <w:tc>
          <w:tcPr>
            <w:tcW w:w="1220" w:type="dxa"/>
            <w:vAlign w:val="center"/>
          </w:tcPr>
          <w:p w14:paraId="1F2F16A3">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存量房一件事签字合同文本接收</w:t>
            </w:r>
          </w:p>
        </w:tc>
        <w:tc>
          <w:tcPr>
            <w:tcW w:w="3765" w:type="dxa"/>
            <w:vAlign w:val="top"/>
          </w:tcPr>
          <w:p w14:paraId="5F3F759F">
            <w:pPr>
              <w:pStyle w:val="5"/>
              <w:spacing w:before="3"/>
              <w:rPr>
                <w:rFonts w:hint="eastAsia" w:ascii="仿宋" w:hAnsi="仿宋" w:eastAsia="仿宋" w:cs="仿宋"/>
                <w:bCs/>
                <w:sz w:val="24"/>
                <w:szCs w:val="28"/>
                <w:lang w:val="en-US"/>
              </w:rPr>
            </w:pPr>
            <w:r>
              <w:rPr>
                <w:rFonts w:hint="eastAsia" w:ascii="仿宋" w:hAnsi="仿宋" w:eastAsia="仿宋" w:cs="仿宋"/>
                <w:bCs/>
                <w:sz w:val="24"/>
                <w:szCs w:val="28"/>
                <w:lang w:val="en-US"/>
              </w:rPr>
              <w:t>要用于接收“黑龙江省数字政府系统”推送的已完成双方签字的合同文本数据，存量房网签备案系统将签字合同存档并自动完成合同备案工作。</w:t>
            </w:r>
          </w:p>
          <w:p w14:paraId="173E9DB5">
            <w:pPr>
              <w:pStyle w:val="5"/>
              <w:spacing w:before="3"/>
              <w:rPr>
                <w:rFonts w:hint="eastAsia" w:ascii="仿宋" w:hAnsi="仿宋" w:eastAsia="仿宋" w:cs="仿宋"/>
                <w:color w:val="666666"/>
                <w:kern w:val="0"/>
                <w:sz w:val="24"/>
                <w:szCs w:val="24"/>
              </w:rPr>
            </w:pPr>
          </w:p>
        </w:tc>
      </w:tr>
      <w:tr w14:paraId="4CDB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17BD8A76">
            <w:pPr>
              <w:autoSpaceDE w:val="0"/>
              <w:autoSpaceDN w:val="0"/>
              <w:adjustRightInd w:val="0"/>
              <w:jc w:val="center"/>
              <w:rPr>
                <w:rFonts w:hint="eastAsia" w:ascii="仿宋" w:hAnsi="仿宋" w:eastAsia="仿宋" w:cs="仿宋"/>
                <w:color w:val="666666"/>
                <w:kern w:val="0"/>
                <w:sz w:val="24"/>
                <w:szCs w:val="24"/>
                <w:lang w:val="en-US" w:eastAsia="zh-CN"/>
              </w:rPr>
            </w:pPr>
            <w:r>
              <w:rPr>
                <w:rFonts w:hint="eastAsia" w:ascii="仿宋" w:hAnsi="仿宋" w:eastAsia="仿宋" w:cs="仿宋"/>
                <w:color w:val="666666"/>
                <w:kern w:val="0"/>
                <w:sz w:val="24"/>
                <w:szCs w:val="24"/>
                <w:lang w:val="en-US" w:eastAsia="zh-CN"/>
              </w:rPr>
              <w:t>14</w:t>
            </w:r>
          </w:p>
        </w:tc>
        <w:tc>
          <w:tcPr>
            <w:tcW w:w="1220" w:type="dxa"/>
            <w:vAlign w:val="center"/>
          </w:tcPr>
          <w:p w14:paraId="073FFBEB">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存量房一件事材料上传对接</w:t>
            </w:r>
          </w:p>
        </w:tc>
        <w:tc>
          <w:tcPr>
            <w:tcW w:w="3765" w:type="dxa"/>
            <w:vAlign w:val="top"/>
          </w:tcPr>
          <w:p w14:paraId="40A9DC3C">
            <w:pPr>
              <w:pStyle w:val="5"/>
              <w:spacing w:before="3"/>
              <w:rPr>
                <w:rFonts w:hint="eastAsia" w:ascii="仿宋" w:hAnsi="仿宋" w:eastAsia="仿宋" w:cs="仿宋"/>
                <w:color w:val="666666"/>
                <w:kern w:val="0"/>
                <w:sz w:val="24"/>
                <w:szCs w:val="24"/>
              </w:rPr>
            </w:pPr>
            <w:r>
              <w:rPr>
                <w:rFonts w:hint="eastAsia" w:ascii="仿宋" w:hAnsi="仿宋" w:eastAsia="仿宋" w:cs="仿宋"/>
                <w:bCs/>
                <w:sz w:val="24"/>
                <w:szCs w:val="28"/>
                <w:lang w:val="en-US"/>
              </w:rPr>
              <w:t>业务对接系统通过该接口将存量房网签备案系统生成的草签合同文本数据上传值材料中心，用于“黑龙江省数字政府系统”完成在线签字工作。</w:t>
            </w:r>
          </w:p>
        </w:tc>
      </w:tr>
      <w:tr w14:paraId="1B40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02FA7815">
            <w:pPr>
              <w:autoSpaceDE w:val="0"/>
              <w:autoSpaceDN w:val="0"/>
              <w:adjustRightInd w:val="0"/>
              <w:jc w:val="center"/>
              <w:rPr>
                <w:rFonts w:hint="eastAsia" w:ascii="仿宋" w:hAnsi="仿宋" w:eastAsia="仿宋" w:cs="仿宋"/>
                <w:color w:val="666666"/>
                <w:kern w:val="0"/>
                <w:sz w:val="24"/>
                <w:szCs w:val="24"/>
                <w:lang w:val="en-US" w:eastAsia="zh-CN"/>
              </w:rPr>
            </w:pPr>
            <w:r>
              <w:rPr>
                <w:rFonts w:hint="eastAsia" w:ascii="仿宋" w:hAnsi="仿宋" w:eastAsia="仿宋" w:cs="仿宋"/>
                <w:color w:val="666666"/>
                <w:kern w:val="0"/>
                <w:sz w:val="24"/>
                <w:szCs w:val="24"/>
                <w:lang w:val="en-US" w:eastAsia="zh-CN"/>
              </w:rPr>
              <w:t>15</w:t>
            </w:r>
          </w:p>
        </w:tc>
        <w:tc>
          <w:tcPr>
            <w:tcW w:w="1220" w:type="dxa"/>
            <w:vAlign w:val="center"/>
          </w:tcPr>
          <w:p w14:paraId="53931AB7">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存量房一件事材料下载对接</w:t>
            </w:r>
          </w:p>
        </w:tc>
        <w:tc>
          <w:tcPr>
            <w:tcW w:w="3765" w:type="dxa"/>
            <w:vAlign w:val="top"/>
          </w:tcPr>
          <w:p w14:paraId="01CFD4AA">
            <w:pPr>
              <w:pStyle w:val="5"/>
              <w:spacing w:before="3"/>
              <w:rPr>
                <w:rFonts w:hint="eastAsia" w:ascii="仿宋" w:hAnsi="仿宋" w:eastAsia="仿宋" w:cs="仿宋"/>
                <w:bCs/>
                <w:sz w:val="24"/>
                <w:szCs w:val="28"/>
                <w:lang w:val="en-US"/>
              </w:rPr>
            </w:pPr>
            <w:r>
              <w:rPr>
                <w:rFonts w:hint="eastAsia" w:ascii="仿宋" w:hAnsi="仿宋" w:eastAsia="仿宋" w:cs="仿宋"/>
                <w:bCs/>
                <w:sz w:val="24"/>
                <w:szCs w:val="28"/>
                <w:lang w:val="en-US"/>
              </w:rPr>
              <w:t>业务对接系统通过该接口将已签字合同下载到本地并归档。</w:t>
            </w:r>
          </w:p>
          <w:p w14:paraId="6B22BE2C">
            <w:pPr>
              <w:pStyle w:val="5"/>
              <w:spacing w:before="3"/>
              <w:rPr>
                <w:rFonts w:hint="eastAsia" w:ascii="仿宋" w:hAnsi="仿宋" w:eastAsia="仿宋" w:cs="仿宋"/>
                <w:color w:val="666666"/>
                <w:kern w:val="0"/>
                <w:sz w:val="24"/>
                <w:szCs w:val="24"/>
              </w:rPr>
            </w:pPr>
          </w:p>
        </w:tc>
      </w:tr>
      <w:tr w14:paraId="5942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1801D4B9">
            <w:pPr>
              <w:autoSpaceDE w:val="0"/>
              <w:autoSpaceDN w:val="0"/>
              <w:adjustRightInd w:val="0"/>
              <w:jc w:val="center"/>
              <w:rPr>
                <w:rFonts w:hint="eastAsia" w:ascii="仿宋" w:hAnsi="仿宋" w:eastAsia="仿宋" w:cs="仿宋"/>
                <w:color w:val="666666"/>
                <w:kern w:val="0"/>
                <w:sz w:val="24"/>
                <w:szCs w:val="24"/>
                <w:lang w:val="en-US" w:eastAsia="zh-CN"/>
              </w:rPr>
            </w:pPr>
            <w:r>
              <w:rPr>
                <w:rFonts w:hint="eastAsia" w:ascii="仿宋" w:hAnsi="仿宋" w:eastAsia="仿宋" w:cs="仿宋"/>
                <w:color w:val="666666"/>
                <w:kern w:val="0"/>
                <w:sz w:val="24"/>
                <w:szCs w:val="24"/>
                <w:lang w:val="en-US" w:eastAsia="zh-CN"/>
              </w:rPr>
              <w:t>16</w:t>
            </w:r>
          </w:p>
        </w:tc>
        <w:tc>
          <w:tcPr>
            <w:tcW w:w="1220" w:type="dxa"/>
            <w:vAlign w:val="center"/>
          </w:tcPr>
          <w:p w14:paraId="1EE9A240">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存量房一件事办件办理对接</w:t>
            </w:r>
          </w:p>
        </w:tc>
        <w:tc>
          <w:tcPr>
            <w:tcW w:w="3765" w:type="dxa"/>
            <w:vAlign w:val="center"/>
          </w:tcPr>
          <w:p w14:paraId="6C286D8A">
            <w:pPr>
              <w:autoSpaceDE w:val="0"/>
              <w:autoSpaceDN w:val="0"/>
              <w:adjustRightInd w:val="0"/>
              <w:jc w:val="left"/>
              <w:rPr>
                <w:rFonts w:hint="eastAsia" w:ascii="仿宋" w:hAnsi="仿宋" w:eastAsia="仿宋" w:cs="仿宋"/>
                <w:color w:val="666666"/>
                <w:kern w:val="0"/>
                <w:sz w:val="24"/>
                <w:szCs w:val="24"/>
              </w:rPr>
            </w:pPr>
            <w:r>
              <w:rPr>
                <w:rFonts w:hint="eastAsia" w:ascii="仿宋" w:hAnsi="仿宋" w:eastAsia="仿宋" w:cs="仿宋"/>
                <w:bCs/>
                <w:sz w:val="24"/>
                <w:szCs w:val="28"/>
                <w:lang w:val="en-US"/>
              </w:rPr>
              <w:t>业务对接系统通过改接口实时将存量房网签备案情况推送至“黑龙江省数字政府系统”。</w:t>
            </w:r>
          </w:p>
        </w:tc>
      </w:tr>
      <w:tr w14:paraId="5AFF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Align w:val="center"/>
          </w:tcPr>
          <w:p w14:paraId="2E70FA89">
            <w:pPr>
              <w:autoSpaceDE w:val="0"/>
              <w:autoSpaceDN w:val="0"/>
              <w:adjustRightInd w:val="0"/>
              <w:jc w:val="center"/>
              <w:rPr>
                <w:rFonts w:hint="eastAsia" w:ascii="仿宋" w:hAnsi="仿宋" w:eastAsia="仿宋" w:cs="仿宋"/>
                <w:color w:val="666666"/>
                <w:kern w:val="0"/>
                <w:sz w:val="24"/>
                <w:szCs w:val="24"/>
                <w:lang w:val="en-US" w:eastAsia="zh-CN"/>
              </w:rPr>
            </w:pPr>
            <w:r>
              <w:rPr>
                <w:rFonts w:hint="eastAsia" w:ascii="仿宋" w:hAnsi="仿宋" w:eastAsia="仿宋" w:cs="仿宋"/>
                <w:color w:val="666666"/>
                <w:kern w:val="0"/>
                <w:sz w:val="24"/>
                <w:szCs w:val="24"/>
                <w:lang w:val="en-US" w:eastAsia="zh-CN"/>
              </w:rPr>
              <w:t>17</w:t>
            </w:r>
          </w:p>
        </w:tc>
        <w:tc>
          <w:tcPr>
            <w:tcW w:w="1220" w:type="dxa"/>
            <w:vAlign w:val="center"/>
          </w:tcPr>
          <w:p w14:paraId="2BA5CA43">
            <w:pPr>
              <w:autoSpaceDE w:val="0"/>
              <w:autoSpaceDN w:val="0"/>
              <w:adjustRightInd w:val="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农垦数据迁移</w:t>
            </w:r>
          </w:p>
        </w:tc>
        <w:tc>
          <w:tcPr>
            <w:tcW w:w="3765" w:type="dxa"/>
            <w:vAlign w:val="center"/>
          </w:tcPr>
          <w:p w14:paraId="0A3DA318">
            <w:pPr>
              <w:autoSpaceDE w:val="0"/>
              <w:autoSpaceDN w:val="0"/>
              <w:adjustRightInd w:val="0"/>
              <w:jc w:val="left"/>
              <w:rPr>
                <w:rFonts w:hint="eastAsia" w:ascii="仿宋" w:hAnsi="仿宋" w:eastAsia="仿宋" w:cs="仿宋"/>
                <w:bCs/>
                <w:sz w:val="24"/>
                <w:szCs w:val="28"/>
                <w:lang w:val="en-US" w:eastAsia="zh-CN"/>
              </w:rPr>
            </w:pPr>
            <w:r>
              <w:rPr>
                <w:rFonts w:hint="eastAsia" w:ascii="仿宋" w:hAnsi="仿宋" w:eastAsia="仿宋" w:cs="仿宋"/>
                <w:bCs/>
                <w:sz w:val="24"/>
                <w:szCs w:val="28"/>
                <w:lang w:val="en-US" w:eastAsia="zh-CN"/>
              </w:rPr>
              <w:t>将农垦房产商品房数据迁移至现行业务系统中并正常运转</w:t>
            </w:r>
          </w:p>
        </w:tc>
      </w:tr>
    </w:tbl>
    <w:p w14:paraId="2AB464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ZjRiZjg4NjNjYTkzOTg0MmNhMDFmNTYxOWQxYjUifQ=="/>
  </w:docVars>
  <w:rsids>
    <w:rsidRoot w:val="1B5F0C43"/>
    <w:rsid w:val="05125696"/>
    <w:rsid w:val="12A3140D"/>
    <w:rsid w:val="1B5F0C43"/>
    <w:rsid w:val="390937CE"/>
    <w:rsid w:val="6C3B56B7"/>
    <w:rsid w:val="789D7871"/>
    <w:rsid w:val="7C72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1461</Words>
  <Characters>1469</Characters>
  <Lines>0</Lines>
  <Paragraphs>0</Paragraphs>
  <TotalTime>1</TotalTime>
  <ScaleCrop>false</ScaleCrop>
  <LinksUpToDate>false</LinksUpToDate>
  <CharactersWithSpaces>1507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2024-10-31T05:52:00Z</dcterms:created>
  <dc:creator>宏涛</dc:creator>
  <cp:lastModifiedBy>lenovo</cp:lastModifiedBy>
  <dcterms:modified xsi:type="dcterms:W3CDTF">2024-12-06T08:37:27Z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7A3A810DE8F84D158BD228A5B3B952B7_11</vt:lpwstr>
  </property>
</Properties>
</file>