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C1354">
      <w:pPr>
        <w:spacing w:before="40" w:line="204" w:lineRule="auto"/>
        <w:jc w:val="center"/>
        <w:rPr>
          <w:rFonts w:cs="宋体" w:asciiTheme="minorEastAsia" w:hAnsiTheme="minorEastAsia"/>
          <w:b/>
          <w:color w:val="222222"/>
          <w:spacing w:val="8"/>
          <w:sz w:val="32"/>
          <w:szCs w:val="32"/>
        </w:rPr>
      </w:pPr>
    </w:p>
    <w:p w14:paraId="5D8585B3">
      <w:pPr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包3    年预算14.38万元</w:t>
      </w:r>
    </w:p>
    <w:p w14:paraId="1D144FF0">
      <w:pPr>
        <w:rPr>
          <w:b/>
        </w:rPr>
      </w:pPr>
    </w:p>
    <w:p w14:paraId="3DA679CB"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技术参数</w:t>
      </w:r>
    </w:p>
    <w:p w14:paraId="4B1313F0"/>
    <w:p w14:paraId="1CC886D2">
      <w:pPr>
        <w:rPr>
          <w:rFonts w:hint="eastAsia" w:eastAsiaTheme="minorEastAsia"/>
          <w:lang w:val="en-US" w:eastAsia="zh-CN"/>
        </w:rPr>
      </w:pPr>
    </w:p>
    <w:tbl>
      <w:tblPr>
        <w:tblStyle w:val="5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2611"/>
        <w:gridCol w:w="3062"/>
        <w:gridCol w:w="649"/>
        <w:gridCol w:w="1458"/>
      </w:tblGrid>
      <w:tr w14:paraId="55E1C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8A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B2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A72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B3D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8E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最高限价单价</w:t>
            </w:r>
          </w:p>
        </w:tc>
      </w:tr>
      <w:tr w14:paraId="524FA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3193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30DE8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bCs/>
                <w:color w:val="0000FF"/>
                <w:sz w:val="18"/>
                <w:szCs w:val="18"/>
              </w:rPr>
              <w:t>曲霉半乳甘露聚糖检测试剂盒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5471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40人份/盒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3E5F3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63D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sz w:val="18"/>
                <w:szCs w:val="18"/>
                <w:u w:val="none"/>
                <w:lang w:val="en-US" w:eastAsia="zh-CN"/>
              </w:rPr>
              <w:t>2700</w:t>
            </w:r>
          </w:p>
        </w:tc>
      </w:tr>
      <w:tr w14:paraId="5FA50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333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B3E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真菌（1-3）-β-D葡聚糖检测试剂盒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A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12人份/盒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83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C41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874.8</w:t>
            </w:r>
          </w:p>
        </w:tc>
      </w:tr>
    </w:tbl>
    <w:p w14:paraId="1FF6BA6E"/>
    <w:p w14:paraId="4B9EFBF5">
      <w:pPr>
        <w:textAlignment w:val="top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曲霉半乳甘露聚糖检测试剂盒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（三类医疗器械）</w:t>
      </w:r>
    </w:p>
    <w:p w14:paraId="1C4498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方法学：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荧光免疫层析法</w:t>
      </w:r>
    </w:p>
    <w:p w14:paraId="0EA8D2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包装规格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1人份/袋，40人份/盒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</w:p>
    <w:p w14:paraId="305FB8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1.3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检测样本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人血清样本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、肺细胞灌洗液</w:t>
      </w:r>
    </w:p>
    <w:p w14:paraId="20A896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1.4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参考范围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I值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shd w:val="clear" w:color="auto" w:fill="FFFFFF"/>
        </w:rPr>
        <w:t>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0.5，判定为阳性。I值&lt;0.5，判定为阴性。</w:t>
      </w:r>
    </w:p>
    <w:p w14:paraId="0CEBF4DF">
      <w:pPr>
        <w:adjustRightInd w:val="0"/>
        <w:snapToGrid w:val="0"/>
        <w:contextualSpacing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1.5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重复性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：</w:t>
      </w:r>
      <w:bookmarkStart w:id="0" w:name="_Hlk530998526"/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I值变异系数（CV%）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15%。</w:t>
      </w:r>
      <w:bookmarkEnd w:id="0"/>
    </w:p>
    <w:p w14:paraId="2BB497B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napToGrid w:val="0"/>
          <w:color w:val="000000"/>
          <w:kern w:val="0"/>
          <w:sz w:val="21"/>
          <w:szCs w:val="21"/>
          <w:u w:val="none"/>
          <w:lang w:val="en-US" w:eastAsia="zh-CN" w:bidi="ar"/>
        </w:rPr>
        <w:t>2、真菌（1-3）-β-D葡聚糖检测试剂盒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（二类医疗器械）</w:t>
      </w:r>
    </w:p>
    <w:p w14:paraId="01CFC7D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2.1 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分析方法：化学发光免疫分析法</w:t>
      </w:r>
    </w:p>
    <w:p w14:paraId="37CC59C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napToGrid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2.2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包装规格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单人份试剂条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人份/盒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</w:p>
    <w:p w14:paraId="751905A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 xml:space="preserve">2.3 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最小样品量：300μl</w:t>
      </w:r>
    </w:p>
    <w:p w14:paraId="34B684A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 xml:space="preserve">2.4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准确度：回收率应在80%-120%的范围内</w:t>
      </w:r>
    </w:p>
    <w:p w14:paraId="6150878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2.5 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检出限：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eastAsia="zh-CN"/>
        </w:rPr>
        <w:t>≤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40pg/mL</w:t>
      </w:r>
    </w:p>
    <w:p w14:paraId="478762F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pacing w:val="-4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 xml:space="preserve">2.6 </w:t>
      </w:r>
      <w:r>
        <w:rPr>
          <w:rFonts w:hint="eastAsia" w:ascii="宋体" w:hAnsi="宋体" w:eastAsia="宋体" w:cs="宋体"/>
          <w:b w:val="0"/>
          <w:bCs w:val="0"/>
          <w:spacing w:val="-3"/>
          <w:sz w:val="21"/>
          <w:szCs w:val="21"/>
        </w:rPr>
        <w:t>线性：试剂盒在浓度为[50,50000]pg/mL的线性</w:t>
      </w:r>
      <w:r>
        <w:rPr>
          <w:rFonts w:hint="eastAsia" w:ascii="宋体" w:hAnsi="宋体" w:eastAsia="宋体" w:cs="宋体"/>
          <w:b w:val="0"/>
          <w:bCs w:val="0"/>
          <w:spacing w:val="-4"/>
          <w:sz w:val="21"/>
          <w:szCs w:val="21"/>
        </w:rPr>
        <w:t>范围内，相关系数(r)应不低于0.9900</w:t>
      </w:r>
    </w:p>
    <w:p w14:paraId="15E811B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 xml:space="preserve">2.7 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重复性：变异系数CV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≤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10%</w:t>
      </w:r>
    </w:p>
    <w:p w14:paraId="3EB4B99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 xml:space="preserve">2.8 </w:t>
      </w:r>
      <w:r>
        <w:rPr>
          <w:rFonts w:hint="eastAsia" w:ascii="宋体" w:hAnsi="宋体" w:eastAsia="宋体" w:cs="宋体"/>
          <w:b w:val="0"/>
          <w:bCs w:val="0"/>
          <w:spacing w:val="-4"/>
          <w:sz w:val="21"/>
          <w:szCs w:val="21"/>
        </w:rPr>
        <w:t>特异性：与浓度分别为50ng/mL的曲霉菌半乳甘露聚糖、念珠菌甘露聚糖、</w:t>
      </w:r>
      <w:r>
        <w:rPr>
          <w:rFonts w:hint="eastAsia" w:ascii="宋体" w:hAnsi="宋体" w:eastAsia="宋体" w:cs="宋体"/>
          <w:b w:val="0"/>
          <w:bCs w:val="0"/>
          <w:spacing w:val="-5"/>
          <w:sz w:val="21"/>
          <w:szCs w:val="21"/>
        </w:rPr>
        <w:t>革兰阴性菌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脂多糖均无交叉反应，检测结果均应不超过检出限</w:t>
      </w:r>
    </w:p>
    <w:p w14:paraId="45FF7A9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  <w:lang w:val="en-US" w:eastAsia="zh-CN"/>
        </w:rPr>
        <w:t>2.9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批间差：变异系数CV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≤</w:t>
      </w:r>
      <w:r>
        <w:rPr>
          <w:rFonts w:hint="eastAsia" w:ascii="宋体" w:hAnsi="宋体" w:eastAsia="宋体" w:cs="宋体"/>
          <w:b w:val="0"/>
          <w:bCs w:val="0"/>
          <w:spacing w:val="-1"/>
          <w:sz w:val="21"/>
          <w:szCs w:val="21"/>
        </w:rPr>
        <w:t>15%</w:t>
      </w:r>
    </w:p>
    <w:p w14:paraId="53D3CC0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B9F973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90D75D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CF88B7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7EBF33B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1CBE09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5DE57E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69AB62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728771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6A29E0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48E8A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BC3CA">
    <w:pPr>
      <w:rPr>
        <w:rFonts w:eastAsiaTheme="minorEastAsia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ED7EB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E4AF19"/>
    <w:multiLevelType w:val="multilevel"/>
    <w:tmpl w:val="C5E4AF19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0N2Q0ZjMwZTZiNmQzYmZlYjM2NzhlYjNkMDBlOGUifQ=="/>
  </w:docVars>
  <w:rsids>
    <w:rsidRoot w:val="6F3F7698"/>
    <w:rsid w:val="020B07BA"/>
    <w:rsid w:val="033C60AA"/>
    <w:rsid w:val="07C723B6"/>
    <w:rsid w:val="07FB78D0"/>
    <w:rsid w:val="0DB623C2"/>
    <w:rsid w:val="0E716CB6"/>
    <w:rsid w:val="11C049F1"/>
    <w:rsid w:val="146D2C0E"/>
    <w:rsid w:val="18D729CD"/>
    <w:rsid w:val="22435159"/>
    <w:rsid w:val="29EE6D05"/>
    <w:rsid w:val="2B455A0D"/>
    <w:rsid w:val="2DB11966"/>
    <w:rsid w:val="2F934595"/>
    <w:rsid w:val="30375163"/>
    <w:rsid w:val="31833F02"/>
    <w:rsid w:val="31BA47FA"/>
    <w:rsid w:val="373C4EF5"/>
    <w:rsid w:val="394951B2"/>
    <w:rsid w:val="3B94197B"/>
    <w:rsid w:val="3E2C6CC2"/>
    <w:rsid w:val="46A77045"/>
    <w:rsid w:val="4B44529B"/>
    <w:rsid w:val="4C0859A5"/>
    <w:rsid w:val="51747AAB"/>
    <w:rsid w:val="5385101B"/>
    <w:rsid w:val="57D53C06"/>
    <w:rsid w:val="581D6B01"/>
    <w:rsid w:val="5C30782B"/>
    <w:rsid w:val="5D240E70"/>
    <w:rsid w:val="642B176B"/>
    <w:rsid w:val="6894168D"/>
    <w:rsid w:val="692463F7"/>
    <w:rsid w:val="6C392D20"/>
    <w:rsid w:val="6DB657A3"/>
    <w:rsid w:val="6DEA1D4F"/>
    <w:rsid w:val="6F3F7698"/>
    <w:rsid w:val="70266726"/>
    <w:rsid w:val="769A6A08"/>
    <w:rsid w:val="79D91486"/>
    <w:rsid w:val="7A792DD8"/>
    <w:rsid w:val="7A854613"/>
    <w:rsid w:val="7B750BA5"/>
    <w:rsid w:val="7E4D25B2"/>
    <w:rsid w:val="7F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numPr>
        <w:ilvl w:val="0"/>
        <w:numId w:val="1"/>
      </w:numPr>
      <w:spacing w:before="340" w:after="200" w:line="360" w:lineRule="auto"/>
      <w:ind w:left="0" w:firstLine="0" w:firstLineChars="0"/>
      <w:jc w:val="center"/>
      <w:outlineLvl w:val="0"/>
    </w:pPr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标题 1 字符"/>
    <w:basedOn w:val="7"/>
    <w:link w:val="2"/>
    <w:autoRedefine/>
    <w:qFormat/>
    <w:uiPriority w:val="0"/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551</Characters>
  <Lines>0</Lines>
  <Paragraphs>0</Paragraphs>
  <TotalTime>4</TotalTime>
  <ScaleCrop>false</ScaleCrop>
  <LinksUpToDate>false</LinksUpToDate>
  <CharactersWithSpaces>571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2024-06-28T07:01:00Z</dcterms:created>
  <dc:creator>凉～～～～</dc:creator>
  <cp:lastModifiedBy>睿</cp:lastModifiedBy>
  <cp:lastPrinted>2024-07-24T04:57:00Z</cp:lastPrinted>
  <dcterms:modified xsi:type="dcterms:W3CDTF">2024-12-13T02:30:45Z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D0AFAA2EBC9B4E1E8467F5BD663FFA74_11</vt:lpwstr>
  </property>
</Properties>
</file>