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overflowPunct/>
        <w:topLinePunct w:val="0"/>
        <w:bidi w:val="0"/>
        <w:spacing w:beforeAutospacing="0" w:after="0" w:afterAutospacing="0" w:line="360" w:lineRule="auto"/>
        <w:ind w:right="0" w:firstLine="3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19"/>
          <w:szCs w:val="19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19"/>
          <w:szCs w:val="19"/>
          <w:highlight w:val="none"/>
          <w:shd w:val="clear" w:fill="FFFFFF"/>
          <w:lang w:val="en-US" w:eastAsia="zh-CN" w:bidi="ar"/>
        </w:rPr>
        <w:t>服务内容：</w:t>
      </w:r>
      <w:bookmarkStart w:id="0" w:name="_GoBack"/>
      <w:bookmarkEnd w:id="0"/>
    </w:p>
    <w:tbl>
      <w:tblPr>
        <w:tblStyle w:val="5"/>
        <w:tblW w:w="8840" w:type="dxa"/>
        <w:tblInd w:w="-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681"/>
        <w:gridCol w:w="1492"/>
        <w:gridCol w:w="4060"/>
        <w:gridCol w:w="900"/>
        <w:gridCol w:w="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  项目详单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参数性质</w:t>
            </w: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项目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内容详情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          硬件设备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舞台主体架构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品名称：雷亚架拼装舞台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2.常用规格和高度：自定义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3. 材质：国标铝金6082-T6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4. 台板颜色：红色或黑色两种颜色可供选择。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5. 该款舞台由舞台面板、单片、舞台立柱。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6. 在平均受力的情况下可以荷载1500Kg/㎡。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7. 搭建拆卸简单快捷，外形美观。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8. 面板厚度：18mm。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平米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雷亚架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立柱规格：48*3mm 长度：2000mm横杆规格：48*3mm 长度：2000mm斜杆规格：42*3mm 长度：2000mm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防火阻燃地毯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防火阻燃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平米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弧形龙骨制作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20*20镀锌管材，焊接折弯。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踏板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铝合金材质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调节丝杠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承压调节丝杠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踏步制作字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清水模板防滑表面，20*20镀锌管。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舞美控台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防雨控台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无边发光字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钢边，内镶嵌5050白光3500k灯珠。户外防水电源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音响系统（舞台区）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主扩音箱 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系统数据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频率响应（-5 dB标准）45 Hz - 18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频率响应（-5 dB CUT模式）70 Hz - 18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/>
              </w:rPr>
              <w:t>最大声压1（D80）149 dB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每个D80对应音箱数量（阵列处理）2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音箱数据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标称阻抗（前）LF4 ohms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标称阻抗（侧）LF/MF/HF4 ohms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功率处理容量（前LF）（RMS/峰值 10ms）800/3200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功率处理容量（侧LF/MF/HF）（RMS/峰值 10ms）800/3200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标称扩散角（水平）120 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展开角设置0 … 7° (1° increment)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/>
              </w:rPr>
              <w:t>部件2 x 14" front LF driver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/>
              </w:rPr>
              <w:t>2 x 10" side LF driver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/>
              </w:rPr>
              <w:t>1 x 10" MF driver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/>
              </w:rPr>
              <w:t>3 x 1.4" exit compression driver with 3.4" coil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Passive crossover network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连接1 x NLT4 F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尺寸/重量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尺寸（高 x 宽 x 厚）391 x 1300 x 627 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15.4 x 51.2 x 24.7"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重量80 kg 176 lb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超低音箱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系统数据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频率响应（-5 dB标准）33 Hz - 84 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频率响应（-5 dB INFRA模式）30 Hz - 65 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最大声压1（D80）144 dB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每个D80对应音箱数量2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音箱数据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标称阻抗（前/后）3/6 ohms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功率处理容量（前）（RMS/峰值 10ms）1000/4000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功率处理容量（后）（RMS/峰值 10ms）500/2000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部件3 x 21" driver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连接1 x NLT4 F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尺寸/重量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功率放大器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数字信号处理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均衡器2 x 16-band PEQ/notch/shelving/asymmetric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延迟模拟和数字输入0.3 msec.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延迟设置0.3 - 10000 msec.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*配置current d&amp;b loudspeakers and linear mode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功能开关d&amp;b loudspeaker specific circuits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频率发生器Pink noise or Sine wave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*采样率96 kHz/27 Bit ADC/24 Bit DAC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控制器与指示灯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POWERMains power switch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SCROLL/EDITDigital rotary encoder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DisplayColour TFT touchscreen, 3.5"/320 x 240 pixel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ISP，GR，OVL A/BColour TFT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接插件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输入模拟（A1-A4）3 pin XLR female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模拟链路（A1-A4）3 pin XLR male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数字输入（D1/2，D3/4）3 pin XLR female AES3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数字链路（输出）3 pin XLR male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采样数字AES/EBU48 kHz/96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音箱输出A/B/C/DNL4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4通道输出NL8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CAN（控制器局域网）2 x RJ 45 parallel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以太网2 x etherCON®, 10/100 Mbit Ethernet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电源接头powerCON®-HC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数据（带次低频滤波器的线性设置）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每个通道的最大输出功率（THD+N &lt; 0.5%，所有通道驱动） 4 / 8欧姆时CF = 6 dB 4 / 8欧姆时CF = 12 dB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 x 2600/2000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 x 4000/2000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信噪比（未加权，RMS） 模拟输入 数字输入-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&gt; 114 dBr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类型Autosensing switch mode power supply with active Power Factor Correction (PFC)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额定电源电压（高档）208 - 240 V, 50 - 60 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额定电源电压（低档）100 - 127 V, 50 - 60 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重量19 kg/42 lb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舞台侧补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系统数据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*最大声压1（D40/D80/40D）140 dB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频率响应（-5 dB标准）60 Hz - 18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频率响应（-5 dB CUT模式）90 Hz - 18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每个D40/D80/40D对应音箱数量（阵列处理）2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每个D40/D80/40D对应音箱数量（线或弧模式）4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音箱数据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标称阻抗（前）LF8欧姆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标称阻抗（侧）LF/MF/HF8欧姆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功率处理容量（前LF）（RMS/峰值 10ms）400/1200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功率处理容量（侧LF/MF/HF）（RMS/峰值 10ms）300/850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标称扩散角（水平）120 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展开角设置0 … 14°（1°增量）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*部件2 x 8"前向低频驱动单元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 x 6.5"侧向低频驱动单元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*1 x 6.5"中频驱动单元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 x 1"出口压缩驱动单元，装有2”音圈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无源交叉网络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连接2 x NLT4 F/M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舞台侧补超低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系统数据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*最大声压1（D40/D80/40D）137 dB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频率响应（-5 dB标准）37 Hz - 110 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频率响应（-5 dB INFRA模式）35 Hz - 85 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每个D40/D80/40D对应音箱数量4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音箱数据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标称阻抗（前/后）8/16欧姆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功率处理容量（前）（RMS/峰值 10ms）700/1500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功率处理容量（后）（RMS/峰值 10ms）400/800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展开角设置0°和2.5°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*部件1 x 18"前向低频驱动单元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*1 x 12"后向低频驱动单元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连接NLT4 F/M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返送  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系统数据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频率响应（-5 dB标准）55 Hz - 17 kHz1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最大声压2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10D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D20/30D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D40/D80/40D134 dB3 / 135 dB4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138 dB3 / 140 dB5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138 dB3 / 140 dB5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每个功放通道驱动的音箱数（无源模式）2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每个D20/D80对应音箱数量（有源模式）4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音箱数据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配置2-way stage monitor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标称阻抗8 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功率处理容量（RMS/峰值 10ms）400/1600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标称扩散角（h x v）50° x 70° rotatable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部件15" driver with neodymium magnet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coaxial 1.3" exit compression driver with 3" coil and CD horn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passive crossover network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连接2 x NLT4 F/M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optional 2 x NL4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中置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系统数据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*最大声压1（D40/D80/40D）140 dB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频率响应（-5 dB标准）60 Hz - 18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频率响应（-5 dB CUT模式）90 Hz - 18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每个D40/D80/40D对应音箱数量（阵列处理）2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每个D40/D80/40D对应音箱数量（线或弧模式）4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音箱数据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标称阻抗（前）LF8欧姆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标称阻抗（侧）LF/MF/HF8欧姆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功率处理容量（前LF）（RMS/峰值 10ms）400/1200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功率处理容量（侧LF/MF/HF）（RMS/峰值 10ms）300/850 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标称扩散角（水平）120 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展开角设置0 … 14°（1°增量）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*部件2 x 8"前向低频驱动单元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 x 6.5"侧向低频驱动单元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*1 x 6.5"中频驱动单元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 x 1"出口压缩驱动单元，装有2”音圈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无源交叉网络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连接2 x NLT4 F/M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控台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混音能力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*输入混音通道   144单声道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*混音母线   72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*矩阵   36 (支持输入至矩阵)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本地连接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*模拟输入 XLR 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*模拟输出 XLR 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*扩展卡槽 HY 卡槽 4 (DSP-R10)  *MY 卡槽 CS-R10: 2 DSP-R10: 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*数字输入 AES/EBU 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*数字输出 AES/EBU 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GPI IN (D-Sub) 8 (CS-R10) / 8 (DSP-R10) Out (D-Sub) 8 (CS-R10) / 8 (DSP-R10)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字时钟 I/O   Only Out (CS-R10)，In / Out (DSP-R10)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MIDI I/O   In / Out (CS-R10)，In / Out (DSP-R10)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USB File 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外部冗余 PSU   内置双冗余供电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电平表桥   显示屏显示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Ethernet   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灯   4 (CS-R10) / 3 (CS-R10-S)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对讲输入   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视频输出   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TC 输入   有 (DSP-R10)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Fault Output   有 (DSP-R10)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AC 接口   CS-R10: 2 (V-Lock 型)，DSP-R10: 2 (V-Lock 型)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场景记忆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场景数   1000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插件卡槽数   384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Effect Programs 数量   50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GEQ 机架数量   48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可装载设备   31段GEQ / Flex15GEQ / 8段 PEQ (支持 RTA 覆盖)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TWINLANe I / O 通道数量   256 in / 256 out（与 HY256-TL)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Dante I / O 通道数量   144 in / 144 out (与 HY144-D)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显示屏   CS-R10: 15 英寸触摸屏 x 2，CS-R10-S: 15 英寸触摸屏 x 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编辑软件   RIVAGE PM Editor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StageMix   RIVAGE PM StageMix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舞台接口箱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采样频率 外部 44.1 kHz, 48 kHz, 88.2 kHz, 96 kHz, +4.1667%, +0.1%, –0.1%, –4.0% (±200 ppm)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信号延迟 Less than 1.7 ms, Rio INPUT to Rio OUTPUT connect with PM10 using Dante, Fs= 96 kHz, Dante Receive Latency set to 0.25 msec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总谐波失真 Less than 0.05% 20 Hz-20 kHz@+4 dBu into 600Ω, Fs= 48 kHz, Less than 0.05% 20 Hz-40 kHz@+4 dBu into 600Ω, Fs= 96 kHz, INPUT to OUTPUT, Input Gain= Min.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 +0.5, –1.5 dB 20 Hz-20 kHz, refer to +4 dBu output @1 kHz, INPUT to OUTPUT, Fs= 48 kHz / +0.5, –1.5 dB 20 Hz-40 kHz, refer to +4 dBu output @1 kHz, INPUT to OUTPUT, Fs= 96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动态范围 112 dB typ., DA Converter, 108 dB typ., INPUT to OUTPUT, Input Gain= Min.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嗡音和噪声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等效输入噪音 –128 dBu typ., Input Gain= Max.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剩余输出噪音 –88 dBu, ST master off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串扰 -100dB, adjacent INPUT/OUTPUT channels, Input Gain = -6dB, @1 kHz *Measured with a 30dB/octave filter @22kHz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无线手持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 80 - 20000 Hz (3 dB)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RF 输出功率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Mode HD: 10 mW rms, 50 mW peak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Mode LR: 25 mW rms, 50 mW peak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频点可调范围 88 MHz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工作时间 5.5 h with rechargeable battery BA 60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调制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Mode HD: uncompressed audio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Mode LR: SeDAC (Sennheiser Digital Audio Codec)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频率范围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SKM 9000 A1-A4: 470-558 MHz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SKM 9000 A5-A8: 550-638 MHz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SKM 9000 B1-B4: 630-718 MHz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话筒接收机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音频输出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Dante™, RJ-45: 48 kHz, 96 kHz, 24 bit 能够通过BNC插口使用WCLK环通连接来实现外同步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AES3-2003, XLR-3: 48 kHz, 96 kHz, 24 bit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Dante™, RJ-45: 48 kHz, 96 kHz, 24 bit 能够通过BNC插口使用WCLK环通连接来实现外同步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Can be externally synchronized using WCLK loop-through with BNC sockets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XLR-3 和6.3 mm插口：每个通道(变压器平衡式)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-10 dBu到+18 dBu可调，步进为1 dB (2 kΩ)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频率响应 30 Hz - 20 kHz (1.5 dB)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THD，总谐波失真&lt; 0.03 % (@ 1 kHz)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动态范围 111 dB (A) type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频率范围 470 - 714 MHz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时钟Input: BNC, 75 Ω Output: BNC, 75 Ω Sampling Rates: 48 kHz, 96 kHz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时延 模拟音频输出：3ms 数字音频输出：3ms（AES/EBU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网络协议 IEEE 802.3-2002 (10/100 Mbit/s), 屏蔽式RJ-45连接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天线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频率范围 470 – 1075 MHz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增益 typ. 5 dBi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阻抗 50 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天线分配器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频率范围 470 – 1075 MHz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增益 typ. 5 dBi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阻抗 50 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电动葫芦电源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调音师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演唱会级别音响师，含助理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灯光系统（舞台区）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光束灯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光源: Philips MSD Platinum 19R LL灯泡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出光镜头直径200mm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灯泡预期使用寿命: 4,000小时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光束角度: 1.3°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控制与程序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4个触摸按键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控制面板: 内置彩色 LCD 液晶面板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控制协议: DMX512,RDM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DMX 通道模式: 2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通道模式: 21/17通道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软件升级: 通过DMX更新软件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X轴/Y轴: 16 bit 精度扫描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人工智能物联网系统: AIOT丰云系统，“毅•数据”自动管理系统(选配)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X轴/Y轴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X轴运转角度: 540°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Y轴运转角度: 260°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X轴/Y轴位置失步自动校正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固定锁: 垂直锁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颜色盘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1个颜色盘，12种颜色+显指滤色片+减绿滤色片，彩虹效果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图案盘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固定图案盘: 10个图案+3个效果图案+白圆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棱镜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8棱镜+24棱镜+48棱镜+6面直排镜，8种组合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雾化片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独立的雾化效果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匀化片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两种效果(两种效果-轻-重)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电气与接口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输入电源: 180-240V~ 50/60Hz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功率: 570 W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电源插座: 电源连接器输入/输出、直出线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信号输入/输出: 三芯和五芯卡侬头插座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工作环境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最高环境温度: 40°C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最低工作温度: 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最高表面温度: 90°C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防护等级: IP20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UKCA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cETLus 认证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LED染色灯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光源: 55 x 6W RGBL LED光引擎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灯具色温: 8,000K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灯具光通量: 10,000 lm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光源预期使用寿命: 20,000小时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光学系统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光束角度: 18°, 36°, 53°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光斑角度: 37°, 96°, 128°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控制与程序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4个触摸按键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控制面板: OLED 显示屏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操作模式: DMX模式, 表演模式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控制协议: DMX512, RDM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DMX 通道模式: 5种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控制通道: 6/7/8/9/11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软件升级: 通过 DMX 连接升级软件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人工智能物联网系统: AIOT丰云系统,“毅•数据”自动管理系统(选配)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其他效果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多种速度频闪效果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0-100%顺滑调光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电气与接口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输入电压范围: 180-240V~ 50/60Hz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功率: 215W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电源插座: IEC连接器输入/输出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信号输入/输出: 3芯防水卡侬头插座 (可选配5芯)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工作环境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最高环境温度: 40°C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最低工作温度: -10°C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最高表面温度: 65°C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防护等级: IP66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UKCA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cETLus 认证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380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频闪灯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光源: 576颗 0.8W RGBW LED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LED 预期使用寿命: 20000 小时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光学系统与效果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光束角度: 110°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光斑角度: 150°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混色模式 RGBW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144区可单独控制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高亮度、卓越的染色效果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卓越、强劲高输出的频闪效果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电子调光: 0-100%顺滑调光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外观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体积小，重量轻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黑色外壳，无螺丝痕迹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头部和底座均装有提手，便于携带和运输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控制与程序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4个触摸按键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控制面板: LED 显示屏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控制协议: DMX512, RDM, sACN, Art-Net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通道模式: 6+/11+/12+/13A+/13B+/17+/21A+/22B+/29+/37+/41+/53+像素 通道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通过DMX连接更新软件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人工智能物联网系统: AIoT丰云系统，“毅•数据”自动管理系统(选配)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电气与接口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自适配电源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输入电压范围: 180-240V~ 50/60Hz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功率: 395 W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电源插座: 防水电源连接器输入/输出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信号输入/输出: 三芯或五芯防水卡侬头插座,RJ-45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工作环境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最高环境温度: 40°C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最低工作温度: 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最高表面温度: 65°C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防护等级: IPX4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 认证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洗墙灯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光源: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彩光：672 x 0.5W RGB LED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白光：112 x 3W CW LED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光束角度: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彩光光束角度：101°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白光光束角度：108°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光斑角度: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彩光光斑角度：149°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白光光斑角度：152°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光学系统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高效的光学系统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控制与程序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4个触摸按键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控制面板: OLED显示屏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控制协议: DMX512,RDM,Art-Net,sACN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DMX 通道模式: 11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控制通道: 7/15/21/39/112/17/33/65/68/117/70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软件升级：通过 DMX 连接更新软件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人工智能物联网系统：AIOT丰云系统，“毅•数据"自动管理系统 (选配)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电气与接口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输入电压范围: 180-240V~ 50/60Hz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功率: 420 W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电源插座：防水电源连接器输入/输出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信号输入/输出：三芯/五芯防水卡侬头插座, RJ45接口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工作环境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最高环境温度: 40°C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最低工作温度: -10°C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最高表面温度: 65°C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防护等级：IP66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cETLus 认证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切割灯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光源: 1,800W LED光引擎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灯具色温: 6,200K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灯具光通量: 43,000 lm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光源预期使用寿命: 20,000小时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光学系统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缩放角度: 4°-48°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高显指Ra≥95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出光镜头直径: 225 mm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控制与程序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4个触摸按键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控制面板: LCD显示屏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控制协议: DMX512, RDM, Art-Net, sACN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DMX 通道模式: 4种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控制通道: 23/32/34/43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软件升级: 通过DMX或USB连接升级软件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人工智能物联网系统: AIOT丰云系统，“毅•数据”自动管理系统(选配)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X轴/Y轴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X轴运转角度: 540°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Y轴运转角度: 270°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X轴/Y轴位置失步自动校正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X轴/Y轴: 16 bit精度扫描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固定锁: 水平/垂直锁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颜色盘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线性CMY混色系统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线性CTO色温调节: 2,700K-6,200K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2个颜色盘: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颜色盘1: 4种固定颜色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颜色盘2: 5种固定颜色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图案盘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2个旋转图案盘: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旋转图案盘1: 6种可更换的图案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旋转图案盘2: 6种可更换的图案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图案片直径: 34 mm, 图案直径: 26.5 mm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图案片直径: 34 mm, 图案直径: 27.5 mm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图案片厚度: 1.1 mm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效果盘/动态轮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1个动态效果盘, 出众的水纹效果, 效果盘可旋转及更换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棱镜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1个4棱镜，1个4面直排镜，均可双向旋转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雾化片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1片轻度雾化片及1片中度雾化片, 雾化效果可叠加使用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切割系统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4片切割片实现快速、平滑切割, 每片切割片方向及角度可以独立控制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单片可完整闭光, 整个切割模块可以旋转±60°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其他效果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多种速度频闪效果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机械线性光圈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0-100%顺滑调光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电气与接口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输入电压范围: 180-240V~ 50/60Hz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功率: 2,265W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电源插座: 防水电源连接器输入/输出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信号输入/输出: 3芯或5芯防水卡侬头插座, RJ45接口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工作环境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最高环境温度: 40°C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最低工作温度: -10°C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最高表面温度: 70°C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防护等级: IP66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UKCA 认证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cETLus 认证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激光灯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*60w全彩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天气发射器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油耗（每小时/最大输出）：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theONETM-雾模式:在2.75巴(40psi)下 1升(0.26美制加仑)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theONETM-薄雾模式:在2.07巴(30psi)下, 65毫升(2.20盎司)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*雾量(每分钟/最大输出)：100立方米(3531立方尺) (theONETM-雾模式)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雾量控制：有,多种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最大输出时,每小时气体消耗(CO2或N2)：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theONETM-雾模式:1.16kg(2.56磅)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theONETM-薄雾模式:0.35kg(0.77磅)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APSTM(自动清洗系统):有,标配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雾/薄雾颜色： 纯白(薄)雾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微粒大小：0.5 - 4.5 微米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总运行时间(20升容器,全功率运作)：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theONETM-雾模式:20小时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theONETM-薄雾模式:308小时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雾油类型 (应需求可提供SDS)：MDG中性雾油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操作运行电压(单相)：100-250VAC,50/60Hz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总功率：1100-1480W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预热时间：&lt; 8分钟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DMX：有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RJ45：有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DMX风扇：有，仅限巡演版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显示屏：LCD,5键控制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TRUSS架安装：有，3x750 kg 额定耦合孔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MA3 灯光控制台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*1.最高可扩展至250,000个参数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*2.内置8192控制参数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3.内置6个DMX输出，1个DMX输入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*4.内置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个可折叠多点触摸屏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*5.内置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个多点触摸信息屏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6.内置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个多点触控命令屏幕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7.可连接2个外部多点触摸显示器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*8.内置41个旋转式RGB背光编码轮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9.内置5个背光双编码轮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10.内置15个背光60毫米电动推杆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11.内置60个独立的执行键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12.内置16个可分配的x键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13.支持art-net、sACN、MA3-net、MA2-net协议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14.内置3D效果模拟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15.支持效果图标涂鸦定义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16.支持屏幕截屏、图片植入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17.支持视频处理功能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18.内置键盘抽屉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19.内置不间断电源（UPS）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 xml:space="preserve">20.支持3个etherCON网络接口，6个USB接口，支持连接广域网  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网络扩展器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*1.支持4096参数扩展；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*2.可兼容MA2代系统，并可扩展4096参数；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3.支持独立CUP运算；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4.要求工作电压：100-220V，50/60Hz；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5.需含接口：1 x powerCON TRUE1，2 x etherCON/RJ45，8 x DMX-512-A 输出 (5针 XLR 母座)，3 x USB 2.0 (A型)；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6.支持内置触控屏；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7.支持机柜安装；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8.支持离线和在线升级降级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*9.支持兼容MA2-net，MA3-net，art-net等协议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交换机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1.固定端口: 8个10/100/1000 Base-TX以太网端口,2个千兆SFP光纤端口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2.输入电压：100V-240V AC,50-60HZ 功耗25W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3.工作温度范围 3℃-42℃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信号放大器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*1.2个DMX输入/2个直通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*2.2*5个 DMX 输出口,输入和输出，每个输出和输出之间完全隔离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3.5芯/3芯卡农可选择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*4.DMX放大和RDM功能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5.AC电源100-240V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电源柜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*1.一个柜体最多可以容纳48个单元模组，每个模组双路3KW可控硅调光+继电器输出，抑制电感上升时间为≥300us；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*2.抽屉式数字单元模组，可以方便互换；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*3.每个模组具有独立的处理器，允许热插拔工作；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4.具有配线功能的双路DMX-512 信号输入；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5.调光精度不低于4096级。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6.至少具有一个不小于7寸的彩色触摸屏；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*7.每个模组具有独立的故障灯指示出错报告；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8.可以预先存储多个场景；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9.当信号中断，可瞬间保持最后一场信息。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10.高可靠性的主从机服务器具有光纤接入口、以太网RJ45接口、TCP/IP协议、ARNET协议和未来可以升级的ＡＣＮ协议空间。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11.丰富的多功能控制模组单元，适应多种场合不同的负载类型使用；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12.整机具有报告系统，提供电流、负载、信号、运行温度、过热警告等数据；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电缆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4*50+1*25平方铜芯电缆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视频系统（舞台）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户外显示屏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*像素65410万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亮度≧3800cd/㎡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分辨率64*64=4096 DOTS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输出电流5v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显示颜色全彩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显示方式电脑传输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输入电压220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额定电压220V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输出电压220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额定电流220mA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输出功率220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模组尺寸250X250㎜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输入频率≧60HZ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*物理点间距3.91㎜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*物理密度65536点/㎡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*发光点颜色1R1G1B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平均功耗≤450W/㎡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最大功耗≤900w/㎡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刷新频率≧3840Hz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430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平米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屏幕处理器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*视频处理能力：支持4K视频处理，包括4K发送和4K视频处理，能够提供1040万像素的超高清晰度。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输入接口：支持多种输入接口，包括1路DP1.2、1路HDMI2.0、4路DVI。其中，4路DVI输入可拼接为一路独立的4K×2K/8K×1K输入源，支持DVI MOSAIC功能。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输出接口：提供16路千兆网口和10G光纤输出，支持高达1040万像素的带载能力。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分辨率支持：支持4K×2K@60Hz超高清输入输出，以及HDR高动态范围显示，能够提供广色域、高对比度的画面细节。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其他功能：包括一键自动备份、视频控制&amp;光电转换双模式、4K任意缩放、8K×1K/4K×2K画面任意缩放、超强缩放效果等。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应用场景：适用于舞台、会议、活动、展会等高端租赁及小间距显示屏多种应用场景。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此外，还支持多种功能，如3D显示、多窗口显示（支持1个主窗口和2个PP窗口）、DM拼接（最大可支持4个输入拼接为一个输入源）、HDR输出等，能够极大地增强显示屏的画质，使画面色彩更加真实生动，细节更加清晰。还支持多种BKG设置、画面抓取功能、个性化的画质缩放等。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视频控制台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*多种图层边框、阴影、遮罩等丰富操作,可调节大小、颜色等效果 让创意操作更加得心应手 屏幕资源使用情况实时展示,快速了解资源状态 支持控制多种类型设备,支持同时控制多台切换器设备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</w:tr>
    </w:tbl>
    <w:p/>
    <w:p/>
    <w:p/>
    <w:p/>
    <w:tbl>
      <w:tblPr>
        <w:tblStyle w:val="5"/>
        <w:tblW w:w="8856" w:type="dxa"/>
        <w:tblInd w:w="-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525"/>
        <w:gridCol w:w="1150"/>
        <w:gridCol w:w="2212"/>
        <w:gridCol w:w="707"/>
        <w:gridCol w:w="656"/>
        <w:gridCol w:w="937"/>
        <w:gridCol w:w="20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运输/差旅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设备运输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13M挂车往返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车次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报价中包含差旅、运输、工费、装卸等费用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叉车装卸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车次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人员车费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人次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人员餐饮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人次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16天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人员住宿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房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15晚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工费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人次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（二）中国·漠河第三十四届北极光节开幕式  （三）极光篝火狂欢夜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雷亚架体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800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电脑beam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LED染色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观众灯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洗墙灯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主扩音箱 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中低音箱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超低音箱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         舞台辅助设施/辅助人员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           人员及其他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演员更衣间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 xml:space="preserve">桁架更衣间4*8*3m高大  3*6*3m高小 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4大2小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（二）中国·漠河第三十四届北极光节开幕式--节目内容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总片头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视频时长10秒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配乐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视频素材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节目一、序《世界的漠河》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作词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作曲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外籍歌者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此十位演员参与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极光篝火狂欢夜演出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供应商需对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外籍歌者身份合法性做出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承诺。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承诺函格式自拟，需加盖供应商公章。如做出虚假承诺，由供应商承担相应法律责任。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主唱歌手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第一篇章：篇花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配乐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视频素材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节目二、舞蹈《春意》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道具、置景制作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节目三、歌曲联唱《拥抱春天》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歌手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节目四、歌舞《一路花开》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第二篇章：篇花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视频时长30秒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配乐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视频素材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节目五、情景音乐剧《一路向北》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主演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节目六、歌曲《追寻北极光》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第三篇章：篇花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视频时长30秒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配乐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视频素材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节目七、俄罗斯舞蹈《热情》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外籍演员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供应商需对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外籍歌者身份合法性做出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承诺。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承诺函格式自拟，需加盖供应商公章。如做出虚假承诺，由供应商承担相应法律责任。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中国演员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15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节目八、男女对唱《风吹麦浪》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歌手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道具、置景制作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节目九、民族联欢《欢歌》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道具、置景制作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第四篇章：篇花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视频时长30秒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配乐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视频素材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节目十、歌舞《冰之故乡》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作词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作曲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拟邀请哈尔滨音乐学院付晓婷老师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节目十一、情景歌曲《酒歌》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道具、置景制作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节目十二、主题歌曲《来漠河看极光》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道具、置景制作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节目十二、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  <w:t>歌曲联唱《跟着走》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视频背景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音乐制作（录音）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首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编导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演唱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舞蹈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道具、置景制作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全体演员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谢幕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开幕式劳务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创意设计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前期策划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需国家级项目履历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供应商需提供人员姓名及国家级项目履历承诺函。承诺函格式自拟，需加盖供应商公章。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总导演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编排、现场执行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舞台呈现导演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副导演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执行导演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编排、现场执行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主持人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整场主持，需省级卫视新闻类出镜主持人（非外景）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供应商需提供人员姓名及省级卫视新闻类出镜主持人（非外景）承诺函。承诺函格式自拟，需加盖供应商公章。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演出服装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节目中涉及主持人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穿着特定服装出场一次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文学创作劳务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总撰稿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整场活动文案、文字撰写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串联词撰稿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整场串联词撰写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PPT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汇报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61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服、化、道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造型团队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整场演出化妆、造型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梳化、道具、服装统筹管理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极光篝火狂欢夜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DJ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自带碟机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外籍演员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开幕式演员顺延使用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演出老师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演出学生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DJ交通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DJ住宿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房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9"/>
                <w:szCs w:val="19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DJ餐饮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差旅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漠河短途运输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报价中需包含全员吃住行自行付费，漠河市政府不负责资源对接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住宿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餐费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哈尔滨-漠河</w:t>
            </w:r>
          </w:p>
        </w:tc>
        <w:tc>
          <w:tcPr>
            <w:tcW w:w="2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19"/>
                <w:szCs w:val="19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9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color w:val="auto"/>
                <w:sz w:val="19"/>
                <w:szCs w:val="19"/>
                <w:highlight w:val="none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/>
        <w:textAlignment w:val="baseline"/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/>
        <w:textAlignment w:val="baseline"/>
        <w:rPr>
          <w:rFonts w:hint="default" w:ascii="宋体" w:hAnsi="宋体" w:eastAsia="宋体" w:cs="宋体"/>
          <w:b/>
          <w:bCs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19"/>
          <w:szCs w:val="19"/>
          <w:highlight w:val="none"/>
          <w:lang w:val="en-US" w:eastAsia="zh-CN"/>
        </w:rPr>
        <w:t>无人机表演：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 w:firstLine="384" w:firstLineChars="200"/>
        <w:textAlignment w:val="baseline"/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t>包括但不限于以下内容：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 w:firstLine="384" w:firstLineChars="200"/>
        <w:textAlignment w:val="baseline"/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t>1、负责演出无人机数量约600架，时长约20分钟，每场可演出20个画面；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 w:firstLine="384" w:firstLineChars="200"/>
        <w:textAlignment w:val="baseline"/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t>2、负责无人机飞行表演的动态、三维创意设计，主题设计以及每个主题无人机飞行表演的现场实施、实景视频拍摄及视频制作等；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 w:firstLine="384" w:firstLineChars="200"/>
        <w:textAlignment w:val="baseline"/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t>3、负责演出前无人机设备的运输、充电、摆放、调试以及演出后的回收等工作；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 w:firstLine="384" w:firstLineChars="200"/>
        <w:textAlignment w:val="baseline"/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t>4、保证无人机演出的安全性、完整性，做好突发情况的应急方案；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" w:firstLine="384" w:firstLineChars="200"/>
        <w:textAlignment w:val="baseline"/>
        <w:rPr>
          <w:rFonts w:hint="default" w:ascii="宋体" w:hAnsi="宋体" w:eastAsia="宋体" w:cs="宋体"/>
          <w:b/>
          <w:bCs/>
          <w:color w:val="auto"/>
          <w:spacing w:val="1"/>
          <w:sz w:val="19"/>
          <w:szCs w:val="19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t>5、满足招标方的其他要求。</w:t>
      </w:r>
      <w:r>
        <w:rPr>
          <w:rFonts w:hint="eastAsia" w:ascii="宋体" w:hAnsi="宋体" w:eastAsia="宋体" w:cs="宋体"/>
          <w:color w:val="auto"/>
          <w:spacing w:val="1"/>
          <w:sz w:val="19"/>
          <w:szCs w:val="19"/>
          <w:highlight w:val="none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spacing w:val="1"/>
          <w:sz w:val="19"/>
          <w:szCs w:val="19"/>
          <w:highlight w:val="none"/>
          <w:lang w:val="en-US" w:eastAsia="zh-CN"/>
        </w:rPr>
        <w:t>图纸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19"/>
          <w:szCs w:val="19"/>
          <w:highlight w:val="none"/>
          <w:lang w:val="en-US" w:eastAsia="zh-CN"/>
        </w:rPr>
        <w:t>（参考）：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jc w:val="right"/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66690" cy="2654300"/>
            <wp:effectExtent l="0" t="0" r="10160" b="12700"/>
            <wp:docPr id="10" name="图片 10" descr="2a5ac57650fc1348a2701a5d96f4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5ac57650fc1348a2701a5d96f43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73675" cy="3014345"/>
            <wp:effectExtent l="0" t="0" r="3175" b="14605"/>
            <wp:docPr id="9" name="图片 9" descr="5f7dd6376be9bb0b5912d247c1d0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7dd6376be9bb0b5912d247c1d0e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73675" cy="3014345"/>
            <wp:effectExtent l="0" t="0" r="3175" b="14605"/>
            <wp:docPr id="8" name="图片 8" descr="9fad3a5d9ec67fe9d3cd3494c725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fad3a5d9ec67fe9d3cd3494c725b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73675" cy="3014345"/>
            <wp:effectExtent l="0" t="0" r="3175" b="14605"/>
            <wp:docPr id="7" name="图片 7" descr="51b80d95e85bf51484180e7c4034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b80d95e85bf51484180e7c40344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73675" cy="3014345"/>
            <wp:effectExtent l="0" t="0" r="3175" b="14605"/>
            <wp:docPr id="6" name="图片 6" descr="54de3c9da22ec86f89c3dc9c8bfc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4de3c9da22ec86f89c3dc9c8bfc3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66690" cy="2654300"/>
            <wp:effectExtent l="0" t="0" r="10160" b="12700"/>
            <wp:docPr id="5" name="图片 5" descr="2295169223d8896629f3ee717ac8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95169223d8896629f3ee717ac8b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72405" cy="3531870"/>
            <wp:effectExtent l="0" t="0" r="4445" b="11430"/>
            <wp:docPr id="4" name="图片 4" descr="ccfe3d31a02d26ac5dddd0b4b22c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e3d31a02d26ac5dddd0b4b22cb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66690" cy="2654300"/>
            <wp:effectExtent l="0" t="0" r="10160" b="12700"/>
            <wp:docPr id="3" name="图片 3" descr="cf352905e693ad26a494149902e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352905e693ad26a494149902e83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73675" cy="3014345"/>
            <wp:effectExtent l="0" t="0" r="3175" b="14605"/>
            <wp:docPr id="2" name="图片 2" descr="e5fa9f5feef3507e227719c78f6a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fa9f5feef3507e227719c78f6a6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pacing w:val="1"/>
          <w:sz w:val="19"/>
          <w:szCs w:val="19"/>
          <w:highlight w:val="yellow"/>
          <w:lang w:val="en-US" w:eastAsia="zh-CN"/>
        </w:rPr>
        <w:drawing>
          <wp:inline distT="0" distB="0" distL="114300" distR="114300">
            <wp:extent cx="5266690" cy="2654300"/>
            <wp:effectExtent l="0" t="0" r="10160" b="12700"/>
            <wp:docPr id="1" name="图片 1" descr="ea2a8160fe51fcc2ea80b2b47611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2a8160fe51fcc2ea80b2b476112e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hODJmZTFkNjNmMzFiY2VjODMxODFiZDMwZGRkOWYifQ=="/>
  </w:docVars>
  <w:rsids>
    <w:rsidRoot w:val="00000000"/>
    <w:rsid w:val="001F3ADA"/>
    <w:rsid w:val="004800F9"/>
    <w:rsid w:val="00936276"/>
    <w:rsid w:val="01F03FB9"/>
    <w:rsid w:val="03101291"/>
    <w:rsid w:val="042A47D4"/>
    <w:rsid w:val="05C14A88"/>
    <w:rsid w:val="078E26D9"/>
    <w:rsid w:val="07E35FB0"/>
    <w:rsid w:val="093E2AE2"/>
    <w:rsid w:val="0A852F24"/>
    <w:rsid w:val="0AF0055B"/>
    <w:rsid w:val="0BC773CD"/>
    <w:rsid w:val="0E1E7C67"/>
    <w:rsid w:val="12357902"/>
    <w:rsid w:val="137F64CE"/>
    <w:rsid w:val="143C57C4"/>
    <w:rsid w:val="14C4769C"/>
    <w:rsid w:val="1BF11741"/>
    <w:rsid w:val="1DF63E2F"/>
    <w:rsid w:val="1E021F2D"/>
    <w:rsid w:val="1EAC4474"/>
    <w:rsid w:val="1F4D56B6"/>
    <w:rsid w:val="22530A40"/>
    <w:rsid w:val="24DE66B3"/>
    <w:rsid w:val="262471B3"/>
    <w:rsid w:val="275D6B12"/>
    <w:rsid w:val="29594105"/>
    <w:rsid w:val="29A973ED"/>
    <w:rsid w:val="29F51284"/>
    <w:rsid w:val="2AA96046"/>
    <w:rsid w:val="2B3260A2"/>
    <w:rsid w:val="2D8E7E8A"/>
    <w:rsid w:val="2DE735DA"/>
    <w:rsid w:val="32587446"/>
    <w:rsid w:val="32D27F5C"/>
    <w:rsid w:val="33AE48CC"/>
    <w:rsid w:val="34330019"/>
    <w:rsid w:val="35183C46"/>
    <w:rsid w:val="35C74B37"/>
    <w:rsid w:val="38DC6A37"/>
    <w:rsid w:val="3AA0109D"/>
    <w:rsid w:val="3CDD12A8"/>
    <w:rsid w:val="3DD96F65"/>
    <w:rsid w:val="3F9977DF"/>
    <w:rsid w:val="415A0714"/>
    <w:rsid w:val="419916A1"/>
    <w:rsid w:val="4214206C"/>
    <w:rsid w:val="43171E39"/>
    <w:rsid w:val="43320BC1"/>
    <w:rsid w:val="44D82C00"/>
    <w:rsid w:val="485F0B41"/>
    <w:rsid w:val="497E0E3E"/>
    <w:rsid w:val="4A7144AC"/>
    <w:rsid w:val="4BC72031"/>
    <w:rsid w:val="4E382218"/>
    <w:rsid w:val="4FA54F3E"/>
    <w:rsid w:val="51FB35BE"/>
    <w:rsid w:val="52E87986"/>
    <w:rsid w:val="54F71AA5"/>
    <w:rsid w:val="58A40CAD"/>
    <w:rsid w:val="59575208"/>
    <w:rsid w:val="5C0B4C18"/>
    <w:rsid w:val="5DD862B5"/>
    <w:rsid w:val="5F6C0662"/>
    <w:rsid w:val="66DE7F1A"/>
    <w:rsid w:val="68955D2E"/>
    <w:rsid w:val="6F101917"/>
    <w:rsid w:val="73552361"/>
    <w:rsid w:val="74D55518"/>
    <w:rsid w:val="76285B0A"/>
    <w:rsid w:val="78412EB3"/>
    <w:rsid w:val="7E1D4BD9"/>
    <w:rsid w:val="7E397A2F"/>
    <w:rsid w:val="7EB1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3">
    <w:name w:val="heading 6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autoRedefine/>
    <w:qFormat/>
    <w:uiPriority w:val="0"/>
    <w:rPr>
      <w:b/>
    </w:r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11229</Words>
  <Characters>15507</Characters>
  <Lines>0</Lines>
  <Paragraphs>0</Paragraphs>
  <TotalTime>5</TotalTime>
  <ScaleCrop>false</ScaleCrop>
  <LinksUpToDate>false</LinksUpToDate>
  <CharactersWithSpaces>16642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2023-06-10T01:56:00Z</dcterms:created>
  <dc:creator>002</dc:creator>
  <cp:lastModifiedBy>七辰</cp:lastModifiedBy>
  <dcterms:modified xsi:type="dcterms:W3CDTF">2024-06-08T03:36:49Z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F7DF1C2463A84A83B4F3B044A2219FF0_13</vt:lpwstr>
  </property>
</Properties>
</file>