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注：以下技术参数中</w:t>
      </w:r>
      <w:r>
        <w:rPr>
          <w:rFonts w:hint="eastAsia" w:ascii="宋体" w:hAnsi="宋体" w:cs="宋体"/>
          <w:sz w:val="21"/>
          <w:szCs w:val="21"/>
          <w:highlight w:val="none"/>
          <w:lang w:val="zh-CN" w:eastAsia="zh-CN"/>
        </w:rPr>
        <w:t>▲为重要指标</w:t>
      </w:r>
      <w:r>
        <w:rPr>
          <w:rFonts w:hint="eastAsia" w:ascii="宋体" w:hAnsi="宋体" w:cs="宋体"/>
          <w:sz w:val="21"/>
          <w:szCs w:val="21"/>
          <w:highlight w:val="none"/>
          <w:lang w:val="en-US" w:eastAsia="zh-CN"/>
        </w:rPr>
        <w:t>,其余参数为一般无标识技术参数</w:t>
      </w:r>
      <w:bookmarkStart w:id="72" w:name="_GoBack"/>
      <w:bookmarkEnd w:id="72"/>
      <w:r>
        <w:rPr>
          <w:rFonts w:hint="eastAsia" w:ascii="宋体" w:hAnsi="宋体" w:cs="宋体"/>
          <w:sz w:val="21"/>
          <w:szCs w:val="21"/>
          <w:highlight w:val="none"/>
          <w:lang w:val="zh-CN"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充电机技术参数</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分体式直流充电主机</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表1.1</w:t>
      </w:r>
    </w:p>
    <w:tbl>
      <w:tblPr>
        <w:tblStyle w:val="7"/>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0"/>
        <w:gridCol w:w="1746"/>
        <w:gridCol w:w="5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2786" w:type="dxa"/>
            <w:gridSpan w:val="2"/>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w:t>
            </w:r>
          </w:p>
        </w:tc>
        <w:tc>
          <w:tcPr>
            <w:tcW w:w="5228"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0</w:t>
            </w:r>
            <w:r>
              <w:rPr>
                <w:rFonts w:hint="eastAsia" w:ascii="宋体" w:hAnsi="宋体" w:eastAsia="宋体" w:cs="宋体"/>
                <w:b w:val="0"/>
                <w:bCs w:val="0"/>
                <w:sz w:val="21"/>
                <w:szCs w:val="21"/>
                <w:lang w:val="en-US" w:eastAsia="zh-CN"/>
              </w:rPr>
              <w:t>0kW一机</w:t>
            </w:r>
            <w:r>
              <w:rPr>
                <w:rFonts w:hint="eastAsia" w:ascii="宋体" w:hAnsi="宋体" w:cs="宋体"/>
                <w:b w:val="0"/>
                <w:bCs w:val="0"/>
                <w:sz w:val="21"/>
                <w:szCs w:val="21"/>
                <w:lang w:val="en-US" w:eastAsia="zh-CN"/>
              </w:rPr>
              <w:t>十</w:t>
            </w:r>
            <w:r>
              <w:rPr>
                <w:rFonts w:hint="eastAsia" w:ascii="宋体" w:hAnsi="宋体" w:eastAsia="宋体" w:cs="宋体"/>
                <w:b w:val="0"/>
                <w:bCs w:val="0"/>
                <w:sz w:val="21"/>
                <w:szCs w:val="21"/>
                <w:lang w:val="en-US" w:eastAsia="zh-CN"/>
              </w:rPr>
              <w:t>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充电</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设备</w:t>
            </w: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额定功率</w:t>
            </w:r>
          </w:p>
        </w:tc>
        <w:tc>
          <w:tcPr>
            <w:tcW w:w="5228" w:type="dxa"/>
            <w:shd w:val="clear" w:color="auto" w:fill="auto"/>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4</w:t>
            </w:r>
            <w:r>
              <w:rPr>
                <w:rFonts w:hint="eastAsia" w:ascii="宋体" w:hAnsi="宋体" w:cs="宋体"/>
                <w:b w:val="0"/>
                <w:bCs w:val="0"/>
                <w:sz w:val="21"/>
                <w:szCs w:val="21"/>
                <w:lang w:val="en-US" w:eastAsia="zh-CN"/>
              </w:rPr>
              <w:t>0</w:t>
            </w:r>
            <w:r>
              <w:rPr>
                <w:rFonts w:hint="eastAsia" w:ascii="宋体" w:hAnsi="宋体" w:eastAsia="宋体" w:cs="宋体"/>
                <w:b w:val="0"/>
                <w:bCs w:val="0"/>
                <w:sz w:val="21"/>
                <w:szCs w:val="21"/>
              </w:rPr>
              <w:t>0</w:t>
            </w:r>
            <w:r>
              <w:rPr>
                <w:rFonts w:hint="eastAsia" w:ascii="宋体" w:hAnsi="宋体" w:eastAsia="宋体" w:cs="宋体"/>
                <w:b w:val="0"/>
                <w:bCs w:val="0"/>
                <w:sz w:val="21"/>
                <w:szCs w:val="21"/>
                <w:lang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输入电压类型</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输入电压</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AC380V±15%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输入频率</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50Hz±1Hz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额定输出电压</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DC1000V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额定输出电流</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40</w:t>
            </w:r>
            <w:r>
              <w:rPr>
                <w:rFonts w:hint="eastAsia" w:ascii="宋体" w:hAnsi="宋体" w:eastAsia="宋体" w:cs="宋体"/>
                <w:b w:val="0"/>
                <w:bCs w:val="0"/>
                <w:sz w:val="21"/>
                <w:szCs w:val="21"/>
              </w:rPr>
              <w:t>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输出电压</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200-1000V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单模块功率</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功率分配</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矩阵式设计，单模块调度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限流保护值</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稳压精度</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稳流精度</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纹波系数</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峰值：≤±0.5%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效率</w:t>
            </w:r>
          </w:p>
        </w:tc>
        <w:tc>
          <w:tcPr>
            <w:tcW w:w="5228" w:type="dxa"/>
            <w:shd w:val="clear" w:color="auto" w:fill="auto"/>
            <w:vAlign w:val="center"/>
          </w:tcPr>
          <w:p>
            <w:pPr>
              <w:keepNext w:val="0"/>
              <w:keepLines w:val="0"/>
              <w:pageBreakBefore w:val="0"/>
              <w:kinsoku/>
              <w:wordWrap/>
              <w:overflowPunct/>
              <w:topLinePunct w:val="0"/>
              <w:autoSpaceDE/>
              <w:autoSpaceDN/>
              <w:bidi w:val="0"/>
              <w:adjustRightInd/>
              <w:spacing w:line="240" w:lineRule="auto"/>
              <w:ind w:firstLine="420" w:firstLineChars="200"/>
              <w:jc w:val="center"/>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≥93%（50%＜P</w:t>
            </w:r>
            <w:r>
              <w:rPr>
                <w:rFonts w:hint="eastAsia" w:ascii="宋体" w:hAnsi="宋体" w:eastAsia="宋体" w:cs="宋体"/>
                <w:b w:val="0"/>
                <w:bCs w:val="0"/>
                <w:kern w:val="0"/>
                <w:sz w:val="21"/>
                <w:szCs w:val="21"/>
                <w:vertAlign w:val="subscript"/>
              </w:rPr>
              <w:t>O</w:t>
            </w:r>
            <w:r>
              <w:rPr>
                <w:rFonts w:hint="eastAsia" w:ascii="宋体" w:hAnsi="宋体" w:eastAsia="宋体" w:cs="宋体"/>
                <w:b w:val="0"/>
                <w:bCs w:val="0"/>
                <w:kern w:val="0"/>
                <w:sz w:val="21"/>
                <w:szCs w:val="21"/>
              </w:rPr>
              <w:t>/P</w:t>
            </w:r>
            <w:r>
              <w:rPr>
                <w:rFonts w:hint="eastAsia" w:ascii="宋体" w:hAnsi="宋体" w:eastAsia="宋体" w:cs="宋体"/>
                <w:b w:val="0"/>
                <w:bCs w:val="0"/>
                <w:kern w:val="0"/>
                <w:sz w:val="21"/>
                <w:szCs w:val="21"/>
                <w:vertAlign w:val="subscript"/>
              </w:rPr>
              <w:t>N</w:t>
            </w:r>
            <w:r>
              <w:rPr>
                <w:rFonts w:hint="eastAsia" w:ascii="宋体" w:hAnsi="宋体" w:eastAsia="宋体" w:cs="宋体"/>
                <w:b w:val="0"/>
                <w:bCs w:val="0"/>
                <w:kern w:val="0"/>
                <w:sz w:val="21"/>
                <w:szCs w:val="21"/>
              </w:rPr>
              <w:t>≤100%）</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kern w:val="0"/>
                <w:sz w:val="21"/>
                <w:szCs w:val="21"/>
              </w:rPr>
              <w:t>≥88%（20%≤P</w:t>
            </w:r>
            <w:r>
              <w:rPr>
                <w:rFonts w:hint="eastAsia" w:ascii="宋体" w:hAnsi="宋体" w:eastAsia="宋体" w:cs="宋体"/>
                <w:b w:val="0"/>
                <w:bCs w:val="0"/>
                <w:kern w:val="0"/>
                <w:sz w:val="21"/>
                <w:szCs w:val="21"/>
                <w:vertAlign w:val="subscript"/>
              </w:rPr>
              <w:t>O</w:t>
            </w:r>
            <w:r>
              <w:rPr>
                <w:rFonts w:hint="eastAsia" w:ascii="宋体" w:hAnsi="宋体" w:eastAsia="宋体" w:cs="宋体"/>
                <w:b w:val="0"/>
                <w:bCs w:val="0"/>
                <w:kern w:val="0"/>
                <w:sz w:val="21"/>
                <w:szCs w:val="21"/>
              </w:rPr>
              <w:t>/P</w:t>
            </w:r>
            <w:r>
              <w:rPr>
                <w:rFonts w:hint="eastAsia" w:ascii="宋体" w:hAnsi="宋体" w:eastAsia="宋体" w:cs="宋体"/>
                <w:b w:val="0"/>
                <w:bCs w:val="0"/>
                <w:kern w:val="0"/>
                <w:sz w:val="21"/>
                <w:szCs w:val="21"/>
                <w:vertAlign w:val="subscript"/>
              </w:rPr>
              <w:t>N</w:t>
            </w:r>
            <w:r>
              <w:rPr>
                <w:rFonts w:hint="eastAsia" w:ascii="宋体" w:hAnsi="宋体" w:eastAsia="宋体" w:cs="宋体"/>
                <w:b w:val="0"/>
                <w:bCs w:val="0"/>
                <w:kern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功率因数</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≥0.99</w:t>
            </w:r>
            <w:r>
              <w:rPr>
                <w:rFonts w:hint="eastAsia" w:ascii="宋体" w:hAnsi="宋体" w:eastAsia="宋体" w:cs="宋体"/>
                <w:b w:val="0"/>
                <w:bCs w:val="0"/>
                <w:kern w:val="0"/>
                <w:sz w:val="21"/>
                <w:szCs w:val="21"/>
              </w:rPr>
              <w:t>（50%＜P</w:t>
            </w:r>
            <w:r>
              <w:rPr>
                <w:rFonts w:hint="eastAsia" w:ascii="宋体" w:hAnsi="宋体" w:eastAsia="宋体" w:cs="宋体"/>
                <w:b w:val="0"/>
                <w:bCs w:val="0"/>
                <w:kern w:val="0"/>
                <w:sz w:val="21"/>
                <w:szCs w:val="21"/>
                <w:vertAlign w:val="subscript"/>
              </w:rPr>
              <w:t>O</w:t>
            </w:r>
            <w:r>
              <w:rPr>
                <w:rFonts w:hint="eastAsia" w:ascii="宋体" w:hAnsi="宋体" w:eastAsia="宋体" w:cs="宋体"/>
                <w:b w:val="0"/>
                <w:bCs w:val="0"/>
                <w:kern w:val="0"/>
                <w:sz w:val="21"/>
                <w:szCs w:val="21"/>
              </w:rPr>
              <w:t>/P</w:t>
            </w:r>
            <w:r>
              <w:rPr>
                <w:rFonts w:hint="eastAsia" w:ascii="宋体" w:hAnsi="宋体" w:eastAsia="宋体" w:cs="宋体"/>
                <w:b w:val="0"/>
                <w:bCs w:val="0"/>
                <w:kern w:val="0"/>
                <w:sz w:val="21"/>
                <w:szCs w:val="21"/>
                <w:vertAlign w:val="subscript"/>
              </w:rPr>
              <w:t>N</w:t>
            </w:r>
            <w:r>
              <w:rPr>
                <w:rFonts w:hint="eastAsia" w:ascii="宋体" w:hAnsi="宋体" w:eastAsia="宋体" w:cs="宋体"/>
                <w:b w:val="0"/>
                <w:bCs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谐波含量THD</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kern w:val="0"/>
                <w:sz w:val="21"/>
                <w:szCs w:val="21"/>
              </w:rPr>
              <w:t>（50%＜P</w:t>
            </w:r>
            <w:r>
              <w:rPr>
                <w:rFonts w:hint="eastAsia" w:ascii="宋体" w:hAnsi="宋体" w:eastAsia="宋体" w:cs="宋体"/>
                <w:b w:val="0"/>
                <w:bCs w:val="0"/>
                <w:kern w:val="0"/>
                <w:sz w:val="21"/>
                <w:szCs w:val="21"/>
                <w:vertAlign w:val="subscript"/>
              </w:rPr>
              <w:t>O</w:t>
            </w:r>
            <w:r>
              <w:rPr>
                <w:rFonts w:hint="eastAsia" w:ascii="宋体" w:hAnsi="宋体" w:eastAsia="宋体" w:cs="宋体"/>
                <w:b w:val="0"/>
                <w:bCs w:val="0"/>
                <w:kern w:val="0"/>
                <w:sz w:val="21"/>
                <w:szCs w:val="21"/>
              </w:rPr>
              <w:t>/P</w:t>
            </w:r>
            <w:r>
              <w:rPr>
                <w:rFonts w:hint="eastAsia" w:ascii="宋体" w:hAnsi="宋体" w:eastAsia="宋体" w:cs="宋体"/>
                <w:b w:val="0"/>
                <w:bCs w:val="0"/>
                <w:kern w:val="0"/>
                <w:sz w:val="21"/>
                <w:szCs w:val="21"/>
                <w:vertAlign w:val="subscript"/>
              </w:rPr>
              <w:t>N</w:t>
            </w:r>
            <w:r>
              <w:rPr>
                <w:rFonts w:hint="eastAsia" w:ascii="宋体" w:hAnsi="宋体" w:eastAsia="宋体" w:cs="宋体"/>
                <w:b w:val="0"/>
                <w:bCs w:val="0"/>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安全</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设计</w:t>
            </w: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安全功能</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充电枪温度检测、电磁锁状态检测、输入过压保护、输入欠压保护、输出过压、输出欠压、过载保护、短路保护、接地保护、过温保护、</w:t>
            </w:r>
            <w:r>
              <w:rPr>
                <w:rFonts w:hint="eastAsia" w:ascii="宋体" w:hAnsi="宋体" w:eastAsia="宋体" w:cs="宋体"/>
                <w:b w:val="0"/>
                <w:bCs w:val="0"/>
                <w:kern w:val="0"/>
                <w:sz w:val="21"/>
                <w:szCs w:val="21"/>
              </w:rPr>
              <w:t>绝缘监测保护、极性反接保护、</w:t>
            </w:r>
            <w:r>
              <w:rPr>
                <w:rFonts w:hint="eastAsia" w:ascii="宋体" w:hAnsi="宋体" w:eastAsia="宋体" w:cs="宋体"/>
                <w:b w:val="0"/>
                <w:bCs w:val="0"/>
                <w:sz w:val="21"/>
                <w:szCs w:val="21"/>
              </w:rPr>
              <w:t>防雷保护、急停保护、漏电保护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环境</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指标</w:t>
            </w: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工作温度</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-40℃~+</w:t>
            </w:r>
            <w:r>
              <w:rPr>
                <w:rFonts w:hint="eastAsia" w:ascii="宋体" w:hAnsi="宋体" w:cs="宋体"/>
                <w:b w:val="0"/>
                <w:bCs w:val="0"/>
                <w:sz w:val="21"/>
                <w:szCs w:val="21"/>
                <w:lang w:val="en-US" w:eastAsia="zh-CN"/>
              </w:rPr>
              <w:t>60</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存储温度</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-40℃~+6</w:t>
            </w:r>
            <w:r>
              <w:rPr>
                <w:rFonts w:hint="eastAsia" w:ascii="宋体" w:hAnsi="宋体" w:cs="宋体"/>
                <w:b w:val="0"/>
                <w:bCs w:val="0"/>
                <w:sz w:val="21"/>
                <w:szCs w:val="21"/>
                <w:lang w:val="en-US" w:eastAsia="zh-CN"/>
              </w:rPr>
              <w:t>5</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工作湿度</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5%~95%无凝霜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工作海拔</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防护等级</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冷却方式</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噪声控制</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II级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其他</w:t>
            </w: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通信接口</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4G/以太网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执行标准</w:t>
            </w:r>
          </w:p>
        </w:tc>
        <w:tc>
          <w:tcPr>
            <w:tcW w:w="5228"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GB/T 20234、GB/T 18487、GB/T 27930、NB/T 33008</w:t>
            </w:r>
          </w:p>
        </w:tc>
      </w:tr>
    </w:tbl>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双枪直流充电终端</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表1.2</w:t>
      </w:r>
    </w:p>
    <w:tbl>
      <w:tblPr>
        <w:tblStyle w:val="7"/>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40"/>
        <w:gridCol w:w="1746"/>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2786" w:type="dxa"/>
            <w:gridSpan w:val="2"/>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规格</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双枪</w:t>
            </w:r>
            <w:r>
              <w:rPr>
                <w:rFonts w:hint="eastAsia" w:ascii="宋体" w:hAnsi="宋体" w:cs="宋体"/>
                <w:b w:val="0"/>
                <w:bCs w:val="0"/>
                <w:sz w:val="21"/>
                <w:szCs w:val="21"/>
                <w:lang w:val="en-US" w:eastAsia="zh-CN"/>
              </w:rPr>
              <w:t>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单枪电流范围</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0-250A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计量精度</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人机界面</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7寸电容彩色显示触摸屏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启动方式</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即插即充、定时自动启动、刷卡（CPU卡）、手动启停、远程控制启动、手机扫描充充电终端二维码等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安全功能</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充电枪温度检测、电磁锁状态检测、输出过压、输出欠压、过载保护、短路保护、接地保护、极性反接保护、急停保护等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环境</w:t>
            </w:r>
          </w:p>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指标</w:t>
            </w: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工作温度</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-40℃~+</w:t>
            </w:r>
            <w:r>
              <w:rPr>
                <w:rFonts w:hint="eastAsia" w:ascii="宋体" w:hAnsi="宋体" w:cs="宋体"/>
                <w:b w:val="0"/>
                <w:bCs w:val="0"/>
                <w:sz w:val="21"/>
                <w:szCs w:val="21"/>
                <w:lang w:val="en-US" w:eastAsia="zh-CN"/>
              </w:rPr>
              <w:t>60</w:t>
            </w:r>
            <w:r>
              <w:rPr>
                <w:rFonts w:hint="eastAsia" w:ascii="宋体" w:hAnsi="宋体" w:eastAsia="宋体" w:cs="宋体"/>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工作湿度</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5%~95%无凝霜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工作海拔</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0"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p>
        </w:tc>
        <w:tc>
          <w:tcPr>
            <w:tcW w:w="1746"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防护等级</w:t>
            </w:r>
          </w:p>
        </w:tc>
        <w:tc>
          <w:tcPr>
            <w:tcW w:w="5341" w:type="dxa"/>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IP54</w:t>
            </w:r>
          </w:p>
        </w:tc>
      </w:tr>
    </w:tbl>
    <w:p>
      <w:pPr>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p>
    <w:p>
      <w:pPr>
        <w:pStyle w:val="4"/>
        <w:pageBreakBefore w:val="0"/>
        <w:numPr>
          <w:ilvl w:val="1"/>
          <w:numId w:val="0"/>
        </w:numPr>
        <w:kinsoku/>
        <w:wordWrap/>
        <w:overflowPunct/>
        <w:topLinePunct w:val="0"/>
        <w:autoSpaceDE/>
        <w:autoSpaceDN/>
        <w:bidi w:val="0"/>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1.3一体式直流充电机</w:t>
      </w:r>
    </w:p>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表1.3</w:t>
      </w:r>
    </w:p>
    <w:tbl>
      <w:tblPr>
        <w:tblStyle w:val="7"/>
        <w:tblpPr w:leftFromText="180" w:rightFromText="180" w:vertAnchor="text" w:horzAnchor="page" w:tblpX="1789" w:tblpY="29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1"/>
        <w:gridCol w:w="1607"/>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1501" w:type="pct"/>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产品型号</w:t>
            </w:r>
          </w:p>
        </w:tc>
        <w:tc>
          <w:tcPr>
            <w:tcW w:w="349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lang w:val="en-US" w:eastAsia="zh-CN"/>
              </w:rPr>
              <w:t>0kW双枪一体机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 w:hRule="exact"/>
        </w:trPr>
        <w:tc>
          <w:tcPr>
            <w:tcW w:w="55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充电</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设备</w:t>
            </w: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额定功率</w:t>
            </w:r>
          </w:p>
        </w:tc>
        <w:tc>
          <w:tcPr>
            <w:tcW w:w="349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eastAsia="zh-CN"/>
              </w:rPr>
            </w:pPr>
            <w:r>
              <w:rPr>
                <w:rFonts w:hint="eastAsia" w:ascii="宋体" w:hAnsi="宋体" w:cs="宋体"/>
                <w:b w:val="0"/>
                <w:bCs w:val="0"/>
                <w:sz w:val="21"/>
                <w:szCs w:val="21"/>
                <w:lang w:val="en-US" w:eastAsia="zh-CN"/>
              </w:rPr>
              <w:t>8</w:t>
            </w:r>
            <w:r>
              <w:rPr>
                <w:rFonts w:hint="eastAsia" w:ascii="宋体" w:hAnsi="宋体" w:eastAsia="宋体" w:cs="宋体"/>
                <w:b w:val="0"/>
                <w:bCs w:val="0"/>
                <w:sz w:val="21"/>
                <w:szCs w:val="21"/>
              </w:rPr>
              <w:t>0</w:t>
            </w:r>
            <w:r>
              <w:rPr>
                <w:rFonts w:hint="eastAsia" w:ascii="宋体" w:hAnsi="宋体" w:eastAsia="宋体" w:cs="宋体"/>
                <w:b w:val="0"/>
                <w:bCs w:val="0"/>
                <w:sz w:val="21"/>
                <w:szCs w:val="21"/>
                <w:lang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安装方式</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落地式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走线方式</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下进下出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输入电压类型</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三相五线制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输入电压</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AC380V±15%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输入频率</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50±1Hz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额定输出电压</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DC1000V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额定输出电流</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80</w:t>
            </w:r>
            <w:r>
              <w:rPr>
                <w:rFonts w:hint="eastAsia" w:ascii="宋体" w:hAnsi="宋体" w:eastAsia="宋体" w:cs="宋体"/>
                <w:b w:val="0"/>
                <w:bCs w:val="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输出电压</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200-1000V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单模块功率</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40</w:t>
            </w:r>
            <w:r>
              <w:rPr>
                <w:rFonts w:hint="eastAsia" w:ascii="宋体" w:hAnsi="宋体" w:eastAsia="宋体" w:cs="宋体"/>
                <w:b w:val="0"/>
                <w:bCs w:val="0"/>
                <w:sz w:val="21"/>
                <w:szCs w:val="21"/>
                <w:lang w:val="en-US"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功率分配</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功率分配控制设计，单组模块调度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单枪电流范围</w:t>
            </w:r>
          </w:p>
        </w:tc>
        <w:tc>
          <w:tcPr>
            <w:tcW w:w="3498"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0-250A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计量精度</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rPr>
              <w:t>.0级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电气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指标</w:t>
            </w: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限流保护值</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稳压精度</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稳流精度</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纹波系数</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效率</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≥95%(满载)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功率因数</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≥0.99 (50%负载以上）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谐波含量THD</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 (50%负载以上）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功能</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设计</w:t>
            </w: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人机界面</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7寸彩色显示触摸屏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启动方式</w:t>
            </w:r>
          </w:p>
        </w:tc>
        <w:tc>
          <w:tcPr>
            <w:tcW w:w="3498" w:type="pct"/>
            <w:shd w:val="clear" w:color="auto" w:fill="auto"/>
            <w:vAlign w:val="center"/>
          </w:tcPr>
          <w:p>
            <w:pPr>
              <w:keepNext w:val="0"/>
              <w:keepLines w:val="0"/>
              <w:pageBreakBefore w:val="0"/>
              <w:widowControl/>
              <w:tabs>
                <w:tab w:val="left" w:pos="2554"/>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APP启动/刷卡启动/扫码启动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通信接口</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4G网络/网线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安全</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设计</w:t>
            </w: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执行标准</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GB/T 20234、GB/T 18487、GB/T 27930、NB/T 33008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5"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安全功能</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充电枪温度检测、电磁锁状态检测、输入过压保护、输入欠压保护、输出过压、输出欠压、过载保护、短路保护、接地保护、过温保护 、</w:t>
            </w:r>
            <w:r>
              <w:rPr>
                <w:rFonts w:hint="eastAsia" w:ascii="宋体" w:hAnsi="宋体" w:eastAsia="宋体" w:cs="宋体"/>
                <w:b w:val="0"/>
                <w:bCs w:val="0"/>
                <w:kern w:val="0"/>
                <w:sz w:val="21"/>
                <w:szCs w:val="21"/>
              </w:rPr>
              <w:t>绝缘监测保护、极性反接保护、</w:t>
            </w:r>
            <w:r>
              <w:rPr>
                <w:rFonts w:hint="eastAsia" w:ascii="宋体" w:hAnsi="宋体" w:eastAsia="宋体" w:cs="宋体"/>
                <w:b w:val="0"/>
                <w:bCs w:val="0"/>
                <w:sz w:val="21"/>
                <w:szCs w:val="21"/>
              </w:rPr>
              <w:t>防雷保护、急停保护、漏电保护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环境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指标</w:t>
            </w: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工作温度</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-40℃~+</w:t>
            </w:r>
            <w:r>
              <w:rPr>
                <w:rFonts w:hint="eastAsia" w:ascii="宋体" w:hAnsi="宋体" w:cs="宋体"/>
                <w:b w:val="0"/>
                <w:bCs w:val="0"/>
                <w:sz w:val="21"/>
                <w:szCs w:val="21"/>
                <w:lang w:val="en-US" w:eastAsia="zh-CN"/>
              </w:rPr>
              <w:t>60</w:t>
            </w:r>
            <w:r>
              <w:rPr>
                <w:rFonts w:hint="eastAsia" w:ascii="宋体" w:hAnsi="宋体" w:eastAsia="宋体" w:cs="宋体"/>
                <w:b w:val="0"/>
                <w:bCs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工作湿度</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5%~95%无凝霜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工作海拔</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防护等级</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IP54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冷却方式</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58"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p>
        </w:tc>
        <w:tc>
          <w:tcPr>
            <w:tcW w:w="94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噪声控制</w:t>
            </w:r>
          </w:p>
        </w:tc>
        <w:tc>
          <w:tcPr>
            <w:tcW w:w="349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II级</w:t>
            </w:r>
          </w:p>
        </w:tc>
      </w:tr>
    </w:tbl>
    <w:p>
      <w:pPr>
        <w:rPr>
          <w:rFonts w:hint="eastAsia" w:ascii="宋体" w:hAnsi="宋体" w:eastAsia="宋体" w:cs="宋体"/>
          <w:sz w:val="21"/>
          <w:szCs w:val="21"/>
        </w:rPr>
      </w:pPr>
    </w:p>
    <w:p>
      <w:pPr>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0" w:name="_Toc30508"/>
      <w:r>
        <w:rPr>
          <w:rFonts w:hint="eastAsia" w:ascii="宋体" w:hAnsi="宋体" w:eastAsia="宋体" w:cs="宋体"/>
          <w:sz w:val="21"/>
          <w:szCs w:val="21"/>
          <w:lang w:val="en-US" w:eastAsia="zh-CN"/>
        </w:rPr>
        <w:t>直流充电机</w:t>
      </w:r>
      <w:r>
        <w:rPr>
          <w:rFonts w:hint="eastAsia" w:ascii="宋体" w:hAnsi="宋体" w:eastAsia="宋体" w:cs="宋体"/>
          <w:sz w:val="21"/>
          <w:szCs w:val="21"/>
        </w:rPr>
        <w:t>性能参数</w:t>
      </w:r>
      <w:bookmarkEnd w:id="0"/>
      <w:r>
        <w:rPr>
          <w:rFonts w:hint="eastAsia" w:ascii="宋体" w:hAnsi="宋体" w:eastAsia="宋体" w:cs="宋体"/>
          <w:sz w:val="21"/>
          <w:szCs w:val="21"/>
        </w:rPr>
        <w:t xml:space="preserve"> </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1" w:name="_Toc4051"/>
      <w:r>
        <w:rPr>
          <w:rFonts w:hint="eastAsia" w:ascii="宋体" w:hAnsi="宋体" w:eastAsia="宋体" w:cs="宋体"/>
          <w:sz w:val="21"/>
          <w:szCs w:val="21"/>
        </w:rPr>
        <w:t>使用条件</w:t>
      </w:r>
      <w:bookmarkEnd w:id="1"/>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（1）环境条件</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b/>
          <w:bCs/>
          <w:sz w:val="24"/>
          <w:lang w:val="zh-CN" w:eastAsia="zh-CN"/>
        </w:rPr>
        <w:t>▲</w:t>
      </w:r>
      <w:r>
        <w:rPr>
          <w:rFonts w:hint="eastAsia" w:ascii="宋体" w:hAnsi="宋体" w:eastAsia="宋体" w:cs="宋体"/>
          <w:sz w:val="21"/>
          <w:szCs w:val="21"/>
        </w:rPr>
        <w:t>a.</w:t>
      </w:r>
      <w:r>
        <w:rPr>
          <w:rFonts w:hint="eastAsia" w:ascii="宋体" w:hAnsi="宋体" w:eastAsia="宋体" w:cs="宋体"/>
          <w:sz w:val="21"/>
          <w:szCs w:val="21"/>
          <w:lang w:val="en-US" w:eastAsia="zh-CN"/>
        </w:rPr>
        <w:t>工作</w:t>
      </w:r>
      <w:r>
        <w:rPr>
          <w:rFonts w:hint="eastAsia" w:ascii="宋体" w:hAnsi="宋体" w:eastAsia="宋体" w:cs="宋体"/>
          <w:sz w:val="21"/>
          <w:szCs w:val="21"/>
        </w:rPr>
        <w:t>温度：-</w:t>
      </w:r>
      <w:r>
        <w:rPr>
          <w:rFonts w:hint="eastAsia" w:ascii="宋体" w:hAnsi="宋体" w:eastAsia="宋体" w:cs="宋体"/>
          <w:sz w:val="21"/>
          <w:szCs w:val="21"/>
          <w:lang w:val="en-US" w:eastAsia="zh-CN"/>
        </w:rPr>
        <w:t>4</w:t>
      </w:r>
      <w:r>
        <w:rPr>
          <w:rFonts w:hint="eastAsia" w:ascii="宋体" w:hAnsi="宋体" w:eastAsia="宋体" w:cs="宋体"/>
          <w:sz w:val="21"/>
          <w:szCs w:val="21"/>
        </w:rPr>
        <w:t>0℃～+</w:t>
      </w:r>
      <w:r>
        <w:rPr>
          <w:rFonts w:hint="eastAsia" w:ascii="宋体" w:hAnsi="宋体" w:cs="宋体"/>
          <w:sz w:val="21"/>
          <w:szCs w:val="21"/>
          <w:lang w:val="en-US" w:eastAsia="zh-CN"/>
        </w:rPr>
        <w:t>6</w:t>
      </w:r>
      <w:r>
        <w:rPr>
          <w:rFonts w:hint="eastAsia" w:ascii="宋体" w:hAnsi="宋体" w:eastAsia="宋体" w:cs="宋体"/>
          <w:sz w:val="21"/>
          <w:szCs w:val="21"/>
        </w:rPr>
        <w:t>0℃；</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b.相对湿度：5％～95％；</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c.海拔高度：≤2000m；</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d.大气压强：80kPa～110kPa。</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（2）电源条件</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a.交流输入电压：380V±15％；</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b.交流电源频率：50Hz±1Hz。</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（3）辅助电源条件</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a.低压辅助电源：充电机应能为电动汽车提供低压辅助电源。</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FF0000"/>
          <w:sz w:val="21"/>
          <w:szCs w:val="21"/>
        </w:rPr>
      </w:pPr>
      <w:r>
        <w:rPr>
          <w:rFonts w:hint="eastAsia"/>
          <w:b/>
          <w:bCs/>
          <w:sz w:val="24"/>
          <w:lang w:val="zh-CN" w:eastAsia="zh-CN"/>
        </w:rPr>
        <w:t>▲</w:t>
      </w:r>
      <w:r>
        <w:rPr>
          <w:rFonts w:hint="eastAsia" w:ascii="宋体" w:hAnsi="宋体" w:eastAsia="宋体" w:cs="宋体"/>
          <w:sz w:val="21"/>
          <w:szCs w:val="21"/>
        </w:rPr>
        <w:t>b.辅助电源电压：12V。</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c.辅助电源额定电流：10A。</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d.纹波峰值系数：不超过±1%。</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充电模块</w:t>
      </w:r>
      <w:r>
        <w:rPr>
          <w:rFonts w:hint="eastAsia" w:ascii="宋体" w:hAnsi="宋体" w:eastAsia="宋体" w:cs="宋体"/>
          <w:sz w:val="21"/>
          <w:szCs w:val="21"/>
        </w:rPr>
        <w:t>额定功率和输出电压</w:t>
      </w:r>
    </w:p>
    <w:p>
      <w:pPr>
        <w:pageBreakBefore w:val="0"/>
        <w:kinsoku/>
        <w:wordWrap/>
        <w:overflowPunct/>
        <w:topLinePunct w:val="0"/>
        <w:autoSpaceDE/>
        <w:autoSpaceDN/>
        <w:bidi w:val="0"/>
        <w:spacing w:line="360" w:lineRule="auto"/>
        <w:ind w:firstLine="42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表2.1</w:t>
      </w:r>
    </w:p>
    <w:tbl>
      <w:tblPr>
        <w:tblStyle w:val="8"/>
        <w:tblW w:w="5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tcPr>
          <w:p>
            <w:pPr>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单个模块功率</w:t>
            </w:r>
          </w:p>
        </w:tc>
        <w:tc>
          <w:tcPr>
            <w:tcW w:w="2410" w:type="dxa"/>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rPr>
              <w:t>0</w:t>
            </w:r>
            <w:r>
              <w:rPr>
                <w:rFonts w:hint="eastAsia" w:ascii="宋体" w:hAnsi="宋体" w:eastAsia="宋体" w:cs="宋体"/>
                <w:sz w:val="21"/>
                <w:szCs w:val="21"/>
                <w:lang w:eastAsia="zh-CN"/>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tcPr>
          <w:p>
            <w:pPr>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直流输出电压范围</w:t>
            </w:r>
          </w:p>
        </w:tc>
        <w:tc>
          <w:tcPr>
            <w:tcW w:w="2410" w:type="dxa"/>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DC200-1000V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tcPr>
          <w:p>
            <w:pPr>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模块恒功率输出电压范围</w:t>
            </w:r>
          </w:p>
        </w:tc>
        <w:tc>
          <w:tcPr>
            <w:tcW w:w="2410" w:type="dxa"/>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DC300-1000V</w:t>
            </w:r>
          </w:p>
        </w:tc>
      </w:tr>
    </w:tbl>
    <w:p>
      <w:pPr>
        <w:pageBreakBefore w:val="0"/>
        <w:kinsoku/>
        <w:wordWrap/>
        <w:overflowPunct/>
        <w:topLinePunct w:val="0"/>
        <w:autoSpaceDE/>
        <w:autoSpaceDN/>
        <w:bidi w:val="0"/>
        <w:spacing w:line="360" w:lineRule="auto"/>
        <w:ind w:firstLine="210" w:firstLineChars="100"/>
        <w:textAlignment w:val="auto"/>
        <w:rPr>
          <w:rFonts w:hint="eastAsia" w:ascii="宋体" w:hAnsi="宋体" w:eastAsia="宋体" w:cs="宋体"/>
          <w:color w:val="FF0000"/>
          <w:sz w:val="21"/>
          <w:szCs w:val="21"/>
        </w:rPr>
      </w:pPr>
      <w:r>
        <w:rPr>
          <w:rFonts w:hint="eastAsia" w:ascii="宋体" w:hAnsi="宋体" w:eastAsia="宋体" w:cs="宋体"/>
          <w:sz w:val="21"/>
          <w:szCs w:val="21"/>
        </w:rPr>
        <w:t>（5）</w:t>
      </w:r>
      <w:r>
        <w:rPr>
          <w:rFonts w:hint="eastAsia" w:ascii="宋体" w:hAnsi="宋体" w:cs="宋体"/>
          <w:sz w:val="21"/>
          <w:szCs w:val="21"/>
          <w:lang w:val="en-US" w:eastAsia="zh-CN"/>
        </w:rPr>
        <w:t>直流</w:t>
      </w:r>
      <w:r>
        <w:rPr>
          <w:rFonts w:hint="eastAsia" w:ascii="宋体" w:hAnsi="宋体" w:eastAsia="宋体" w:cs="宋体"/>
          <w:sz w:val="21"/>
          <w:szCs w:val="21"/>
        </w:rPr>
        <w:t>充电枪线</w:t>
      </w:r>
      <w:r>
        <w:rPr>
          <w:rFonts w:hint="eastAsia" w:ascii="宋体" w:hAnsi="宋体" w:eastAsia="宋体" w:cs="宋体"/>
          <w:sz w:val="21"/>
          <w:szCs w:val="21"/>
          <w:lang w:eastAsia="zh-CN"/>
        </w:rPr>
        <w:t>：</w:t>
      </w:r>
      <w:r>
        <w:rPr>
          <w:rFonts w:hint="eastAsia" w:ascii="宋体" w:hAnsi="宋体" w:eastAsia="宋体" w:cs="宋体"/>
          <w:sz w:val="21"/>
          <w:szCs w:val="21"/>
        </w:rPr>
        <w:t>枪线</w:t>
      </w:r>
      <w:r>
        <w:rPr>
          <w:rFonts w:hint="eastAsia" w:ascii="宋体" w:hAnsi="宋体" w:eastAsia="宋体" w:cs="宋体"/>
          <w:sz w:val="21"/>
          <w:szCs w:val="21"/>
          <w:lang w:val="en-US" w:eastAsia="zh-CN"/>
        </w:rPr>
        <w:t>外露</w:t>
      </w:r>
      <w:r>
        <w:rPr>
          <w:rFonts w:hint="eastAsia" w:ascii="宋体" w:hAnsi="宋体" w:cs="宋体"/>
          <w:sz w:val="21"/>
          <w:szCs w:val="21"/>
          <w:lang w:val="en-US" w:eastAsia="zh-CN"/>
        </w:rPr>
        <w:t>6</w:t>
      </w:r>
      <w:r>
        <w:rPr>
          <w:rFonts w:hint="eastAsia" w:ascii="宋体" w:hAnsi="宋体" w:eastAsia="宋体" w:cs="宋体"/>
          <w:sz w:val="21"/>
          <w:szCs w:val="21"/>
        </w:rPr>
        <w:t>米。</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2" w:name="_Toc17039"/>
      <w:r>
        <w:rPr>
          <w:rFonts w:hint="eastAsia" w:ascii="宋体" w:hAnsi="宋体" w:eastAsia="宋体" w:cs="宋体"/>
          <w:sz w:val="21"/>
          <w:szCs w:val="21"/>
        </w:rPr>
        <w:t>结构形式</w:t>
      </w:r>
      <w:bookmarkEnd w:id="2"/>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2.2.1分体机：</w:t>
      </w:r>
      <w:r>
        <w:rPr>
          <w:rFonts w:hint="eastAsia" w:ascii="宋体" w:hAnsi="宋体" w:eastAsia="宋体" w:cs="宋体"/>
          <w:sz w:val="21"/>
          <w:szCs w:val="21"/>
        </w:rPr>
        <w:t>充电系统为分体式结构，基本构成包括充电主机和充电终端，充电主机与充电终端应可分开放置，便于场站整体规划布局及设备使用操作。</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充电主机是充电机的控制中心和通信枢纽，将三相交流输入转换为直流输出，实现充电机的充电控制、与BMS通信获取电池状态和运行信息，同时获取电能计量表数据，完成充电计费和充电过程的联动控制，并将计量计费、充电机工作信息传送给充电站监控系统，同时负责与充电监控平台交换数据、接收并执行充电监控平台下送的控制命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rPr>
        <w:t>（2）充电终端应具备人机交互的功能，由液晶屏、刷卡机、充电枪等部分构成</w:t>
      </w:r>
      <w:r>
        <w:rPr>
          <w:rFonts w:hint="eastAsia" w:ascii="宋体" w:hAnsi="宋体" w:eastAsia="宋体" w:cs="宋体"/>
          <w:sz w:val="21"/>
          <w:szCs w:val="21"/>
          <w:lang w:eastAsia="zh-CN"/>
        </w:rPr>
        <w:t>。</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（3）充电机整流部分应为模块化设计，当部分模块出现故障时，应不影响其他模块和整台设备的正常使用。</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2.2.2一体机：</w:t>
      </w:r>
      <w:r>
        <w:rPr>
          <w:rFonts w:hint="eastAsia" w:ascii="宋体" w:hAnsi="宋体" w:eastAsia="宋体" w:cs="宋体"/>
          <w:sz w:val="21"/>
          <w:szCs w:val="21"/>
        </w:rPr>
        <w:t>充电机为一体式结构，便于场站整体规划布局及设备使用操作。</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1）充电机将三相交流输入转换为直流输出，自行充电控制、与BMS通信获取电池状态和运行信息，同时获取电能计量表数据，完成充电计费和充电过程的联动控制，并将计量计费、充电机工作信息传送给充电站监控系统，同时负责与充电监控平台交换数据、接收并执行充电监控平台下送的控制命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（2）充电机具备人机交互的功能，由液晶屏、刷卡机、充电枪等部分构成，需根据实际情况进行布置安装。其中，充电枪应符合《GB/T20234.3-2015电动汽车传导充电用连接装置第3部分：直流充电接口》要求。</w:t>
      </w:r>
    </w:p>
    <w:p>
      <w:pPr>
        <w:ind w:firstLine="420"/>
        <w:rPr>
          <w:rFonts w:hint="eastAsia" w:ascii="宋体" w:hAnsi="宋体" w:eastAsia="宋体" w:cs="宋体"/>
          <w:sz w:val="21"/>
          <w:szCs w:val="21"/>
        </w:rPr>
      </w:pPr>
      <w:r>
        <w:rPr>
          <w:rFonts w:hint="eastAsia" w:ascii="宋体" w:hAnsi="宋体" w:eastAsia="宋体" w:cs="宋体"/>
          <w:sz w:val="21"/>
          <w:szCs w:val="21"/>
        </w:rPr>
        <w:t>（3）充电机整流部分为模块化设计，当部分模块出现故障时，不影响其他模块和整台设备的正常使用。</w:t>
      </w:r>
    </w:p>
    <w:p>
      <w:pPr>
        <w:pageBreakBefore w:val="0"/>
        <w:kinsoku/>
        <w:wordWrap/>
        <w:overflowPunct/>
        <w:topLinePunct w:val="0"/>
        <w:autoSpaceDE/>
        <w:autoSpaceDN/>
        <w:bidi w:val="0"/>
        <w:spacing w:line="360" w:lineRule="auto"/>
        <w:ind w:firstLine="420"/>
        <w:jc w:val="left"/>
        <w:textAlignment w:val="auto"/>
        <w:rPr>
          <w:rFonts w:hint="eastAsia" w:ascii="宋体" w:hAnsi="宋体" w:eastAsia="宋体" w:cs="宋体"/>
          <w:sz w:val="21"/>
          <w:szCs w:val="21"/>
          <w:lang w:val="en-US" w:eastAsia="zh-CN"/>
        </w:rPr>
      </w:pP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3" w:name="_Toc21108"/>
      <w:r>
        <w:rPr>
          <w:rFonts w:hint="eastAsia" w:ascii="宋体" w:hAnsi="宋体" w:eastAsia="宋体" w:cs="宋体"/>
          <w:sz w:val="21"/>
          <w:szCs w:val="21"/>
        </w:rPr>
        <w:t>功能要求</w:t>
      </w:r>
      <w:bookmarkEnd w:id="3"/>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充电设定方式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在充电过程中，充电机依据电动汽车电池管理系统提供的数据动态调整充电参数，执行相应动作，完成充电过程。</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充电控制</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a）具备VIN自动识别充电：通过插枪，自动识别车辆BMS传回VIN码，自动启动充电或遵循后台设置的启动充电时间，自动启动；充电结束后，自动停止，充电未结束时，通过手机、PAD、PC等终端，可直接选择充电枪，终止充电。</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b）定时充电功能：可以自动或手动设置充电时间，充分利用低谷电价，降低运营成本。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c）一键启动充电功能：可以通过一键启动给通过绝缘检测通信正常的车辆启动充电。</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充电模式和连接方式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充电机应采用GB/T18487.1-2015附录B中规定的充电模式4和连接方式C对电动汽车进行充电。充电连接装置应满足GB/T20234.1-2015和 GB/T20234.3-2015的规定。</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充电操作方式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kern w:val="0"/>
          <w:sz w:val="21"/>
          <w:szCs w:val="21"/>
        </w:rPr>
      </w:pPr>
      <w:r>
        <w:rPr>
          <w:rFonts w:hint="eastAsia" w:ascii="宋体" w:hAnsi="宋体" w:eastAsia="宋体" w:cs="宋体"/>
          <w:sz w:val="21"/>
          <w:szCs w:val="21"/>
        </w:rPr>
        <w:t>支持多种方式充电操作，支持通过即插即充、定时自动启动、刷卡（CPU卡）、手动启停、远程控制启动、手机扫描充电机或充电终端二维码等方式进行充电控制。</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kern w:val="0"/>
          <w:sz w:val="21"/>
          <w:szCs w:val="21"/>
        </w:rPr>
      </w:pPr>
      <w:r>
        <w:rPr>
          <w:rFonts w:hint="eastAsia"/>
          <w:b/>
          <w:bCs/>
          <w:sz w:val="24"/>
          <w:lang w:val="zh-CN" w:eastAsia="zh-CN"/>
        </w:rPr>
        <w:t>▲</w:t>
      </w:r>
      <w:r>
        <w:rPr>
          <w:rFonts w:hint="eastAsia" w:ascii="宋体" w:hAnsi="宋体" w:eastAsia="宋体" w:cs="宋体"/>
          <w:b/>
          <w:bCs/>
          <w:kern w:val="0"/>
          <w:sz w:val="21"/>
          <w:szCs w:val="21"/>
        </w:rPr>
        <w:t>动态功率分配功能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w:t>
      </w:r>
      <w:r>
        <w:rPr>
          <w:rFonts w:hint="eastAsia" w:ascii="宋体" w:hAnsi="宋体" w:cs="宋体"/>
          <w:sz w:val="21"/>
          <w:szCs w:val="21"/>
          <w:lang w:val="en-US" w:eastAsia="zh-CN"/>
        </w:rPr>
        <w:t>具备动态功率分配功能</w:t>
      </w:r>
      <w:r>
        <w:rPr>
          <w:rFonts w:hint="eastAsia" w:ascii="宋体" w:hAnsi="宋体" w:eastAsia="宋体" w:cs="宋体"/>
          <w:sz w:val="21"/>
          <w:szCs w:val="21"/>
        </w:rPr>
        <w:t>。</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主动防护设计</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 xml:space="preserve">具备主动监测电动汽车 BMS 运行状态、电池特性参数及充电机自身的运行状态等功能，须采用安全冗余设计，主动诊断并处理故障和异常，实现电动汽车充电过程的主动防护。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直流充电机能够对充电过程中动力电池的安全事故进行预警，至少包括电池组内温度偏高故障、单体电池超过截止电压故障、绝缘故障、热失控故障预警功能。</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控制导引和控制时序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充电机应具备控制导引功能。</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充电机与电池管理系统通信功能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具备与电动汽车BMS或车辆控制器通信的功能，能判断充电机是否与电动汽车动力蓄电池系统正确连接；获得电动汽车BMS或车辆控制器充电参数和充电实时数据。充电机与电动汽车BMS或车辆控制器之间的通信协议应符合GB/T27930-2015的规定。</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计量功能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充电机应具有对每个充电接口输出电能进行计量的功能。直流电能表精确度等级不低于1.0级。</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显示与输入功能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充电机应配置显示和输入设备，采用7寸彩色液晶显示屏实现人机交互功能，显示信息字符清晰、完整，应不依靠环境光源即可辨认。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充电机应显示下列信息,包括但不限于</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——运行状态指示：待机、充电、告警/故障；</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——手动设定过程中的人工输入信息；</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——电池当前SOC、充电电压、充电电流、充电功率、电池类型、电容量；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——已充电时间、已充电电量。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——告警/故障信息。</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——最高单体电池电压、最高电池温度；</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——充电电压需求、充电电流需求、充电模式。</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绝缘检测功能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充电机应具备对直流输出回路进行绝缘检测的功能，并且充电机的绝缘检测功能应与车辆绝缘检测功能相配合。</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直流输出回路短路检测功能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充电机应具备对直流输出回路进行短路检测的功能，充电机的短路检测在绝缘检测阶段进行，当直流输出回路出现短路故障时，应停止充电过程并发出告警提示。</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车辆插头锁止功能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充电机车辆插头应具备锁止装置，其功能应符合：</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tab/>
      </w:r>
      <w:r>
        <w:rPr>
          <w:rFonts w:hint="eastAsia" w:ascii="宋体" w:hAnsi="宋体" w:eastAsia="宋体" w:cs="宋体"/>
          <w:sz w:val="21"/>
          <w:szCs w:val="21"/>
        </w:rPr>
        <w:t>GB/T 18487.1－2015中9.6条的要求。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rPr>
        <w:tab/>
      </w:r>
      <w:r>
        <w:rPr>
          <w:rFonts w:hint="eastAsia" w:ascii="宋体" w:hAnsi="宋体" w:eastAsia="宋体" w:cs="宋体"/>
          <w:sz w:val="21"/>
          <w:szCs w:val="21"/>
        </w:rPr>
        <w:t>GB/T 20234.1－2015中6.3条的要求。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rPr>
        <w:tab/>
      </w:r>
      <w:r>
        <w:rPr>
          <w:rFonts w:hint="eastAsia" w:ascii="宋体" w:hAnsi="宋体" w:eastAsia="宋体" w:cs="宋体"/>
          <w:sz w:val="21"/>
          <w:szCs w:val="21"/>
        </w:rPr>
        <w:t>GB/T 20234.3－2015中附录A的要求。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rPr>
        <w:tab/>
      </w:r>
      <w:r>
        <w:rPr>
          <w:rFonts w:hint="eastAsia" w:ascii="宋体" w:hAnsi="宋体" w:eastAsia="宋体" w:cs="宋体"/>
          <w:sz w:val="21"/>
          <w:szCs w:val="21"/>
        </w:rPr>
        <w:t>在出现下列情况时，锁止装置应能解锁且解锁前车辆插头端口不应带电：</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——故障时不能继续充电；</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——充电完成。</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b/>
          <w:bCs/>
          <w:sz w:val="24"/>
          <w:lang w:val="zh-CN" w:eastAsia="zh-CN"/>
        </w:rPr>
        <w:t>▲</w:t>
      </w:r>
      <w:r>
        <w:rPr>
          <w:rFonts w:hint="eastAsia" w:ascii="宋体" w:hAnsi="宋体" w:eastAsia="宋体" w:cs="宋体"/>
          <w:b/>
          <w:bCs/>
          <w:color w:val="000000" w:themeColor="text1"/>
          <w:kern w:val="0"/>
          <w:sz w:val="21"/>
          <w:szCs w:val="21"/>
          <w14:textFill>
            <w14:solidFill>
              <w14:schemeClr w14:val="tx1"/>
            </w14:solidFill>
          </w14:textFill>
        </w:rPr>
        <w:t>车辆插头温度监控功能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充电枪带有超温断电功能。</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预充电功能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sz w:val="21"/>
          <w:szCs w:val="21"/>
        </w:rPr>
        <w:t>充电机应具备预充电功能。</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b/>
          <w:bCs/>
          <w:sz w:val="24"/>
          <w:lang w:val="zh-CN" w:eastAsia="zh-CN"/>
        </w:rPr>
        <w:t>▲</w:t>
      </w:r>
      <w:r>
        <w:rPr>
          <w:rFonts w:hint="eastAsia" w:ascii="宋体" w:hAnsi="宋体" w:eastAsia="宋体" w:cs="宋体"/>
          <w:b/>
          <w:bCs/>
          <w:color w:val="000000" w:themeColor="text1"/>
          <w:kern w:val="0"/>
          <w:sz w:val="21"/>
          <w:szCs w:val="21"/>
          <w14:textFill>
            <w14:solidFill>
              <w14:schemeClr w14:val="tx1"/>
            </w14:solidFill>
          </w14:textFill>
        </w:rPr>
        <w:t>急停功能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sz w:val="21"/>
          <w:szCs w:val="21"/>
        </w:rPr>
      </w:pPr>
      <w:r>
        <w:rPr>
          <w:rFonts w:hint="eastAsia" w:ascii="宋体" w:hAnsi="宋体" w:eastAsia="宋体" w:cs="宋体"/>
          <w:color w:val="000000" w:themeColor="text1"/>
          <w:kern w:val="0"/>
          <w:sz w:val="21"/>
          <w:szCs w:val="21"/>
          <w:lang w:val="en-US" w:eastAsia="zh-CN"/>
          <w14:textFill>
            <w14:solidFill>
              <w14:schemeClr w14:val="tx1"/>
            </w14:solidFill>
          </w14:textFill>
        </w:rPr>
        <w:t>应安装</w:t>
      </w:r>
      <w:r>
        <w:rPr>
          <w:rFonts w:hint="eastAsia" w:ascii="宋体" w:hAnsi="宋体" w:eastAsia="宋体" w:cs="宋体"/>
          <w:color w:val="000000" w:themeColor="text1"/>
          <w:kern w:val="0"/>
          <w:sz w:val="21"/>
          <w:szCs w:val="21"/>
          <w14:textFill>
            <w14:solidFill>
              <w14:schemeClr w14:val="tx1"/>
            </w14:solidFill>
          </w14:textFill>
        </w:rPr>
        <w:t>急停装置，且具备防止误操作的防护措施。</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远程</w:t>
      </w:r>
      <w:r>
        <w:rPr>
          <w:rFonts w:hint="eastAsia" w:ascii="宋体" w:hAnsi="宋体" w:cs="宋体"/>
          <w:b/>
          <w:bCs/>
          <w:color w:val="000000" w:themeColor="text1"/>
          <w:kern w:val="0"/>
          <w:sz w:val="21"/>
          <w:szCs w:val="21"/>
          <w:lang w:val="en-US" w:eastAsia="zh-CN"/>
          <w14:textFill>
            <w14:solidFill>
              <w14:schemeClr w14:val="tx1"/>
            </w14:solidFill>
          </w14:textFill>
        </w:rPr>
        <w:t>升级</w:t>
      </w:r>
      <w:r>
        <w:rPr>
          <w:rFonts w:hint="eastAsia" w:ascii="宋体" w:hAnsi="宋体" w:eastAsia="宋体" w:cs="宋体"/>
          <w:b/>
          <w:bCs/>
          <w:color w:val="000000" w:themeColor="text1"/>
          <w:kern w:val="0"/>
          <w:sz w:val="21"/>
          <w:szCs w:val="21"/>
          <w14:textFill>
            <w14:solidFill>
              <w14:schemeClr w14:val="tx1"/>
            </w14:solidFill>
          </w14:textFill>
        </w:rPr>
        <w:t>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系统联网后通过招标人运营管理平台控制，配合平台实现设备远程升级。充电机烧写程序可通过联网后通过监控运维平台控制，远程一键升级，远程更新所有通信协议，以及新国标更新等带来的控制模式升级。</w:t>
      </w:r>
    </w:p>
    <w:p>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b/>
          <w:bCs/>
          <w:sz w:val="24"/>
          <w:lang w:val="zh-CN" w:eastAsia="zh-CN"/>
        </w:rPr>
        <w:t>▲</w:t>
      </w:r>
      <w:r>
        <w:rPr>
          <w:rFonts w:hint="eastAsia" w:ascii="宋体" w:hAnsi="宋体" w:eastAsia="宋体" w:cs="宋体"/>
          <w:b/>
          <w:bCs/>
          <w:color w:val="000000" w:themeColor="text1"/>
          <w:kern w:val="0"/>
          <w:sz w:val="21"/>
          <w:szCs w:val="21"/>
          <w14:textFill>
            <w14:solidFill>
              <w14:schemeClr w14:val="tx1"/>
            </w14:solidFill>
          </w14:textFill>
        </w:rPr>
        <w:t>掉电保存功能</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掉电保存功能。在充电过程中，当充电机出现电源断电情况时，应能将充电电能计量、故障异常报警、充电交易记录等信息保存至本地；当电源恢复充电机正常工作后，应能将保存数据上传至招标人运营管理平台。</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保护功能</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充电机应具备电源输入侧的过压保护、欠压保护。</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充电机应具备输出过压保护。</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充电机应能够提供车辆侧供电回路及电缆的短路电流保护，短路保护设备的I²t值不应超过500000 A²s。</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充电机应具备过温保护，当内部温度达到保护阈值时，采取降功率或停止输出。</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充电机应具备开门保护，当充电机门打开造成带电部分露出时，分体式充电机应切断相应部分的电源输出。</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充电过程中当发生下列情况时，充电机应能在100 ms内断开直流输出：</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——充电机启动急停装置；</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——充电机与电动汽车间的保护接地线断开；</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——充电机与电动汽车间的连接检测信号线断开。</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充电机应具备限制输入电流过冲的能力，开机或启动充电时产生的输入电流过冲不应大于额定输入电流峰值的10 ％。</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充电机直流输出接触器接通时，或者动态功率分配充电模块接入时，发生的车辆到充电设备或充电设备到车辆的冲击电流（峰值）应控制在20 A以下。</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在启动充电阶段车辆侧接触器闭合后，充电机应对车辆电池电压进行检测，当出现下列情况时，充电机应停止启动过程，并发出告警信息：</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——蓄电池反接；</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——检测电压与通信报文电池电压之差的绝对值大于通信报文电池电压的5 ％；</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——检测电压小于充电机的最低输出电压或大于充电机的额定输出电压。</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充电机应具备对电动汽车动力蓄电池二重保护功能。</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充电机应在启动充电前进行供电回路直流接触器触点粘连检测，也可以在直流接触器断开后进行触点粘连检测。当检测到任何一个直流接触器的主触点出现粘连情况时，充电机不应启动充电，并发出告警信息。</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充电机在充电过程中，当检测到与电动汽车BMS或车辆控制器发生通信中断时，充电机应停止充电，并发出告警信息。</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充电机应在充电握手阶段判断电池管理系统报文中的最高允许充电总电压值，当检测到该值小于充电机最低输出电压时，应停止绝缘监测进程，并发出告警信息。</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充电机应在充电阶段实时判断电池管理系统报文中的电压需求和电流需求值，当检测到该值大于车辆最高允许充电总电压或最高允许充电电流时，充电机应停止充电，并发出告警信息。</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4" w:name="_Toc7928"/>
      <w:bookmarkStart w:id="5" w:name="_Toc387646176"/>
      <w:bookmarkStart w:id="6" w:name="_Toc4070"/>
      <w:bookmarkStart w:id="7" w:name="_Toc21723"/>
      <w:bookmarkStart w:id="8" w:name="_Toc411176412"/>
      <w:bookmarkStart w:id="9" w:name="_Toc4895"/>
      <w:r>
        <w:rPr>
          <w:rFonts w:hint="eastAsia" w:ascii="宋体" w:hAnsi="宋体" w:eastAsia="宋体" w:cs="宋体"/>
          <w:sz w:val="21"/>
          <w:szCs w:val="21"/>
        </w:rPr>
        <w:t>环境适应要求</w:t>
      </w:r>
      <w:bookmarkEnd w:id="4"/>
      <w:bookmarkEnd w:id="5"/>
      <w:bookmarkEnd w:id="6"/>
      <w:bookmarkEnd w:id="7"/>
      <w:bookmarkEnd w:id="8"/>
      <w:bookmarkEnd w:id="9"/>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防护等级</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充电机外壳防护等级不应低于GB/T 4208中下列的规定：</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a）</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IP54（室外使用）；</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b）</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IP32（室内使用）；</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c）</w:t>
      </w:r>
      <w:r>
        <w:rPr>
          <w:rFonts w:hint="eastAsia" w:ascii="宋体" w:hAnsi="宋体" w:eastAsia="宋体" w:cs="宋体"/>
          <w:color w:val="000000" w:themeColor="text1"/>
          <w:kern w:val="0"/>
          <w:sz w:val="21"/>
          <w:szCs w:val="21"/>
          <w14:textFill>
            <w14:solidFill>
              <w14:schemeClr w14:val="tx1"/>
            </w14:solidFill>
          </w14:textFill>
        </w:rPr>
        <w:tab/>
      </w:r>
      <w:r>
        <w:rPr>
          <w:rFonts w:hint="eastAsia" w:ascii="宋体" w:hAnsi="宋体" w:eastAsia="宋体" w:cs="宋体"/>
          <w:color w:val="000000" w:themeColor="text1"/>
          <w:kern w:val="0"/>
          <w:sz w:val="21"/>
          <w:szCs w:val="21"/>
          <w14:textFill>
            <w14:solidFill>
              <w14:schemeClr w14:val="tx1"/>
            </w14:solidFill>
          </w14:textFill>
        </w:rPr>
        <w:t>IP54（室内暴露于污染的工业环境）。</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三防（防潮湿，防霉变，防盐雾）保护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充电机内印刷线路板、接插件等部件应进行防潮湿、防霉变、防盐雾处理。</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防锈(防氧化）保护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充电机铁质外壳和暴露的铁质支架、零件及充电机内金属质部件应采用双层防锈措施，非铁质的金属外壳也应具有防氧化保护膜或进行防氧化处理。</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防风保护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充电机应能承受GB/T 4797.5-2008中规定的不同地区最大风速的侵袭。</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10" w:name="_Toc8158"/>
      <w:bookmarkStart w:id="11" w:name="_Toc5189"/>
      <w:bookmarkStart w:id="12" w:name="_Toc2116"/>
      <w:bookmarkStart w:id="13" w:name="_Toc13412"/>
      <w:r>
        <w:rPr>
          <w:rFonts w:hint="eastAsia" w:ascii="宋体" w:hAnsi="宋体" w:eastAsia="宋体" w:cs="宋体"/>
          <w:sz w:val="21"/>
          <w:szCs w:val="21"/>
        </w:rPr>
        <w:t>内部温升要求</w:t>
      </w:r>
      <w:bookmarkEnd w:id="10"/>
      <w:bookmarkEnd w:id="11"/>
      <w:bookmarkEnd w:id="12"/>
      <w:bookmarkEnd w:id="13"/>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动力电源输入电流所流经的回路，如接线端子、输入断路器、输入接触器等；功率变换单元及其内部元器件、输入输出端子；直流输出电流所流经的回路，如接线端子、直流熔断器、直流接触器、功率电阻、电流采样分流器、车辆插头等。这些发热元器件及部件的最高温度小于等于元器件及部件最大耐受温度的90％，且不应影响周围元器件的正常工作和无元器件损坏。</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在正常试验条件下，输入为额定值，充电机在最大输出电流下长期运行，内部各发热元器件及各部位连接端子处的温升不应大于表</w:t>
      </w:r>
      <w:r>
        <w:rPr>
          <w:rFonts w:hint="eastAsia" w:ascii="宋体" w:hAnsi="宋体" w:eastAsia="宋体" w:cs="宋体"/>
          <w:color w:val="000000" w:themeColor="text1"/>
          <w:kern w:val="0"/>
          <w:sz w:val="21"/>
          <w:szCs w:val="21"/>
          <w:lang w:val="en-US" w:eastAsia="zh-CN"/>
          <w14:textFill>
            <w14:solidFill>
              <w14:schemeClr w14:val="tx1"/>
            </w14:solidFill>
          </w14:textFill>
        </w:rPr>
        <w:t>2.2</w:t>
      </w:r>
      <w:r>
        <w:rPr>
          <w:rFonts w:hint="eastAsia" w:ascii="宋体" w:hAnsi="宋体" w:eastAsia="宋体" w:cs="宋体"/>
          <w:color w:val="000000" w:themeColor="text1"/>
          <w:kern w:val="0"/>
          <w:sz w:val="21"/>
          <w:szCs w:val="21"/>
          <w14:textFill>
            <w14:solidFill>
              <w14:schemeClr w14:val="tx1"/>
            </w14:solidFill>
          </w14:textFill>
        </w:rPr>
        <w:t>的规定。</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表</w:t>
      </w:r>
      <w:r>
        <w:rPr>
          <w:rFonts w:hint="eastAsia" w:ascii="宋体" w:hAnsi="宋体" w:eastAsia="宋体" w:cs="宋体"/>
          <w:color w:val="000000" w:themeColor="text1"/>
          <w:kern w:val="0"/>
          <w:sz w:val="21"/>
          <w:szCs w:val="21"/>
          <w:lang w:val="en-US" w:eastAsia="zh-CN"/>
          <w14:textFill>
            <w14:solidFill>
              <w14:schemeClr w14:val="tx1"/>
            </w14:solidFill>
          </w14:textFill>
        </w:rPr>
        <w:t>2.2</w:t>
      </w:r>
      <w:r>
        <w:rPr>
          <w:rFonts w:hint="eastAsia" w:ascii="宋体" w:hAnsi="宋体" w:eastAsia="宋体" w:cs="宋体"/>
          <w:color w:val="000000" w:themeColor="text1"/>
          <w:kern w:val="0"/>
          <w:sz w:val="21"/>
          <w:szCs w:val="21"/>
          <w14:textFill>
            <w14:solidFill>
              <w14:schemeClr w14:val="tx1"/>
            </w14:solidFill>
          </w14:textFill>
        </w:rPr>
        <w:t xml:space="preserve">  充电机内部温升</w:t>
      </w:r>
    </w:p>
    <w:tbl>
      <w:tblPr>
        <w:tblStyle w:val="7"/>
        <w:tblW w:w="6885" w:type="dxa"/>
        <w:jc w:val="center"/>
        <w:tblLayout w:type="fixed"/>
        <w:tblCellMar>
          <w:top w:w="0" w:type="dxa"/>
          <w:left w:w="108" w:type="dxa"/>
          <w:bottom w:w="0" w:type="dxa"/>
          <w:right w:w="108" w:type="dxa"/>
        </w:tblCellMar>
      </w:tblPr>
      <w:tblGrid>
        <w:gridCol w:w="4050"/>
        <w:gridCol w:w="2835"/>
      </w:tblGrid>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内部测试点</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极 限 温 升K</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动力电源输入端子</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tblPrEx>
          <w:tblCellMar>
            <w:top w:w="0" w:type="dxa"/>
            <w:left w:w="108" w:type="dxa"/>
            <w:bottom w:w="0" w:type="dxa"/>
            <w:right w:w="108" w:type="dxa"/>
          </w:tblCellMar>
        </w:tblPrEx>
        <w:trPr>
          <w:trHeight w:val="9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输入断路器、接触器接线端子</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塑料绝缘线</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充电模块输入输出连接端子</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功率电阻</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25（距外表30 mm处空间）</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电流采样分流器端子连接处</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70</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熔断器端子连接处</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70</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直流接触器外壳与极柱</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r>
        <w:tblPrEx>
          <w:tblCellMar>
            <w:top w:w="0" w:type="dxa"/>
            <w:left w:w="108" w:type="dxa"/>
            <w:bottom w:w="0" w:type="dxa"/>
            <w:right w:w="108" w:type="dxa"/>
          </w:tblCellMar>
        </w:tblPrEx>
        <w:trPr>
          <w:trHeight w:val="340" w:hRule="atLeast"/>
          <w:jc w:val="center"/>
        </w:trPr>
        <w:tc>
          <w:tcPr>
            <w:tcW w:w="4050" w:type="dxa"/>
            <w:tcBorders>
              <w:top w:val="single" w:color="000000" w:sz="8" w:space="0"/>
              <w:left w:val="single" w:color="000000" w:sz="8" w:space="0"/>
              <w:bottom w:val="single" w:color="000000" w:sz="8" w:space="0"/>
              <w:right w:val="single" w:color="000000" w:sz="8"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直流输出接线端子</w:t>
            </w:r>
          </w:p>
        </w:tc>
        <w:tc>
          <w:tcPr>
            <w:tcW w:w="2835" w:type="dxa"/>
            <w:tcBorders>
              <w:top w:val="single" w:color="000000" w:sz="8" w:space="0"/>
              <w:left w:val="single" w:color="000000" w:sz="8" w:space="0"/>
              <w:bottom w:val="single" w:color="000000" w:sz="8" w:space="0"/>
              <w:right w:val="single" w:color="auto"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w:t>
            </w:r>
          </w:p>
        </w:tc>
      </w:tr>
    </w:tbl>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14" w:name="_Toc8100"/>
      <w:bookmarkStart w:id="15" w:name="_Toc411176413"/>
      <w:bookmarkStart w:id="16" w:name="_Toc8061"/>
      <w:bookmarkStart w:id="17" w:name="_Toc387646177"/>
      <w:bookmarkStart w:id="18" w:name="_Toc10232"/>
      <w:bookmarkStart w:id="19" w:name="_Toc25637"/>
      <w:r>
        <w:rPr>
          <w:rFonts w:hint="eastAsia" w:ascii="宋体" w:hAnsi="宋体" w:eastAsia="宋体" w:cs="宋体"/>
          <w:sz w:val="21"/>
          <w:szCs w:val="21"/>
        </w:rPr>
        <w:t>安全要求</w:t>
      </w:r>
      <w:bookmarkEnd w:id="14"/>
      <w:bookmarkEnd w:id="15"/>
      <w:bookmarkEnd w:id="16"/>
      <w:bookmarkEnd w:id="17"/>
      <w:bookmarkEnd w:id="18"/>
      <w:bookmarkEnd w:id="19"/>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允许温度</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充电机的表面温度应符合GB/T 18487.1－2015中11.6.3条的规定。在额定电流和环境温度 40℃条件下，手握可接触的表面最高允许温度为：</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——50℃金属部分；</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——60℃非金属部分。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同样条件下，用户可能触及但是不能手握的表面最高允许温度为：</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——60℃金属部分；</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——85℃非金属部分。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供电设备应设计为：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——接触部分不超过特定温度；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——组件、部分、绝缘体和塑料材料不超过在设施寿命周期内正常使用时可能降低电气 、机械或其他性能的温度。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电击防护</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充电机的电击防护应符合GB/T 18487.1-2015中第7章的要求。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充电机的电气间隙和爬电距离应符合GB/T 18487.1－2015中10.4条的规定。</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接地要求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充电机的接地应符合下列要求：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充电机金属壳体应设置接地端子（螺栓），其直径不应小于6 mm，并应有接地标志；</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充电机金属材质的门板、盖板、覆板和类似部件，应采用铜质保护导体将这些部件和充电机的结构主体框架连接，且保护导体的截面积不应小于2.5 mm2；</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所有作为隔离带电导体的金属外壳、隔板，电气装置的金属外壳以及金属手柄等，均应有效等电位连接，且接地连续性电阻不应大于0.1Ω；</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充电机内的工作接地与保护接地应单独连接到接地导体（铜排）上，不应在一个接地线中串接多个需要接地的电气装置。</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20" w:name="_Toc31100"/>
      <w:bookmarkStart w:id="21" w:name="_Toc29911"/>
      <w:bookmarkStart w:id="22" w:name="_Toc411176414"/>
      <w:bookmarkStart w:id="23" w:name="_Toc387646178"/>
      <w:bookmarkStart w:id="24" w:name="_Toc30889"/>
      <w:bookmarkStart w:id="25" w:name="_Toc16078"/>
      <w:r>
        <w:rPr>
          <w:rFonts w:hint="eastAsia" w:ascii="宋体" w:hAnsi="宋体" w:eastAsia="宋体" w:cs="宋体"/>
          <w:sz w:val="21"/>
          <w:szCs w:val="21"/>
        </w:rPr>
        <w:t>电气绝缘性能</w:t>
      </w:r>
      <w:bookmarkEnd w:id="20"/>
      <w:bookmarkEnd w:id="21"/>
      <w:bookmarkEnd w:id="22"/>
      <w:bookmarkEnd w:id="23"/>
      <w:bookmarkEnd w:id="24"/>
      <w:bookmarkEnd w:id="25"/>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绝缘电阻</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用开路电压为表</w:t>
      </w:r>
      <w:r>
        <w:rPr>
          <w:rFonts w:hint="eastAsia" w:ascii="宋体" w:hAnsi="宋体" w:eastAsia="宋体" w:cs="宋体"/>
          <w:color w:val="000000" w:themeColor="text1"/>
          <w:kern w:val="0"/>
          <w:sz w:val="21"/>
          <w:szCs w:val="21"/>
          <w:lang w:val="en-US" w:eastAsia="zh-CN"/>
          <w14:textFill>
            <w14:solidFill>
              <w14:schemeClr w14:val="tx1"/>
            </w14:solidFill>
          </w14:textFill>
        </w:rPr>
        <w:t>2.3</w:t>
      </w:r>
      <w:r>
        <w:rPr>
          <w:rFonts w:hint="eastAsia" w:ascii="宋体" w:hAnsi="宋体" w:eastAsia="宋体" w:cs="宋体"/>
          <w:color w:val="000000" w:themeColor="text1"/>
          <w:kern w:val="0"/>
          <w:sz w:val="21"/>
          <w:szCs w:val="21"/>
          <w14:textFill>
            <w14:solidFill>
              <w14:schemeClr w14:val="tx1"/>
            </w14:solidFill>
          </w14:textFill>
        </w:rPr>
        <w:t>规定的电压等级的测试仪器，测量充电机非电气连接的各带电回路之间、各独立带电回路与地（金属外壳）之间绝缘电阻不应小于10 MΩ。</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介电强度</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充电机非电气连接的各带电回路之间、各独立带电回路与地（金属外壳）之间，按其工作电压应能承受表</w:t>
      </w:r>
      <w:r>
        <w:rPr>
          <w:rFonts w:hint="eastAsia" w:ascii="宋体" w:hAnsi="宋体" w:eastAsia="宋体" w:cs="宋体"/>
          <w:color w:val="000000" w:themeColor="text1"/>
          <w:kern w:val="0"/>
          <w:sz w:val="21"/>
          <w:szCs w:val="21"/>
          <w:lang w:val="en-US" w:eastAsia="zh-CN"/>
          <w14:textFill>
            <w14:solidFill>
              <w14:schemeClr w14:val="tx1"/>
            </w14:solidFill>
          </w14:textFill>
        </w:rPr>
        <w:t>2.3</w:t>
      </w:r>
      <w:r>
        <w:rPr>
          <w:rFonts w:hint="eastAsia" w:ascii="宋体" w:hAnsi="宋体" w:eastAsia="宋体" w:cs="宋体"/>
          <w:color w:val="000000" w:themeColor="text1"/>
          <w:kern w:val="0"/>
          <w:sz w:val="21"/>
          <w:szCs w:val="21"/>
          <w14:textFill>
            <w14:solidFill>
              <w14:schemeClr w14:val="tx1"/>
            </w14:solidFill>
          </w14:textFill>
        </w:rPr>
        <w:t>所规定历时1 min的工频交流电压（也可采用直流电压，试验电压为交流电压有效值的1.4倍）。试验过程中，试验部位不应出现绝缘击穿和闪络现象。</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冲击电压</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充电机非电气连接的各带电回路之间、各独立带电回路与地（金属外壳）之间，按其工作电压应能承受表</w:t>
      </w:r>
      <w:r>
        <w:rPr>
          <w:rFonts w:hint="eastAsia" w:ascii="宋体" w:hAnsi="宋体" w:eastAsia="宋体" w:cs="宋体"/>
          <w:color w:val="000000" w:themeColor="text1"/>
          <w:kern w:val="0"/>
          <w:sz w:val="21"/>
          <w:szCs w:val="21"/>
          <w:lang w:val="en-US" w:eastAsia="zh-CN"/>
          <w14:textFill>
            <w14:solidFill>
              <w14:schemeClr w14:val="tx1"/>
            </w14:solidFill>
          </w14:textFill>
        </w:rPr>
        <w:t>2.3</w:t>
      </w:r>
      <w:r>
        <w:rPr>
          <w:rFonts w:hint="eastAsia" w:ascii="宋体" w:hAnsi="宋体" w:eastAsia="宋体" w:cs="宋体"/>
          <w:color w:val="000000" w:themeColor="text1"/>
          <w:kern w:val="0"/>
          <w:sz w:val="21"/>
          <w:szCs w:val="21"/>
          <w14:textFill>
            <w14:solidFill>
              <w14:schemeClr w14:val="tx1"/>
            </w14:solidFill>
          </w14:textFill>
        </w:rPr>
        <w:t>所规定的标准雷电波短时冲击电压试验。在试验过程中，试验部位不应出现击穿放电。</w:t>
      </w:r>
    </w:p>
    <w:p>
      <w:pPr>
        <w:pageBreakBefore w:val="0"/>
        <w:kinsoku/>
        <w:wordWrap/>
        <w:overflowPunct/>
        <w:topLinePunct w:val="0"/>
        <w:autoSpaceDE/>
        <w:autoSpaceDN/>
        <w:bidi w:val="0"/>
        <w:spacing w:line="360" w:lineRule="auto"/>
        <w:ind w:firstLine="420" w:firstLineChars="200"/>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表</w:t>
      </w:r>
      <w:r>
        <w:rPr>
          <w:rFonts w:hint="eastAsia" w:ascii="宋体" w:hAnsi="宋体" w:eastAsia="宋体" w:cs="宋体"/>
          <w:color w:val="000000" w:themeColor="text1"/>
          <w:kern w:val="0"/>
          <w:sz w:val="21"/>
          <w:szCs w:val="21"/>
          <w:lang w:val="en-US" w:eastAsia="zh-CN"/>
          <w14:textFill>
            <w14:solidFill>
              <w14:schemeClr w14:val="tx1"/>
            </w14:solidFill>
          </w14:textFill>
        </w:rPr>
        <w:t>2.3</w:t>
      </w:r>
      <w:r>
        <w:rPr>
          <w:rFonts w:hint="eastAsia" w:ascii="宋体" w:hAnsi="宋体" w:eastAsia="宋体" w:cs="宋体"/>
          <w:color w:val="000000" w:themeColor="text1"/>
          <w:kern w:val="0"/>
          <w:sz w:val="21"/>
          <w:szCs w:val="21"/>
          <w14:textFill>
            <w14:solidFill>
              <w14:schemeClr w14:val="tx1"/>
            </w14:solidFill>
          </w14:textFill>
        </w:rPr>
        <w:t xml:space="preserve"> 绝缘试验的试验等级</w:t>
      </w:r>
    </w:p>
    <w:tbl>
      <w:tblPr>
        <w:tblStyle w:val="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33"/>
        <w:gridCol w:w="2649"/>
        <w:gridCol w:w="180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100"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额定绝缘电压Ui</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V</w:t>
            </w:r>
          </w:p>
        </w:tc>
        <w:tc>
          <w:tcPr>
            <w:tcW w:w="304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绝缘电阻测试仪器的电压等级</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V</w:t>
            </w:r>
          </w:p>
        </w:tc>
        <w:tc>
          <w:tcPr>
            <w:tcW w:w="2064"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介电强度试验电压</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V</w:t>
            </w:r>
          </w:p>
        </w:tc>
        <w:tc>
          <w:tcPr>
            <w:tcW w:w="206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冲击耐压试验电压</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2100"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Ui≤60</w:t>
            </w:r>
          </w:p>
        </w:tc>
        <w:tc>
          <w:tcPr>
            <w:tcW w:w="304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250</w:t>
            </w:r>
          </w:p>
        </w:tc>
        <w:tc>
          <w:tcPr>
            <w:tcW w:w="2064"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1000(1400）</w:t>
            </w:r>
          </w:p>
        </w:tc>
        <w:tc>
          <w:tcPr>
            <w:tcW w:w="206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9" w:hRule="atLeast"/>
          <w:jc w:val="center"/>
        </w:trPr>
        <w:tc>
          <w:tcPr>
            <w:tcW w:w="2100"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60＜Ui≤300</w:t>
            </w:r>
          </w:p>
        </w:tc>
        <w:tc>
          <w:tcPr>
            <w:tcW w:w="304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500</w:t>
            </w:r>
          </w:p>
        </w:tc>
        <w:tc>
          <w:tcPr>
            <w:tcW w:w="2064"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2000(2800）</w:t>
            </w:r>
          </w:p>
        </w:tc>
        <w:tc>
          <w:tcPr>
            <w:tcW w:w="206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2100"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300＜Ui≤700</w:t>
            </w:r>
          </w:p>
        </w:tc>
        <w:tc>
          <w:tcPr>
            <w:tcW w:w="304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w:t>
            </w:r>
          </w:p>
        </w:tc>
        <w:tc>
          <w:tcPr>
            <w:tcW w:w="2064"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2400(3360）</w:t>
            </w:r>
          </w:p>
        </w:tc>
        <w:tc>
          <w:tcPr>
            <w:tcW w:w="206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100"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700 ＜Ui≤ 950</w:t>
            </w:r>
          </w:p>
        </w:tc>
        <w:tc>
          <w:tcPr>
            <w:tcW w:w="304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1000</w:t>
            </w:r>
          </w:p>
        </w:tc>
        <w:tc>
          <w:tcPr>
            <w:tcW w:w="2064"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2×Ui+1000</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(2.8×Ui+1400）</w:t>
            </w:r>
          </w:p>
        </w:tc>
        <w:tc>
          <w:tcPr>
            <w:tcW w:w="2065" w:type="dxa"/>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0" w:hRule="atLeast"/>
          <w:jc w:val="center"/>
        </w:trPr>
        <w:tc>
          <w:tcPr>
            <w:tcW w:w="9274" w:type="dxa"/>
            <w:gridSpan w:val="4"/>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注1：括号内数据为直流介电强度试验值。</w:t>
            </w:r>
          </w:p>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注2：出厂试验时，介电强度试验允许试验电压高于表中规定值的10 ％，试验时间1 s。</w:t>
            </w:r>
          </w:p>
        </w:tc>
      </w:tr>
    </w:tbl>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26" w:name="_Toc14094"/>
      <w:bookmarkStart w:id="27" w:name="_Toc411176416"/>
      <w:bookmarkStart w:id="28" w:name="_Toc387646180"/>
      <w:bookmarkStart w:id="29" w:name="_Toc30502"/>
      <w:bookmarkStart w:id="30" w:name="_Toc28097"/>
      <w:bookmarkStart w:id="31" w:name="_Toc21571"/>
      <w:r>
        <w:rPr>
          <w:rFonts w:hint="eastAsia" w:ascii="宋体" w:hAnsi="宋体" w:eastAsia="宋体" w:cs="宋体"/>
          <w:sz w:val="21"/>
          <w:szCs w:val="21"/>
        </w:rPr>
        <w:t>充电输出要求</w:t>
      </w:r>
      <w:bookmarkEnd w:id="26"/>
      <w:bookmarkEnd w:id="27"/>
      <w:bookmarkEnd w:id="28"/>
      <w:bookmarkEnd w:id="29"/>
      <w:bookmarkEnd w:id="30"/>
      <w:bookmarkEnd w:id="31"/>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输出电压设定误差</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在恒压状态下，直流输出电压设定在规定的相应调节范围内，充电机的输出电压误差不应超过±0.5％。</w:t>
      </w:r>
    </w:p>
    <w:p>
      <w:pPr>
        <w:pageBreakBefore w:val="0"/>
        <w:tabs>
          <w:tab w:val="left" w:pos="2828"/>
        </w:tabs>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lang w:eastAsia="zh-CN"/>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输出电流设定误差</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在恒流状态下，输出直流电流设定在额定值的20 ％～最大输出电流值范围内，在设定的输出直流电流大于等于30 A时，输出电流误差不应超过±1 ％；在设定的输出直流电流小于30 A时，输出电流误差不应超过±0.3 A。</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b/>
          <w:bCs/>
          <w:sz w:val="24"/>
          <w:lang w:val="zh-CN" w:eastAsia="zh-CN"/>
        </w:rPr>
        <w:t>▲</w:t>
      </w:r>
      <w:r>
        <w:rPr>
          <w:rFonts w:hint="eastAsia" w:ascii="宋体" w:hAnsi="宋体" w:eastAsia="宋体" w:cs="宋体"/>
          <w:b/>
          <w:bCs/>
          <w:color w:val="000000" w:themeColor="text1"/>
          <w:kern w:val="0"/>
          <w:sz w:val="21"/>
          <w:szCs w:val="21"/>
          <w14:textFill>
            <w14:solidFill>
              <w14:schemeClr w14:val="tx1"/>
            </w14:solidFill>
          </w14:textFill>
        </w:rPr>
        <w:t>稳流精度</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当交流电源电压在额定值的±15%范围内变化，直流输出电压在规定的相应范围内变化时，输出直流电流在额定值的20 %～最大输出电流值范围内任一数值上，充电机输出电流稳流精度不应超过±1 ％。</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b/>
          <w:bCs/>
          <w:sz w:val="24"/>
          <w:lang w:val="zh-CN" w:eastAsia="zh-CN"/>
        </w:rPr>
        <w:t>▲</w:t>
      </w:r>
      <w:r>
        <w:rPr>
          <w:rFonts w:hint="eastAsia" w:ascii="宋体" w:hAnsi="宋体" w:eastAsia="宋体" w:cs="宋体"/>
          <w:b/>
          <w:bCs/>
          <w:color w:val="000000" w:themeColor="text1"/>
          <w:kern w:val="0"/>
          <w:sz w:val="21"/>
          <w:szCs w:val="21"/>
          <w14:textFill>
            <w14:solidFill>
              <w14:schemeClr w14:val="tx1"/>
            </w14:solidFill>
          </w14:textFill>
        </w:rPr>
        <w:t>稳压精度</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当交流电源电压在额定值的±15%范围内变化，输出直流电流在0～最大输出电流值范围内变化时，输出直流电压在规定的相应调节范围内任一数值上，充电机的输出电压稳压精度不应超过±0.5%。</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电压纹波因数</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当输入电源电压在额定值±15%范围内变化，直流输出电流在0～最大输出电流值范围内变化时，输出直流电压在规定的相应调节范围任一数值上，充电机输出电压纹波峰值因数不应大于1%。</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限压、限流特性</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充电机在恒流状态下运行时，当输出直流电压超过限压整定值时，应能自动限制其输出电压的增加，转换为恒压充电状态。</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充电机在恒压状态下运行时，当直流输出电流超过限流整定值时，应能立即进入限流充电状态，自动限制其输出电流的增加。</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32" w:name="_Toc14841"/>
      <w:bookmarkStart w:id="33" w:name="_Toc27341"/>
      <w:bookmarkStart w:id="34" w:name="_Toc27267"/>
      <w:bookmarkStart w:id="35" w:name="_Toc11296"/>
      <w:r>
        <w:rPr>
          <w:rFonts w:hint="eastAsia" w:ascii="宋体" w:hAnsi="宋体" w:eastAsia="宋体" w:cs="宋体"/>
          <w:sz w:val="21"/>
          <w:szCs w:val="21"/>
        </w:rPr>
        <w:t>启动输出过冲</w:t>
      </w:r>
      <w:bookmarkEnd w:id="32"/>
      <w:bookmarkEnd w:id="33"/>
      <w:bookmarkEnd w:id="34"/>
      <w:bookmarkEnd w:id="35"/>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充电机应具备软启动功能，稳压工作开机启动过程中，输出电压过冲不应大于当前整定值的5 ％；稳流工作开机启动过程中，在设定的输出直流电流大于等于30 A时，输出电流过冲不应大于当前整定值的5 ％；在设定的输出直流电流小于30 A时，输出电流过冲不应大于1.5 A。当充电机从暂停状态恢复充电状态时，应同样满足上述要求。</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36" w:name="_Toc13681"/>
      <w:bookmarkStart w:id="37" w:name="_Toc17470"/>
      <w:bookmarkStart w:id="38" w:name="_Toc22978"/>
      <w:bookmarkStart w:id="39" w:name="_Toc23736"/>
      <w:bookmarkStart w:id="40" w:name="_Toc387646182"/>
      <w:bookmarkStart w:id="41" w:name="_Toc411176418"/>
      <w:r>
        <w:rPr>
          <w:rFonts w:hint="eastAsia" w:ascii="宋体" w:hAnsi="宋体" w:eastAsia="宋体" w:cs="宋体"/>
          <w:sz w:val="21"/>
          <w:szCs w:val="21"/>
        </w:rPr>
        <w:t>待机功耗</w:t>
      </w:r>
      <w:bookmarkEnd w:id="36"/>
      <w:bookmarkEnd w:id="37"/>
      <w:bookmarkEnd w:id="38"/>
      <w:bookmarkEnd w:id="39"/>
      <w:bookmarkEnd w:id="40"/>
      <w:bookmarkEnd w:id="41"/>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在额定输入电压下，充电桩处于待机状态时，模块休眠不带电，插枪充电时唤醒模块，且待机功耗不大于N*30W。</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bookmarkStart w:id="42" w:name="_Toc411176419"/>
      <w:bookmarkStart w:id="43" w:name="_Toc387646183"/>
      <w:r>
        <w:rPr>
          <w:rFonts w:hint="eastAsia" w:ascii="宋体" w:hAnsi="宋体" w:eastAsia="宋体" w:cs="宋体"/>
          <w:color w:val="000000" w:themeColor="text1"/>
          <w:kern w:val="0"/>
          <w:sz w:val="21"/>
          <w:szCs w:val="21"/>
          <w14:textFill>
            <w14:solidFill>
              <w14:schemeClr w14:val="tx1"/>
            </w14:solidFill>
          </w14:textFill>
        </w:rPr>
        <w:t>注：N表示充电接口数量。</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44" w:name="_Toc25271"/>
      <w:bookmarkStart w:id="45" w:name="_Toc31743"/>
      <w:bookmarkStart w:id="46" w:name="_Toc19702"/>
      <w:bookmarkStart w:id="47" w:name="_Toc32570"/>
      <w:r>
        <w:rPr>
          <w:rFonts w:hint="eastAsia" w:ascii="宋体" w:hAnsi="宋体" w:eastAsia="宋体" w:cs="宋体"/>
          <w:sz w:val="21"/>
          <w:szCs w:val="21"/>
        </w:rPr>
        <w:t>效率、功率因数</w:t>
      </w:r>
      <w:bookmarkEnd w:id="42"/>
      <w:bookmarkEnd w:id="43"/>
      <w:bookmarkEnd w:id="44"/>
      <w:bookmarkEnd w:id="45"/>
      <w:bookmarkEnd w:id="46"/>
      <w:bookmarkEnd w:id="47"/>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在额定输入电压下，充电机效率、输入功率因数应符合下表的要求。</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表</w:t>
      </w:r>
      <w:r>
        <w:rPr>
          <w:rFonts w:hint="eastAsia" w:ascii="宋体" w:hAnsi="宋体" w:eastAsia="宋体" w:cs="宋体"/>
          <w:color w:val="000000" w:themeColor="text1"/>
          <w:kern w:val="0"/>
          <w:sz w:val="21"/>
          <w:szCs w:val="21"/>
          <w:lang w:val="en-US" w:eastAsia="zh-CN"/>
          <w14:textFill>
            <w14:solidFill>
              <w14:schemeClr w14:val="tx1"/>
            </w14:solidFill>
          </w14:textFill>
        </w:rPr>
        <w:t>2.4</w:t>
      </w:r>
      <w:r>
        <w:rPr>
          <w:rFonts w:hint="eastAsia" w:ascii="宋体" w:hAnsi="宋体" w:eastAsia="宋体" w:cs="宋体"/>
          <w:color w:val="000000" w:themeColor="text1"/>
          <w:kern w:val="0"/>
          <w:sz w:val="21"/>
          <w:szCs w:val="21"/>
          <w14:textFill>
            <w14:solidFill>
              <w14:schemeClr w14:val="tx1"/>
            </w14:solidFill>
          </w14:textFill>
        </w:rPr>
        <w:t xml:space="preserve">  充电机效率、功率因数</w:t>
      </w:r>
    </w:p>
    <w:tbl>
      <w:tblPr>
        <w:tblStyle w:val="7"/>
        <w:tblW w:w="7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0"/>
        <w:gridCol w:w="1401"/>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实际输出功率Po /额定输出功率Pn</w:t>
            </w:r>
          </w:p>
        </w:tc>
        <w:tc>
          <w:tcPr>
            <w:tcW w:w="14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效率</w:t>
            </w:r>
          </w:p>
        </w:tc>
        <w:tc>
          <w:tcPr>
            <w:tcW w:w="2001"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功率因数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20％≤Po/Pn≤50％</w:t>
            </w:r>
          </w:p>
        </w:tc>
        <w:tc>
          <w:tcPr>
            <w:tcW w:w="14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≥88％</w:t>
            </w:r>
          </w:p>
        </w:tc>
        <w:tc>
          <w:tcPr>
            <w:tcW w:w="2001"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0"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50％＜Po/Pn≤100％</w:t>
            </w:r>
          </w:p>
        </w:tc>
        <w:tc>
          <w:tcPr>
            <w:tcW w:w="1401"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≥93％</w:t>
            </w:r>
          </w:p>
        </w:tc>
        <w:tc>
          <w:tcPr>
            <w:tcW w:w="2001"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≥0.98</w:t>
            </w:r>
          </w:p>
        </w:tc>
      </w:tr>
    </w:tbl>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48" w:name="_Toc4244"/>
      <w:bookmarkStart w:id="49" w:name="_Toc411176420"/>
      <w:bookmarkStart w:id="50" w:name="_Toc387646184"/>
      <w:bookmarkStart w:id="51" w:name="_Toc25875"/>
      <w:bookmarkStart w:id="52" w:name="_Toc27108"/>
      <w:bookmarkStart w:id="53" w:name="_Toc10094"/>
      <w:r>
        <w:rPr>
          <w:rFonts w:hint="eastAsia" w:ascii="宋体" w:hAnsi="宋体" w:eastAsia="宋体" w:cs="宋体"/>
          <w:sz w:val="21"/>
          <w:szCs w:val="21"/>
        </w:rPr>
        <w:t>噪声</w:t>
      </w:r>
      <w:bookmarkEnd w:id="48"/>
      <w:bookmarkEnd w:id="49"/>
      <w:bookmarkEnd w:id="50"/>
      <w:bookmarkEnd w:id="51"/>
      <w:bookmarkEnd w:id="52"/>
      <w:bookmarkEnd w:id="53"/>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14:textFill>
            <w14:solidFill>
              <w14:schemeClr w14:val="tx1"/>
            </w14:solidFill>
          </w14:textFill>
        </w:rPr>
      </w:pPr>
      <w:bookmarkStart w:id="54" w:name="_Toc411176421"/>
      <w:bookmarkStart w:id="55" w:name="_Toc387646185"/>
      <w:r>
        <w:rPr>
          <w:rFonts w:hint="eastAsia" w:ascii="宋体" w:hAnsi="宋体" w:eastAsia="宋体" w:cs="宋体"/>
          <w:color w:val="000000" w:themeColor="text1"/>
          <w:kern w:val="0"/>
          <w:sz w:val="21"/>
          <w:szCs w:val="21"/>
          <w14:textFill>
            <w14:solidFill>
              <w14:schemeClr w14:val="tx1"/>
            </w14:solidFill>
          </w14:textFill>
        </w:rPr>
        <w:t>正常试验条件下，交流输入为额定值，充电机在额定输出功率下且内部温度稳定后，在周围环境噪声不大于40 dB的条件下，距离充电机水平位置1 m处，测得噪声最大值应符合表</w:t>
      </w:r>
      <w:r>
        <w:rPr>
          <w:rFonts w:hint="eastAsia" w:ascii="宋体" w:hAnsi="宋体" w:eastAsia="宋体" w:cs="宋体"/>
          <w:color w:val="000000" w:themeColor="text1"/>
          <w:kern w:val="0"/>
          <w:sz w:val="21"/>
          <w:szCs w:val="21"/>
          <w:lang w:val="en-US" w:eastAsia="zh-CN"/>
          <w14:textFill>
            <w14:solidFill>
              <w14:schemeClr w14:val="tx1"/>
            </w14:solidFill>
          </w14:textFill>
        </w:rPr>
        <w:t>2.5</w:t>
      </w:r>
      <w:r>
        <w:rPr>
          <w:rFonts w:hint="eastAsia" w:ascii="宋体" w:hAnsi="宋体" w:eastAsia="宋体" w:cs="宋体"/>
          <w:color w:val="000000" w:themeColor="text1"/>
          <w:kern w:val="0"/>
          <w:sz w:val="21"/>
          <w:szCs w:val="21"/>
          <w14:textFill>
            <w14:solidFill>
              <w14:schemeClr w14:val="tx1"/>
            </w14:solidFill>
          </w14:textFill>
        </w:rPr>
        <w:t>的要求。</w:t>
      </w:r>
    </w:p>
    <w:p>
      <w:pPr>
        <w:pageBreakBefore w:val="0"/>
        <w:kinsoku/>
        <w:wordWrap/>
        <w:overflowPunct/>
        <w:topLinePunct w:val="0"/>
        <w:autoSpaceDE/>
        <w:autoSpaceDN/>
        <w:bidi w:val="0"/>
        <w:spacing w:line="360" w:lineRule="auto"/>
        <w:ind w:firstLine="420"/>
        <w:textAlignment w:val="auto"/>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b/>
          <w:bCs/>
          <w:sz w:val="24"/>
          <w:lang w:val="zh-CN" w:eastAsia="zh-CN"/>
        </w:rPr>
        <w:t>▲</w:t>
      </w:r>
      <w:r>
        <w:rPr>
          <w:rFonts w:hint="eastAsia" w:ascii="宋体" w:hAnsi="宋体" w:eastAsia="宋体" w:cs="宋体"/>
          <w:color w:val="000000" w:themeColor="text1"/>
          <w:kern w:val="0"/>
          <w:sz w:val="21"/>
          <w:szCs w:val="21"/>
          <w:lang w:val="en-US" w:eastAsia="zh-CN"/>
          <w14:textFill>
            <w14:solidFill>
              <w14:schemeClr w14:val="tx1"/>
            </w14:solidFill>
          </w14:textFill>
        </w:rPr>
        <w:t>充电机噪声应满足国标</w:t>
      </w:r>
      <w:r>
        <w:rPr>
          <w:rFonts w:hint="eastAsia" w:ascii="宋体" w:hAnsi="宋体" w:eastAsia="宋体" w:cs="宋体"/>
          <w:color w:val="000000" w:themeColor="text1"/>
          <w:kern w:val="0"/>
          <w:sz w:val="21"/>
          <w:szCs w:val="21"/>
          <w14:textFill>
            <w14:solidFill>
              <w14:schemeClr w14:val="tx1"/>
            </w14:solidFill>
          </w14:textFill>
        </w:rPr>
        <w:t>Ⅱ级</w:t>
      </w:r>
      <w:r>
        <w:rPr>
          <w:rFonts w:hint="eastAsia" w:ascii="宋体" w:hAnsi="宋体" w:eastAsia="宋体" w:cs="宋体"/>
          <w:color w:val="000000" w:themeColor="text1"/>
          <w:kern w:val="0"/>
          <w:sz w:val="21"/>
          <w:szCs w:val="21"/>
          <w:lang w:val="en-US" w:eastAsia="zh-CN"/>
          <w14:textFill>
            <w14:solidFill>
              <w14:schemeClr w14:val="tx1"/>
            </w14:solidFill>
          </w14:textFill>
        </w:rPr>
        <w:t>标准。</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表</w:t>
      </w:r>
      <w:r>
        <w:rPr>
          <w:rFonts w:hint="eastAsia" w:ascii="宋体" w:hAnsi="宋体" w:eastAsia="宋体" w:cs="宋体"/>
          <w:color w:val="000000" w:themeColor="text1"/>
          <w:kern w:val="0"/>
          <w:sz w:val="21"/>
          <w:szCs w:val="21"/>
          <w:lang w:val="en-US" w:eastAsia="zh-CN"/>
          <w14:textFill>
            <w14:solidFill>
              <w14:schemeClr w14:val="tx1"/>
            </w14:solidFill>
          </w14:textFill>
        </w:rPr>
        <w:t>2.5</w:t>
      </w:r>
      <w:r>
        <w:rPr>
          <w:rFonts w:hint="eastAsia" w:ascii="宋体" w:hAnsi="宋体" w:eastAsia="宋体" w:cs="宋体"/>
          <w:color w:val="000000" w:themeColor="text1"/>
          <w:kern w:val="0"/>
          <w:sz w:val="21"/>
          <w:szCs w:val="21"/>
          <w14:textFill>
            <w14:solidFill>
              <w14:schemeClr w14:val="tx1"/>
            </w14:solidFill>
          </w14:textFill>
        </w:rPr>
        <w:t xml:space="preserve"> 噪声级别要求</w:t>
      </w:r>
    </w:p>
    <w:tbl>
      <w:tblPr>
        <w:tblStyle w:val="7"/>
        <w:tblW w:w="5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噪声等级</w:t>
            </w:r>
          </w:p>
        </w:tc>
        <w:tc>
          <w:tcPr>
            <w:tcW w:w="269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噪声最大值dB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Ⅰ级</w:t>
            </w:r>
          </w:p>
        </w:tc>
        <w:tc>
          <w:tcPr>
            <w:tcW w:w="269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Ⅱ级</w:t>
            </w:r>
          </w:p>
        </w:tc>
        <w:tc>
          <w:tcPr>
            <w:tcW w:w="269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55～80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52"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Ⅲ级</w:t>
            </w:r>
          </w:p>
        </w:tc>
        <w:tc>
          <w:tcPr>
            <w:tcW w:w="2695"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＞80</w:t>
            </w:r>
          </w:p>
        </w:tc>
      </w:tr>
    </w:tbl>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根据不同的安装场所，充电机在使用时的噪声应符合相关法律法规的要求。如实测值大于相关法律法规的要求，充电机在安装时应加装额外的降低噪声的</w:t>
      </w:r>
      <w:r>
        <w:rPr>
          <w:rFonts w:hint="eastAsia" w:ascii="宋体" w:hAnsi="宋体" w:eastAsia="宋体" w:cs="宋体"/>
          <w:color w:val="000000" w:themeColor="text1"/>
          <w:kern w:val="0"/>
          <w:sz w:val="21"/>
          <w:szCs w:val="21"/>
          <w:lang w:val="en-US" w:eastAsia="zh-CN"/>
          <w14:textFill>
            <w14:solidFill>
              <w14:schemeClr w14:val="tx1"/>
            </w14:solidFill>
          </w14:textFill>
        </w:rPr>
        <w:t>装置</w:t>
      </w:r>
      <w:r>
        <w:rPr>
          <w:rFonts w:hint="eastAsia" w:ascii="宋体" w:hAnsi="宋体" w:eastAsia="宋体" w:cs="宋体"/>
          <w:color w:val="000000" w:themeColor="text1"/>
          <w:kern w:val="0"/>
          <w:sz w:val="21"/>
          <w:szCs w:val="21"/>
          <w14:textFill>
            <w14:solidFill>
              <w14:schemeClr w14:val="tx1"/>
            </w14:solidFill>
          </w14:textFill>
        </w:rPr>
        <w:t>以满足使用要求。</w:t>
      </w:r>
      <w:bookmarkEnd w:id="54"/>
      <w:bookmarkEnd w:id="55"/>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56" w:name="_Toc411176422"/>
      <w:bookmarkStart w:id="57" w:name="_Toc9951"/>
      <w:bookmarkStart w:id="58" w:name="_Toc17056"/>
      <w:bookmarkStart w:id="59" w:name="_Toc31699"/>
      <w:bookmarkStart w:id="60" w:name="_Toc30573"/>
      <w:bookmarkStart w:id="61" w:name="_Toc387646186"/>
      <w:r>
        <w:rPr>
          <w:rFonts w:hint="eastAsia" w:ascii="宋体" w:hAnsi="宋体" w:eastAsia="宋体" w:cs="宋体"/>
          <w:sz w:val="21"/>
          <w:szCs w:val="21"/>
        </w:rPr>
        <w:t>高低温和湿热性能</w:t>
      </w:r>
      <w:bookmarkEnd w:id="56"/>
      <w:bookmarkEnd w:id="57"/>
      <w:bookmarkEnd w:id="58"/>
      <w:bookmarkEnd w:id="59"/>
      <w:bookmarkEnd w:id="60"/>
      <w:bookmarkEnd w:id="61"/>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color w:val="000000" w:themeColor="text1"/>
          <w:kern w:val="0"/>
          <w:sz w:val="21"/>
          <w:szCs w:val="21"/>
          <w14:textFill>
            <w14:solidFill>
              <w14:schemeClr w14:val="tx1"/>
            </w14:solidFill>
          </w14:textFill>
        </w:rPr>
        <w:t>低温性能</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按GB/T 2423.1-2008中试验Ad规定的方法执行，试验温度为NB/T33001-2018的7.1.1规定的下限值，待达到试验温度2小时后开机，充电机应能正常启动。试验温度持续工作2小时后，测试充电机的稳流精度应符合NB/T33001-2018的7.7.4的规定。试验前、试验期间、试验后，充电机应能正常工作。</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注：正常工作是指充电机的充电、通信、显示及各项保护功能都应正常，不允许有功能丧失,下同。</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高温性能</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按GB/T 2423.2-2008中试验Bd规定的方法执行，试验温度为NB/T33001-2018的7.1.1规定的上限值，待达到试验温度后启动充电机，充电机应能正常工作。试验温度持续2小时后，测试充电机的稳流精度应符合NB/T33001-2018的7.7.4的规定。试验前、试验期间、试验后，充电机应能正常工作。</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交变湿热性能</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kern w:val="0"/>
          <w:sz w:val="21"/>
          <w:szCs w:val="21"/>
        </w:rPr>
        <w:t>按GB/T 2423.4-2008中试验Db规定的方法执行，试验的高温温度为（40±2） ℃，循环次数为2次，在试验结束前2 h进行介电强度试验和测试绝缘电阻，其中绝缘</w:t>
      </w:r>
      <w:r>
        <w:rPr>
          <w:rFonts w:hint="eastAsia" w:ascii="宋体" w:hAnsi="宋体" w:eastAsia="宋体" w:cs="宋体"/>
          <w:color w:val="000000" w:themeColor="text1"/>
          <w:kern w:val="0"/>
          <w:sz w:val="21"/>
          <w:szCs w:val="21"/>
          <w14:textFill>
            <w14:solidFill>
              <w14:schemeClr w14:val="tx1"/>
            </w14:solidFill>
          </w14:textFill>
        </w:rPr>
        <w:t>电阻不应小于1MΩ，介电强度按表3规定值的75 ％施加测试</w:t>
      </w:r>
      <w:r>
        <w:rPr>
          <w:rFonts w:hint="eastAsia" w:ascii="宋体" w:hAnsi="宋体" w:eastAsia="宋体" w:cs="宋体"/>
          <w:color w:val="000000" w:themeColor="text1"/>
          <w:kern w:val="0"/>
          <w:sz w:val="18"/>
          <w:szCs w:val="18"/>
          <w14:textFill>
            <w14:solidFill>
              <w14:schemeClr w14:val="tx1"/>
            </w14:solidFill>
          </w14:textFill>
        </w:rPr>
        <w:t>电压。试验结束后，恢复至正常大气条件，通电后检查充电机各项功能应正常。</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62" w:name="_Toc24340"/>
      <w:bookmarkStart w:id="63" w:name="_Toc8482"/>
      <w:bookmarkStart w:id="64" w:name="_Toc2093"/>
      <w:bookmarkStart w:id="65" w:name="_Toc411176423"/>
      <w:bookmarkStart w:id="66" w:name="_Toc387646187"/>
      <w:bookmarkStart w:id="67" w:name="_Toc19352"/>
      <w:r>
        <w:rPr>
          <w:rFonts w:hint="eastAsia" w:ascii="宋体" w:hAnsi="宋体" w:eastAsia="宋体" w:cs="宋体"/>
          <w:sz w:val="21"/>
          <w:szCs w:val="21"/>
        </w:rPr>
        <w:t>机械强度</w:t>
      </w:r>
      <w:bookmarkEnd w:id="62"/>
      <w:bookmarkEnd w:id="63"/>
      <w:bookmarkEnd w:id="64"/>
      <w:bookmarkEnd w:id="65"/>
      <w:bookmarkEnd w:id="66"/>
      <w:bookmarkEnd w:id="67"/>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按GB/T 2423.55-2006规定的方法进行试验，剧烈冲击能量为20 J（5 kg，在0.4 m）。试验结束后性能不应降低，充电机的IP防护等级不受影响，门的操作和锁止点不受损坏，不会因变形而使带电部分和外壳相接触。</w:t>
      </w:r>
    </w:p>
    <w:p>
      <w:pPr>
        <w:pStyle w:val="4"/>
        <w:pageBreakBefore w:val="0"/>
        <w:kinsoku/>
        <w:wordWrap/>
        <w:overflowPunct/>
        <w:topLinePunct w:val="0"/>
        <w:autoSpaceDE/>
        <w:autoSpaceDN/>
        <w:bidi w:val="0"/>
        <w:spacing w:line="360" w:lineRule="auto"/>
        <w:textAlignment w:val="auto"/>
        <w:rPr>
          <w:rFonts w:hint="eastAsia" w:ascii="宋体" w:hAnsi="宋体" w:eastAsia="宋体" w:cs="宋体"/>
          <w:sz w:val="21"/>
          <w:szCs w:val="21"/>
        </w:rPr>
      </w:pPr>
      <w:bookmarkStart w:id="68" w:name="_Toc13528"/>
      <w:bookmarkStart w:id="69" w:name="_Toc27433"/>
      <w:r>
        <w:rPr>
          <w:rFonts w:hint="eastAsia" w:ascii="宋体" w:hAnsi="宋体" w:eastAsia="宋体" w:cs="宋体"/>
          <w:sz w:val="21"/>
          <w:szCs w:val="21"/>
        </w:rPr>
        <w:t>充电机柜体（桩体）要求</w:t>
      </w:r>
      <w:bookmarkEnd w:id="68"/>
      <w:bookmarkEnd w:id="69"/>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充电机的结构外形、柜体（桩体）外观、结构布局等要求如下：</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充电机柜体（桩体）应外观线条流畅、整体紧凑、简洁时尚，与安装地点周边环境相协调。</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充电机柜体（桩体）内部线束，应排布整齐、规整，标识清楚，捆扎牢固。</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充电机柜体（桩体）内元器件应布局合理，易耗易损元件方便更换。</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充电机柜体（桩体）安装于户外时，应便于特殊天气条件下的日常维护。</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充电机柜体（桩体）应采用抗冲击力强、抗老化的材质。</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充电机柜体（桩体）表面涂覆色泽层应均匀光洁，不起泡、不龟裂、不脱落。</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非绝缘材料外壳应可靠接地，结构上应防止操作人员触及带电部件。</w:t>
      </w:r>
    </w:p>
    <w:p>
      <w:pPr>
        <w:spacing w:line="500" w:lineRule="exact"/>
        <w:ind w:firstLine="420" w:firstLineChars="200"/>
        <w:rPr>
          <w:rFonts w:hint="eastAsia" w:ascii="宋体" w:hAnsi="宋体" w:eastAsia="宋体" w:cs="宋体"/>
          <w:sz w:val="21"/>
          <w:szCs w:val="21"/>
        </w:rPr>
      </w:pPr>
    </w:p>
    <w:p>
      <w:pPr>
        <w:pStyle w:val="3"/>
        <w:pageBreakBefore w:val="0"/>
        <w:kinsoku/>
        <w:wordWrap/>
        <w:overflowPunct/>
        <w:topLinePunct w:val="0"/>
        <w:autoSpaceDE/>
        <w:autoSpaceDN/>
        <w:bidi w:val="0"/>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充电云平台技术要求</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投标人免费提供充电云服务，遵守有关国家标准、专业标准等，能够满足日常的充电场站运营服务，包括充电、支付、基础营销策略、管理及财务报表、基础的统计分析功能等。</w:t>
      </w:r>
      <w:r>
        <w:rPr>
          <w:rFonts w:hint="eastAsia" w:ascii="宋体" w:hAnsi="宋体" w:eastAsia="宋体" w:cs="宋体"/>
          <w:snapToGrid/>
          <w:color w:val="auto"/>
          <w:kern w:val="2"/>
          <w:sz w:val="21"/>
          <w:szCs w:val="21"/>
          <w:lang w:val="en-US" w:eastAsia="zh-CN" w:bidi="ar-SA"/>
        </w:rPr>
        <w:br w:type="textWrapping"/>
      </w:r>
      <w:r>
        <w:rPr>
          <w:rFonts w:hint="eastAsia" w:ascii="宋体" w:hAnsi="宋体" w:eastAsia="宋体" w:cs="宋体"/>
          <w:snapToGrid/>
          <w:color w:val="auto"/>
          <w:kern w:val="2"/>
          <w:sz w:val="21"/>
          <w:szCs w:val="21"/>
          <w:lang w:val="en-US" w:eastAsia="zh-CN" w:bidi="ar-SA"/>
        </w:rPr>
        <w:t xml:space="preserve">    充电运营管理平台要能够将充电基础设施设备接入管理平台，建立数据分析系统，以平台采集的数据为基础，进行统计分析，建立充电服务体系，提供充电业务服务；具备兼容能力，满足接口可拓展性。</w:t>
      </w:r>
      <w:r>
        <w:rPr>
          <w:rFonts w:hint="eastAsia" w:ascii="宋体" w:hAnsi="宋体" w:eastAsia="宋体" w:cs="宋体"/>
          <w:snapToGrid/>
          <w:color w:val="auto"/>
          <w:kern w:val="2"/>
          <w:sz w:val="21"/>
          <w:szCs w:val="21"/>
          <w:lang w:val="en-US" w:eastAsia="zh-CN" w:bidi="ar-SA"/>
        </w:rPr>
        <w:br w:type="textWrapping"/>
      </w:r>
      <w:r>
        <w:rPr>
          <w:rFonts w:hint="eastAsia" w:ascii="宋体" w:hAnsi="宋体" w:eastAsia="宋体" w:cs="宋体"/>
          <w:snapToGrid/>
          <w:color w:val="auto"/>
          <w:kern w:val="2"/>
          <w:sz w:val="21"/>
          <w:szCs w:val="21"/>
          <w:lang w:val="en-US" w:eastAsia="zh-CN" w:bidi="ar-SA"/>
        </w:rPr>
        <w:t xml:space="preserve">     充电运营管理平台要具备提供系统数据接口的能力，实现与第三方系统、未来规划系统的互联互通的能力。</w:t>
      </w:r>
      <w:r>
        <w:rPr>
          <w:rFonts w:hint="eastAsia" w:ascii="宋体" w:hAnsi="宋体" w:eastAsia="宋体" w:cs="宋体"/>
          <w:snapToGrid/>
          <w:color w:val="auto"/>
          <w:kern w:val="2"/>
          <w:sz w:val="21"/>
          <w:szCs w:val="21"/>
          <w:lang w:val="en-US" w:eastAsia="zh-CN" w:bidi="ar-SA"/>
        </w:rPr>
        <w:br w:type="textWrapping"/>
      </w:r>
      <w:r>
        <w:rPr>
          <w:rFonts w:hint="eastAsia" w:ascii="宋体" w:hAnsi="宋体" w:eastAsia="宋体" w:cs="宋体"/>
          <w:snapToGrid/>
          <w:color w:val="auto"/>
          <w:kern w:val="2"/>
          <w:sz w:val="21"/>
          <w:szCs w:val="21"/>
          <w:lang w:val="en-US" w:eastAsia="zh-CN" w:bidi="ar-SA"/>
        </w:rPr>
        <w:t xml:space="preserve">     充电运营管理平台，要能够接入多家充电桩设备，实现统一运营管理;具备完善的数据分析能力，通过数字可视化技术实现业务数据的多维分析展示。</w:t>
      </w:r>
      <w:r>
        <w:rPr>
          <w:rFonts w:hint="eastAsia" w:ascii="宋体" w:hAnsi="宋体" w:eastAsia="宋体" w:cs="宋体"/>
          <w:snapToGrid/>
          <w:color w:val="auto"/>
          <w:kern w:val="2"/>
          <w:sz w:val="21"/>
          <w:szCs w:val="21"/>
          <w:lang w:val="en-US" w:eastAsia="zh-CN" w:bidi="ar-SA"/>
        </w:rPr>
        <w:br w:type="textWrapping"/>
      </w:r>
      <w:r>
        <w:rPr>
          <w:rFonts w:hint="eastAsia" w:ascii="宋体" w:hAnsi="宋体" w:eastAsia="宋体" w:cs="宋体"/>
          <w:snapToGrid/>
          <w:color w:val="auto"/>
          <w:kern w:val="2"/>
          <w:sz w:val="21"/>
          <w:szCs w:val="21"/>
          <w:lang w:val="en-US" w:eastAsia="zh-CN" w:bidi="ar-SA"/>
        </w:rPr>
        <w:t xml:space="preserve">     充电运营管理平台可根据需要提供微信充电小程序、微信公众号、支付宝小程序/生活号、充电APP（IOS、安卓）等程序。</w:t>
      </w: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auto"/>
          <w:kern w:val="2"/>
          <w:sz w:val="21"/>
          <w:szCs w:val="21"/>
          <w:lang w:val="en-US" w:eastAsia="zh-CN" w:bidi="ar-SA"/>
        </w:rPr>
      </w:pPr>
      <w:r>
        <w:rPr>
          <w:rFonts w:hint="eastAsia" w:ascii="宋体" w:hAnsi="宋体" w:eastAsia="宋体" w:cs="宋体"/>
          <w:snapToGrid/>
          <w:color w:val="auto"/>
          <w:kern w:val="2"/>
          <w:sz w:val="21"/>
          <w:szCs w:val="21"/>
          <w:lang w:val="en-US" w:eastAsia="zh-CN" w:bidi="ar-SA"/>
        </w:rPr>
        <w:t>充电云充电运营收入直接到运营商账户，没有资金沉淀，没有服务费、分成，运营所得全部归运营商私有。</w:t>
      </w:r>
    </w:p>
    <w:p>
      <w:pPr>
        <w:wordWrap w:val="0"/>
        <w:spacing w:line="400" w:lineRule="exact"/>
        <w:ind w:firstLine="422" w:firstLineChars="200"/>
        <w:outlineLvl w:val="1"/>
        <w:rPr>
          <w:rFonts w:hint="eastAsia" w:ascii="宋体" w:hAnsi="宋体" w:eastAsia="宋体" w:cs="宋体"/>
          <w:sz w:val="21"/>
          <w:szCs w:val="21"/>
        </w:rPr>
      </w:pPr>
      <w:bookmarkStart w:id="70" w:name="_Toc13426"/>
      <w:bookmarkStart w:id="71" w:name="_Toc170305326"/>
      <w:r>
        <w:rPr>
          <w:rFonts w:hint="eastAsia" w:ascii="宋体" w:hAnsi="宋体" w:eastAsia="宋体" w:cs="宋体"/>
          <w:b/>
          <w:bCs/>
          <w:sz w:val="21"/>
          <w:szCs w:val="21"/>
        </w:rPr>
        <w:t>3.1箱式变电站</w:t>
      </w:r>
      <w:bookmarkEnd w:id="70"/>
      <w:bookmarkEnd w:id="71"/>
    </w:p>
    <w:p>
      <w:pPr>
        <w:wordWrap w:val="0"/>
        <w:spacing w:line="40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3.1.1应遵循的主要标准</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下列标准中所列条款通过本规范引用而成为本规范的条款。凡是注日期的引用文件，仅注日期的版本适用于本技术标书。凡是不注日期的引用文件，其最新版本（包括所有的修改单）适用于本文件：</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GB/T6451  三相油浸式电力变压器技术参数和要求</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 /3804  3～63kV 交流高压负荷开关</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 15166.2  交流高压熔断器限流熔断器</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GB/T7328  变压器和电抗器的声级测量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 /7251.1  低压成套开关设备和控制设备</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GB/T14048.1  低压开关设备和控制设备</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GB/T2900.1.15.20-92  电工术语</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GB/T4208  外壳防护等级</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GB/T17467  高压低压预装式变电站</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DLT/537  高压低压预装箱式变电站选用导则</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GBJ17  箱变结构设计规范</w:t>
      </w:r>
    </w:p>
    <w:p>
      <w:pPr>
        <w:wordWrap w:val="0"/>
        <w:spacing w:line="40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GB205  箱变结构工程施工与验收规范</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IEC726  国际电工标准</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GB156  电器设备额定电压</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GB311  高压输变电设备绝缘配合</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GB11022  高压开关设备通用技术</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GB/T5582  高压电力设备外绝缘污秽等级</w:t>
      </w:r>
    </w:p>
    <w:p>
      <w:pPr>
        <w:wordWrap w:val="0"/>
        <w:spacing w:line="400" w:lineRule="exact"/>
        <w:ind w:firstLine="420" w:firstLineChars="200"/>
        <w:outlineLvl w:val="3"/>
        <w:rPr>
          <w:rFonts w:hint="eastAsia" w:ascii="宋体" w:hAnsi="宋体" w:eastAsia="宋体" w:cs="宋体"/>
          <w:sz w:val="21"/>
          <w:szCs w:val="21"/>
        </w:rPr>
      </w:pPr>
      <w:r>
        <w:rPr>
          <w:rFonts w:hint="eastAsia" w:ascii="宋体" w:hAnsi="宋体" w:eastAsia="宋体" w:cs="宋体"/>
          <w:sz w:val="21"/>
          <w:szCs w:val="21"/>
        </w:rPr>
        <w:t>3.1.2性能参数</w:t>
      </w:r>
    </w:p>
    <w:p>
      <w:pPr>
        <w:wordWrap w:val="0"/>
        <w:spacing w:line="40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3.1.2.1环境参数</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安装地点：户外；</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周围空气温度：</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最高温度：45℃</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最低温度：-</w:t>
      </w:r>
      <w:r>
        <w:rPr>
          <w:rFonts w:hint="default" w:ascii="宋体" w:hAnsi="宋体" w:cs="宋体"/>
          <w:sz w:val="21"/>
          <w:szCs w:val="21"/>
        </w:rPr>
        <w:t>3</w:t>
      </w:r>
      <w:r>
        <w:rPr>
          <w:rFonts w:hint="eastAsia" w:ascii="宋体" w:hAnsi="宋体" w:eastAsia="宋体" w:cs="宋体"/>
          <w:sz w:val="21"/>
          <w:szCs w:val="21"/>
        </w:rPr>
        <w:t>0℃</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最大日温差：25℃</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海拔高度:≤ 1000 m</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污秽等级:≤ III级</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环境相对湿度：</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日平均值：≤95%</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月平均值：≤90%</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地震烈度:8度</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水平加速度：0.2 g</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垂直加速度：0.25 g</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安装地面倾斜度：≤3％</w:t>
      </w:r>
    </w:p>
    <w:p>
      <w:pPr>
        <w:wordWrap w:val="0"/>
        <w:spacing w:line="40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3.1.2.2高压技术要求</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额定电压（kV）：10；</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最高电压（kV）：12；</w:t>
      </w:r>
    </w:p>
    <w:p>
      <w:pPr>
        <w:wordWrap w:val="0"/>
        <w:spacing w:line="40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rPr>
        <w:t>主母线额定电流（A）：</w:t>
      </w:r>
      <w:r>
        <w:rPr>
          <w:rFonts w:hint="eastAsia" w:ascii="宋体" w:hAnsi="宋体" w:cs="宋体"/>
          <w:sz w:val="21"/>
          <w:szCs w:val="21"/>
          <w:lang w:val="en-US" w:eastAsia="zh-CN"/>
        </w:rPr>
        <w:t>630</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额定频率：50Hz；</w:t>
      </w:r>
    </w:p>
    <w:p>
      <w:pPr>
        <w:wordWrap w:val="0"/>
        <w:spacing w:line="400" w:lineRule="exact"/>
        <w:ind w:firstLine="420" w:firstLineChars="200"/>
        <w:outlineLvl w:val="5"/>
        <w:rPr>
          <w:rFonts w:hint="eastAsia" w:ascii="宋体" w:hAnsi="宋体" w:eastAsia="宋体" w:cs="宋体"/>
          <w:sz w:val="21"/>
          <w:szCs w:val="21"/>
        </w:rPr>
      </w:pPr>
      <w:r>
        <w:rPr>
          <w:rFonts w:hint="eastAsia" w:ascii="宋体" w:hAnsi="宋体" w:eastAsia="宋体" w:cs="宋体"/>
          <w:sz w:val="21"/>
          <w:szCs w:val="21"/>
        </w:rPr>
        <w:t>柜体及断路器绝缘水平</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工频耐压：42kV（1分钟）；</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冲击耐压：75kV（对地及相间）；</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额定热稳定电流（3s）：40kA；</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额定动稳定电流（峰值）：100kA</w:t>
      </w:r>
    </w:p>
    <w:p>
      <w:pPr>
        <w:wordWrap w:val="0"/>
        <w:spacing w:line="400" w:lineRule="exact"/>
        <w:ind w:firstLine="414" w:firstLineChars="200"/>
        <w:rPr>
          <w:rFonts w:hint="eastAsia" w:ascii="宋体" w:hAnsi="宋体" w:eastAsia="宋体" w:cs="宋体"/>
          <w:b/>
          <w:sz w:val="21"/>
          <w:szCs w:val="21"/>
        </w:rPr>
      </w:pPr>
      <w:r>
        <w:rPr>
          <w:rFonts w:hint="eastAsia" w:ascii="宋体" w:hAnsi="宋体" w:eastAsia="宋体" w:cs="宋体"/>
          <w:b/>
          <w:spacing w:val="-2"/>
          <w:sz w:val="21"/>
          <w:szCs w:val="21"/>
        </w:rPr>
        <w:t>高压柜技术要求：</w:t>
      </w:r>
    </w:p>
    <w:p>
      <w:pPr>
        <w:topLinePunct/>
        <w:spacing w:line="400" w:lineRule="exact"/>
        <w:ind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高压选用</w:t>
      </w:r>
      <w:r>
        <w:rPr>
          <w:rFonts w:hint="default" w:ascii="宋体" w:hAnsi="宋体" w:cs="宋体"/>
          <w:spacing w:val="-2"/>
          <w:sz w:val="21"/>
          <w:szCs w:val="21"/>
        </w:rPr>
        <w:t>充气柜式</w:t>
      </w:r>
      <w:r>
        <w:rPr>
          <w:rFonts w:hint="eastAsia" w:ascii="宋体" w:hAnsi="宋体" w:eastAsia="宋体" w:cs="宋体"/>
          <w:spacing w:val="-2"/>
          <w:sz w:val="21"/>
          <w:szCs w:val="21"/>
        </w:rPr>
        <w:t>开关设备，防护等级达到 IP3X。其额定参数，技术要求，型式试验项目和方式、标志、包装、运输、储存等要求、产品性能符合相关规定。</w:t>
      </w:r>
    </w:p>
    <w:p>
      <w:pPr>
        <w:topLinePunct/>
        <w:spacing w:line="400" w:lineRule="exact"/>
        <w:ind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高压柜铭牌标识清晰。内部安装的高压电器组件，如：断路器、负荷开关、互感器、避雷器等，均具有耐久而清晰的铭牌，铭牌安装在运行或检修时易于观察的位置。分合闸指示牌应清晰可见、易于观 察，寿命同断路器和负荷开关。</w:t>
      </w:r>
    </w:p>
    <w:p>
      <w:pPr>
        <w:topLinePunct/>
        <w:spacing w:line="400" w:lineRule="exact"/>
        <w:ind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高压开关柜内、外表面颜色应协调一致，柜门上均应有明显的带电警示标志高压柜应标出主回路的线路图，同时应注明操作程序和注意事项。信号灯及仪表的装设位置应易于观察和安全地更换。电缆室的高度应满足安装、试验、维修的要求。高压单元安装带电显示器，其安装位置应便于观察。环网柜具备完善的五防联锁功能（机械联锁）。操作机构：手动操作。配置气压表，以方便观察气体压力。电力电缆隔室与电缆沟连接处设置防止小动物进入。</w:t>
      </w:r>
    </w:p>
    <w:p>
      <w:pPr>
        <w:topLinePunct/>
        <w:spacing w:line="400" w:lineRule="exact"/>
        <w:ind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高压进出线方式采用电缆连接，高压电缆连接采用普通型压接螺栓连接，以利于验电、挂接地线。</w:t>
      </w:r>
    </w:p>
    <w:p>
      <w:pPr>
        <w:topLinePunct/>
        <w:spacing w:line="400" w:lineRule="exact"/>
        <w:ind w:firstLine="412" w:firstLineChars="200"/>
        <w:jc w:val="left"/>
        <w:rPr>
          <w:rFonts w:hint="eastAsia" w:ascii="宋体" w:hAnsi="宋体" w:eastAsia="宋体" w:cs="宋体"/>
          <w:sz w:val="21"/>
          <w:szCs w:val="21"/>
        </w:rPr>
      </w:pPr>
      <w:r>
        <w:rPr>
          <w:rFonts w:hint="eastAsia" w:ascii="宋体" w:hAnsi="宋体" w:eastAsia="宋体" w:cs="宋体"/>
          <w:spacing w:val="-2"/>
          <w:sz w:val="21"/>
          <w:szCs w:val="21"/>
        </w:rPr>
        <w:t>变压器出线柜为断路器保护，要求变压器超温运行情况下能够跳开变压器出线柜开关。</w:t>
      </w:r>
    </w:p>
    <w:p>
      <w:pPr>
        <w:wordWrap w:val="0"/>
        <w:spacing w:line="40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3.1.2.3变压器技术要求</w:t>
      </w:r>
    </w:p>
    <w:p>
      <w:pPr>
        <w:wordWrap w:val="0"/>
        <w:spacing w:line="400" w:lineRule="exact"/>
        <w:ind w:firstLine="420" w:firstLineChars="200"/>
        <w:outlineLvl w:val="5"/>
        <w:rPr>
          <w:rFonts w:hint="eastAsia" w:ascii="宋体" w:hAnsi="宋体" w:eastAsia="宋体" w:cs="宋体"/>
          <w:sz w:val="21"/>
          <w:szCs w:val="21"/>
        </w:rPr>
      </w:pPr>
      <w:r>
        <w:rPr>
          <w:rFonts w:hint="eastAsia" w:ascii="宋体" w:hAnsi="宋体" w:eastAsia="宋体" w:cs="宋体"/>
          <w:sz w:val="21"/>
          <w:szCs w:val="21"/>
        </w:rPr>
        <w:t>主要技术参数</w:t>
      </w:r>
    </w:p>
    <w:p>
      <w:pPr>
        <w:adjustRightIn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变压器选用低损耗、全密封纯铜芯变压器,联合组别采用Dyn</w:t>
      </w:r>
      <w:r>
        <w:rPr>
          <w:rFonts w:hint="eastAsia" w:ascii="宋体" w:hAnsi="宋体" w:eastAsia="宋体" w:cs="宋体"/>
          <w:sz w:val="21"/>
          <w:szCs w:val="21"/>
          <w:lang w:val="en-US" w:eastAsia="zh-CN"/>
        </w:rPr>
        <w:t>11</w:t>
      </w:r>
      <w:r>
        <w:rPr>
          <w:rFonts w:hint="eastAsia" w:ascii="宋体" w:hAnsi="宋体" w:eastAsia="宋体" w:cs="宋体"/>
          <w:sz w:val="21"/>
          <w:szCs w:val="21"/>
        </w:rPr>
        <w:t>。变压器应具备抗突发短路能力,能够通过突发短路试验。产品应满足国家的相关标准，按国家标准进行</w:t>
      </w:r>
      <w:r>
        <w:rPr>
          <w:rFonts w:hint="eastAsia" w:ascii="宋体" w:hAnsi="宋体" w:eastAsia="宋体" w:cs="宋体"/>
          <w:sz w:val="21"/>
          <w:szCs w:val="21"/>
          <w:lang w:val="en-US" w:eastAsia="zh-CN"/>
        </w:rPr>
        <w:t>生产</w:t>
      </w:r>
      <w:r>
        <w:rPr>
          <w:rFonts w:hint="eastAsia" w:ascii="宋体" w:hAnsi="宋体" w:eastAsia="宋体" w:cs="宋体"/>
          <w:sz w:val="21"/>
          <w:szCs w:val="21"/>
        </w:rPr>
        <w:t>制造，随货带产品合格证及一切验收资料。</w:t>
      </w:r>
    </w:p>
    <w:p>
      <w:pPr>
        <w:adjustRightInd w:val="0"/>
        <w:spacing w:line="400" w:lineRule="exact"/>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主要电器件及参数</w:t>
      </w:r>
    </w:p>
    <w:tbl>
      <w:tblPr>
        <w:tblStyle w:val="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7"/>
        <w:gridCol w:w="2766"/>
        <w:gridCol w:w="917"/>
        <w:gridCol w:w="36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序号</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参数名称</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hint="eastAsia" w:ascii="宋体" w:hAnsi="宋体" w:eastAsia="宋体" w:cs="宋体"/>
                <w:sz w:val="21"/>
                <w:szCs w:val="21"/>
              </w:rPr>
            </w:pPr>
            <w:r>
              <w:rPr>
                <w:rFonts w:hint="eastAsia" w:ascii="宋体" w:hAnsi="宋体" w:eastAsia="宋体" w:cs="宋体"/>
                <w:sz w:val="21"/>
                <w:szCs w:val="21"/>
              </w:rPr>
              <w:t>单位</w:t>
            </w: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1</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型号</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S13-M铜芯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2</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容量</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kVA</w:t>
            </w: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default"/>
                <w:sz w:val="21"/>
                <w:szCs w:val="21"/>
                <w:lang w:val="en-US" w:eastAsia="zh-CN"/>
              </w:rPr>
            </w:pPr>
            <w:r>
              <w:rPr>
                <w:rFonts w:hint="eastAsia" w:ascii="宋体" w:hAnsi="宋体" w:cs="宋体"/>
                <w:sz w:val="21"/>
                <w:szCs w:val="21"/>
                <w:lang w:val="en-US" w:eastAsia="zh-CN"/>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3</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额定电压</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kV</w:t>
            </w: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4</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最高工作电压</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kV</w:t>
            </w: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5</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额定频率</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Hz</w:t>
            </w: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6</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电压组合</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10±2×2.5%/0.4kV</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79"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7</w:t>
            </w:r>
          </w:p>
        </w:tc>
        <w:tc>
          <w:tcPr>
            <w:tcW w:w="1623"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r>
              <w:rPr>
                <w:rFonts w:hint="eastAsia" w:ascii="宋体" w:hAnsi="宋体" w:eastAsia="宋体" w:cs="宋体"/>
                <w:sz w:val="21"/>
                <w:szCs w:val="21"/>
              </w:rPr>
              <w:t>连接组标号</w:t>
            </w:r>
          </w:p>
        </w:tc>
        <w:tc>
          <w:tcPr>
            <w:tcW w:w="538"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rPr>
                <w:rFonts w:hint="eastAsia" w:ascii="宋体" w:hAnsi="宋体" w:eastAsia="宋体" w:cs="宋体"/>
                <w:sz w:val="21"/>
                <w:szCs w:val="21"/>
              </w:rPr>
            </w:pPr>
          </w:p>
        </w:tc>
        <w:tc>
          <w:tcPr>
            <w:tcW w:w="2160" w:type="pct"/>
            <w:tcBorders>
              <w:top w:val="single" w:color="auto" w:sz="6" w:space="0"/>
              <w:left w:val="single" w:color="auto" w:sz="6" w:space="0"/>
              <w:bottom w:val="single" w:color="auto" w:sz="6" w:space="0"/>
              <w:right w:val="single" w:color="auto" w:sz="6" w:space="0"/>
            </w:tcBorders>
            <w:noWrap w:val="0"/>
            <w:vAlign w:val="center"/>
          </w:tcPr>
          <w:p>
            <w:pPr>
              <w:spacing w:line="400" w:lineRule="exact"/>
              <w:ind w:firstLine="420"/>
              <w:jc w:val="center"/>
              <w:rPr>
                <w:rFonts w:hint="eastAsia" w:ascii="宋体" w:hAnsi="宋体" w:eastAsia="宋体" w:cs="宋体"/>
                <w:sz w:val="21"/>
                <w:szCs w:val="21"/>
              </w:rPr>
            </w:pPr>
            <w:r>
              <w:rPr>
                <w:rFonts w:hint="eastAsia" w:ascii="宋体" w:hAnsi="宋体" w:eastAsia="宋体" w:cs="宋体"/>
                <w:sz w:val="21"/>
                <w:szCs w:val="21"/>
              </w:rPr>
              <w:t>Dyn11</w:t>
            </w:r>
          </w:p>
        </w:tc>
      </w:tr>
    </w:tbl>
    <w:p>
      <w:pPr>
        <w:wordWrap w:val="0"/>
        <w:spacing w:line="40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3.1.2.4低压柜技术要求</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柜体仪表门上安装指示灯、按钮、测量仪表等元器件，应排列整齐、层次分明、便于维修和拆装。</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10kV箱式变电站应设置0.4kV总进线断路器，配电子脱扣器，电子脱扣器具备良好的电磁屏蔽性能和耐温性能。</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无功补偿：低压采用智能自动投切无功补偿装置，补偿容量按照变压器的容量30％补偿。</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无功补偿控制器可实时显示电网功率因数、电压、电流、有功功率、无功功率、电压总畸变率、频率等电参数（A、B、C三相）；具有自动补偿工作方式。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系统补偿后的功率因数应达到0.95以上且满足设计要求和相关国家规范。</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低压总开关、出线开关、母线等主要元器件的技术参数符合国家相关规定。</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低压配电装置的连线均应有明显的相别标记。低压主母线和分支线必须包热缩绝缘套管，尽量减少低压裸露带电部分。</w:t>
      </w:r>
    </w:p>
    <w:p>
      <w:pPr>
        <w:wordWrap w:val="0"/>
        <w:spacing w:line="400" w:lineRule="exact"/>
        <w:ind w:firstLine="420" w:firstLineChars="200"/>
        <w:outlineLvl w:val="4"/>
        <w:rPr>
          <w:rFonts w:hint="eastAsia" w:ascii="宋体" w:hAnsi="宋体" w:eastAsia="宋体" w:cs="宋体"/>
          <w:sz w:val="21"/>
          <w:szCs w:val="21"/>
        </w:rPr>
      </w:pPr>
      <w:r>
        <w:rPr>
          <w:rFonts w:hint="eastAsia" w:ascii="宋体" w:hAnsi="宋体" w:eastAsia="宋体" w:cs="宋体"/>
          <w:sz w:val="21"/>
          <w:szCs w:val="21"/>
        </w:rPr>
        <w:t>3.1.2.5箱变外壳技术要求</w:t>
      </w:r>
    </w:p>
    <w:p>
      <w:pPr>
        <w:topLinePunct/>
        <w:spacing w:line="400" w:lineRule="exact"/>
        <w:ind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箱体采用高精度焊装式结构。箱体采用双层、密封、腐蚀、隔 温结构，内部采用钢板及阻燃绝缘隔板严密分割成高压室、变压器室、低压室，各室防护等级为 IP3X。</w:t>
      </w:r>
      <w:r>
        <w:rPr>
          <w:rFonts w:hint="eastAsia" w:ascii="宋体" w:hAnsi="宋体" w:eastAsia="宋体" w:cs="宋体"/>
          <w:sz w:val="21"/>
          <w:szCs w:val="21"/>
        </w:rPr>
        <w:t>各隔室相对独立，变压器室配置风机并设计通风系统，通风系统包括但不限于风机、风道、百叶窗等。通风系统满足变压器的散热要求，还应在通风窗位置设防尘网。</w:t>
      </w:r>
    </w:p>
    <w:p>
      <w:pPr>
        <w:topLinePunct/>
        <w:spacing w:line="400" w:lineRule="exact"/>
        <w:ind w:firstLine="420" w:firstLineChars="200"/>
        <w:jc w:val="left"/>
        <w:rPr>
          <w:rFonts w:hint="eastAsia" w:ascii="宋体" w:hAnsi="宋体" w:eastAsia="宋体" w:cs="宋体"/>
          <w:spacing w:val="-2"/>
          <w:sz w:val="21"/>
          <w:szCs w:val="21"/>
        </w:rPr>
      </w:pPr>
      <w:r>
        <w:rPr>
          <w:rFonts w:hint="eastAsia" w:ascii="宋体" w:hAnsi="宋体" w:eastAsia="宋体" w:cs="宋体"/>
          <w:sz w:val="21"/>
          <w:szCs w:val="21"/>
        </w:rPr>
        <w:t>门板采用双层隔温结构，门板外板采用2.0mm镀锌冷轧钢板制作，内板采用1.0mm镀锌冷轧钢板制作，双层之间必须有建设部允许的防火隔温材料，总厚度≥40mm</w:t>
      </w:r>
    </w:p>
    <w:p>
      <w:pPr>
        <w:topLinePunct/>
        <w:spacing w:line="400" w:lineRule="exact"/>
        <w:ind w:firstLine="412" w:firstLineChars="200"/>
        <w:jc w:val="left"/>
        <w:rPr>
          <w:rFonts w:hint="eastAsia" w:ascii="宋体" w:hAnsi="宋体" w:eastAsia="宋体" w:cs="宋体"/>
          <w:spacing w:val="-2"/>
          <w:sz w:val="21"/>
          <w:szCs w:val="21"/>
        </w:rPr>
      </w:pPr>
      <w:r>
        <w:rPr>
          <w:rFonts w:hint="eastAsia" w:ascii="宋体" w:hAnsi="宋体" w:eastAsia="宋体" w:cs="宋体"/>
          <w:spacing w:val="-2"/>
          <w:sz w:val="21"/>
          <w:szCs w:val="21"/>
        </w:rPr>
        <w:t>箱体框架为组装式结构，外表无焊道，整机无外漏螺栓，</w:t>
      </w:r>
      <w:r>
        <w:rPr>
          <w:rFonts w:hint="eastAsia" w:ascii="宋体" w:hAnsi="宋体" w:eastAsia="宋体" w:cs="宋体"/>
          <w:sz w:val="21"/>
          <w:szCs w:val="21"/>
        </w:rPr>
        <w:t>外壳框架采用无花镀锌板加工而成，板厚选用2.5mm</w:t>
      </w:r>
      <w:r>
        <w:rPr>
          <w:rFonts w:hint="eastAsia" w:ascii="宋体" w:hAnsi="宋体" w:eastAsia="宋体" w:cs="宋体"/>
          <w:spacing w:val="-2"/>
          <w:sz w:val="21"/>
          <w:szCs w:val="21"/>
        </w:rPr>
        <w:t>。</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箱体密封所采用的密封条必须是长寿命、高弹性产品，高压和低压的进出线电缆孔采用方便于密封的敲落孔并配有足够数量的密封胶圈。</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箱体外壳必须设计足够的机械强度，在起吊、运输和搬运、安装时不会变形或损伤；箱变外壳必须设计有方便钩挂的吊装机构，并保证吊装机构与箱体重心的协调，不会导致吊装过程中箱变倾斜；设计的外壳形状应不易积尘、积水；尽量少用外露紧固件，以免螺钉穿通外壳使水导入壳内；对穿通外壳的孔，均应采取相应的密封措施；外壳应防水、防震、防腐、防尘、防电燃。</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所有门应向外开，开启角度大于100，开门后不得发生明显晃动。门有密封措施，并装有把手和暗锁，门的设计尺寸与所装设备的尺寸相配合。设门控自动开闭的照明设施。箱体顶盖应有明显散水坡度，采用斜顶结构，陡坡角度为7°，顶部能够承受不小于2500N/m2的负荷。顶盖吊环采用符合GB/T 825-1988中的规定普通碳钢吊环，需保证在顶盖起吊时顶盖及吊环不发生变形，并确保箱顶不渗水、滴漏。</w:t>
      </w:r>
    </w:p>
    <w:p>
      <w:pPr>
        <w:wordWrap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箱式变电站的箱体应设专用接地导体，该接地导体上应设有与接地网相连接的固定接地端子，箱变内部各个隔室接地端子数量不少于1个，箱变外部接地端子数量不少于四个，并应有明显的接地标志。接地端子为直径不小于12mm的钢质螺栓。箱式变电站的金属骨架，高压配电装置、低压配电装置和变压器室的金属支架均应有符合技术条件的接地端子，并与专用接地导体可靠地连接在一起，箱变的接地电阻应小于1欧姆。</w:t>
      </w:r>
    </w:p>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注：箱变满足本地供电公司验收标准。</w:t>
      </w:r>
    </w:p>
    <w:p>
      <w:pPr>
        <w:pStyle w:val="2"/>
        <w:rPr>
          <w:rFonts w:hint="eastAsia" w:ascii="宋体" w:hAnsi="宋体" w:eastAsia="宋体" w:cs="宋体"/>
          <w:sz w:val="21"/>
          <w:szCs w:val="21"/>
          <w:lang w:val="en-US" w:eastAsia="zh-CN"/>
        </w:rPr>
      </w:pPr>
    </w:p>
    <w:p>
      <w:pPr>
        <w:pStyle w:val="2"/>
        <w:ind w:left="0" w:leftChars="0" w:firstLine="0" w:firstLineChars="0"/>
        <w:rPr>
          <w:rFonts w:hint="eastAsia" w:ascii="宋体" w:hAnsi="宋体" w:eastAsia="宋体" w:cs="宋体"/>
          <w:sz w:val="21"/>
          <w:szCs w:val="21"/>
          <w:lang w:val="en-US" w:eastAsia="zh-CN"/>
        </w:rPr>
      </w:pPr>
    </w:p>
    <w:p>
      <w:pPr>
        <w:pStyle w:val="2"/>
        <w:rPr>
          <w:rFonts w:hint="default" w:ascii="宋体" w:hAnsi="宋体" w:eastAsia="宋体" w:cs="宋体"/>
          <w:sz w:val="21"/>
          <w:szCs w:val="21"/>
          <w:lang w:val="en-US" w:eastAsia="zh-CN"/>
        </w:rPr>
      </w:pPr>
    </w:p>
    <w:p>
      <w:pPr>
        <w:rPr>
          <w:sz w:val="21"/>
          <w:szCs w:val="21"/>
        </w:rPr>
      </w:pPr>
    </w:p>
    <w:p>
      <w:pPr>
        <w:pStyle w:val="1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napToGrid/>
          <w:color w:val="auto"/>
          <w:kern w:val="2"/>
          <w:sz w:val="21"/>
          <w:szCs w:val="21"/>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libri Light">
    <w:altName w:val="Calibri"/>
    <w:panose1 w:val="020F0302020204030204"/>
    <w:charset w:val="00"/>
    <w:family w:val="auto"/>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8016822"/>
    </w:sdtPr>
    <w:sdtContent>
      <w:p>
        <w:pPr>
          <w:pStyle w:val="6"/>
          <w:jc w:val="center"/>
        </w:pPr>
        <w:r>
          <w:fldChar w:fldCharType="begin"/>
        </w:r>
        <w:r>
          <w:instrText xml:space="preserve">PAGE   \* MERGEFORMAT</w:instrText>
        </w:r>
        <w:r>
          <w:fldChar w:fldCharType="separate"/>
        </w:r>
        <w:r>
          <w:rPr>
            <w:lang w:val="zh-CN"/>
          </w:rPr>
          <w:t>17</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97A17"/>
    <w:multiLevelType w:val="multilevel"/>
    <w:tmpl w:val="7E597A17"/>
    <w:lvl w:ilvl="0" w:tentative="0">
      <w:start w:val="1"/>
      <w:numFmt w:val="decimal"/>
      <w:pStyle w:val="3"/>
      <w:suff w:val="space"/>
      <w:lvlText w:val="%1"/>
      <w:lvlJc w:val="left"/>
      <w:pPr>
        <w:ind w:left="0" w:firstLine="0"/>
      </w:pPr>
      <w:rPr>
        <w:rFonts w:hint="eastAsia"/>
      </w:rPr>
    </w:lvl>
    <w:lvl w:ilvl="1" w:tentative="0">
      <w:start w:val="1"/>
      <w:numFmt w:val="decimal"/>
      <w:pStyle w:val="4"/>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Dg3OGEzNjk0ZGM2YmY4NWI1YmEwNGRhMDNiY2QifQ=="/>
    <w:docVar w:name="KSO_WPS_MARK_KEY" w:val="5796c229-6e1a-4fce-85b3-3aafe08ede0f"/>
  </w:docVars>
  <w:rsids>
    <w:rsidRoot w:val="00000000"/>
    <w:rsid w:val="00146DAB"/>
    <w:rsid w:val="005A771B"/>
    <w:rsid w:val="00DE3995"/>
    <w:rsid w:val="00F92BA5"/>
    <w:rsid w:val="01035594"/>
    <w:rsid w:val="015E0632"/>
    <w:rsid w:val="01887ECD"/>
    <w:rsid w:val="02612B5C"/>
    <w:rsid w:val="0272144E"/>
    <w:rsid w:val="02E828A9"/>
    <w:rsid w:val="031F3DF1"/>
    <w:rsid w:val="039C3694"/>
    <w:rsid w:val="03EC37E6"/>
    <w:rsid w:val="03F25F60"/>
    <w:rsid w:val="046E6DDE"/>
    <w:rsid w:val="052514A0"/>
    <w:rsid w:val="05524952"/>
    <w:rsid w:val="06037123"/>
    <w:rsid w:val="07C531B9"/>
    <w:rsid w:val="080812F8"/>
    <w:rsid w:val="08471E20"/>
    <w:rsid w:val="0849203C"/>
    <w:rsid w:val="08FD3CE7"/>
    <w:rsid w:val="097D04E3"/>
    <w:rsid w:val="09C63218"/>
    <w:rsid w:val="09CA53FD"/>
    <w:rsid w:val="0A1C72DC"/>
    <w:rsid w:val="0A4A209B"/>
    <w:rsid w:val="0A7D5FCD"/>
    <w:rsid w:val="0A8C4462"/>
    <w:rsid w:val="0B574A70"/>
    <w:rsid w:val="0BC814CA"/>
    <w:rsid w:val="0BD55F39"/>
    <w:rsid w:val="0C0D512F"/>
    <w:rsid w:val="0C112E71"/>
    <w:rsid w:val="0C5401BA"/>
    <w:rsid w:val="0CD8573D"/>
    <w:rsid w:val="0CEC568C"/>
    <w:rsid w:val="0D0C188A"/>
    <w:rsid w:val="0D521193"/>
    <w:rsid w:val="0D6F41CB"/>
    <w:rsid w:val="0DDB6DA5"/>
    <w:rsid w:val="0EA1103E"/>
    <w:rsid w:val="0EA33B28"/>
    <w:rsid w:val="0ED745A1"/>
    <w:rsid w:val="0EF16F8A"/>
    <w:rsid w:val="0F372067"/>
    <w:rsid w:val="0F73799F"/>
    <w:rsid w:val="10417A9D"/>
    <w:rsid w:val="1085552B"/>
    <w:rsid w:val="10D87574"/>
    <w:rsid w:val="11140D0D"/>
    <w:rsid w:val="11715B79"/>
    <w:rsid w:val="11AC7198"/>
    <w:rsid w:val="11CB0D27"/>
    <w:rsid w:val="11E13435"/>
    <w:rsid w:val="12170866"/>
    <w:rsid w:val="12A06CFD"/>
    <w:rsid w:val="12FE7EC7"/>
    <w:rsid w:val="13225964"/>
    <w:rsid w:val="13E12C8B"/>
    <w:rsid w:val="141952D2"/>
    <w:rsid w:val="14465682"/>
    <w:rsid w:val="14A566F8"/>
    <w:rsid w:val="14CC4197"/>
    <w:rsid w:val="14DC5FE6"/>
    <w:rsid w:val="154F1657"/>
    <w:rsid w:val="16196E54"/>
    <w:rsid w:val="165A18B8"/>
    <w:rsid w:val="16FE0496"/>
    <w:rsid w:val="173C4B1A"/>
    <w:rsid w:val="1804388A"/>
    <w:rsid w:val="18787DD4"/>
    <w:rsid w:val="18B0756E"/>
    <w:rsid w:val="18ED07C2"/>
    <w:rsid w:val="191A70DD"/>
    <w:rsid w:val="19481E9C"/>
    <w:rsid w:val="19616D90"/>
    <w:rsid w:val="1A3C20D0"/>
    <w:rsid w:val="1AB53561"/>
    <w:rsid w:val="1B0D6EF9"/>
    <w:rsid w:val="1B154000"/>
    <w:rsid w:val="1B2B3823"/>
    <w:rsid w:val="1B4A1EFB"/>
    <w:rsid w:val="1BDE43F2"/>
    <w:rsid w:val="1CE95F19"/>
    <w:rsid w:val="1D0C4F8F"/>
    <w:rsid w:val="1D4209B0"/>
    <w:rsid w:val="1D626E38"/>
    <w:rsid w:val="1E0F2F88"/>
    <w:rsid w:val="1E2D340E"/>
    <w:rsid w:val="1E413C3E"/>
    <w:rsid w:val="1E845724"/>
    <w:rsid w:val="1E8C6387"/>
    <w:rsid w:val="1EE47F71"/>
    <w:rsid w:val="1EF04B68"/>
    <w:rsid w:val="1EF15D50"/>
    <w:rsid w:val="1F5A46D7"/>
    <w:rsid w:val="1FD46237"/>
    <w:rsid w:val="200C2798"/>
    <w:rsid w:val="20B62501"/>
    <w:rsid w:val="20B87907"/>
    <w:rsid w:val="211B39F2"/>
    <w:rsid w:val="219534E9"/>
    <w:rsid w:val="21C10A3D"/>
    <w:rsid w:val="22026029"/>
    <w:rsid w:val="23177672"/>
    <w:rsid w:val="236B0C61"/>
    <w:rsid w:val="238C05C8"/>
    <w:rsid w:val="23A733AA"/>
    <w:rsid w:val="23EA365C"/>
    <w:rsid w:val="24284DA4"/>
    <w:rsid w:val="25014CD3"/>
    <w:rsid w:val="25B34B41"/>
    <w:rsid w:val="26506717"/>
    <w:rsid w:val="27B16D96"/>
    <w:rsid w:val="27CC1EEA"/>
    <w:rsid w:val="28550131"/>
    <w:rsid w:val="28E86F25"/>
    <w:rsid w:val="29257B04"/>
    <w:rsid w:val="2944442E"/>
    <w:rsid w:val="2A32072A"/>
    <w:rsid w:val="2A330776"/>
    <w:rsid w:val="2A336250"/>
    <w:rsid w:val="2A355B25"/>
    <w:rsid w:val="2A3D0E7D"/>
    <w:rsid w:val="2A832D34"/>
    <w:rsid w:val="2A8F7CF5"/>
    <w:rsid w:val="2AA333D6"/>
    <w:rsid w:val="2AE632C3"/>
    <w:rsid w:val="2B4D50F0"/>
    <w:rsid w:val="2C341418"/>
    <w:rsid w:val="2C6C28F4"/>
    <w:rsid w:val="2D2D61D4"/>
    <w:rsid w:val="2D7368E3"/>
    <w:rsid w:val="2D7B23E8"/>
    <w:rsid w:val="2DA07759"/>
    <w:rsid w:val="2E192781"/>
    <w:rsid w:val="2E3D31FA"/>
    <w:rsid w:val="2E782484"/>
    <w:rsid w:val="2E7A444E"/>
    <w:rsid w:val="2E823302"/>
    <w:rsid w:val="2E8C4181"/>
    <w:rsid w:val="2EFC30B5"/>
    <w:rsid w:val="2F3E36CD"/>
    <w:rsid w:val="2F5702EB"/>
    <w:rsid w:val="2FBE036A"/>
    <w:rsid w:val="2FD933F6"/>
    <w:rsid w:val="2FED29FE"/>
    <w:rsid w:val="30B11C7D"/>
    <w:rsid w:val="30E12562"/>
    <w:rsid w:val="31197231"/>
    <w:rsid w:val="318850D4"/>
    <w:rsid w:val="318B0720"/>
    <w:rsid w:val="319514D0"/>
    <w:rsid w:val="31F42362"/>
    <w:rsid w:val="32222E32"/>
    <w:rsid w:val="3232576B"/>
    <w:rsid w:val="324803BF"/>
    <w:rsid w:val="32700042"/>
    <w:rsid w:val="33AA1331"/>
    <w:rsid w:val="33D908A0"/>
    <w:rsid w:val="34574C7C"/>
    <w:rsid w:val="345E3ECA"/>
    <w:rsid w:val="34637732"/>
    <w:rsid w:val="354632DC"/>
    <w:rsid w:val="356221AA"/>
    <w:rsid w:val="357A7B49"/>
    <w:rsid w:val="35AB382B"/>
    <w:rsid w:val="36070CBD"/>
    <w:rsid w:val="366A4DA8"/>
    <w:rsid w:val="36780B29"/>
    <w:rsid w:val="368816D2"/>
    <w:rsid w:val="36B81FB7"/>
    <w:rsid w:val="36D05553"/>
    <w:rsid w:val="37071AD9"/>
    <w:rsid w:val="373C4996"/>
    <w:rsid w:val="37DC7F27"/>
    <w:rsid w:val="37E143D6"/>
    <w:rsid w:val="38593B40"/>
    <w:rsid w:val="38674C5D"/>
    <w:rsid w:val="38E15F1D"/>
    <w:rsid w:val="399369C7"/>
    <w:rsid w:val="39F01A68"/>
    <w:rsid w:val="3A064DE8"/>
    <w:rsid w:val="3AD662A1"/>
    <w:rsid w:val="3B243A39"/>
    <w:rsid w:val="3B800BCA"/>
    <w:rsid w:val="3B892174"/>
    <w:rsid w:val="3B8B1A48"/>
    <w:rsid w:val="3BCB62E9"/>
    <w:rsid w:val="3BED2703"/>
    <w:rsid w:val="3C033CD5"/>
    <w:rsid w:val="3C4B11D8"/>
    <w:rsid w:val="3C5C5193"/>
    <w:rsid w:val="3D0A1093"/>
    <w:rsid w:val="3D112A25"/>
    <w:rsid w:val="3D595B76"/>
    <w:rsid w:val="3E0A5BCC"/>
    <w:rsid w:val="3E9625D9"/>
    <w:rsid w:val="3F255D10"/>
    <w:rsid w:val="3FAF1572"/>
    <w:rsid w:val="3FB47094"/>
    <w:rsid w:val="3FB866E5"/>
    <w:rsid w:val="40017322"/>
    <w:rsid w:val="400718BA"/>
    <w:rsid w:val="404D1186"/>
    <w:rsid w:val="406867FC"/>
    <w:rsid w:val="40EC39E1"/>
    <w:rsid w:val="41202C33"/>
    <w:rsid w:val="41377F7D"/>
    <w:rsid w:val="42204EB5"/>
    <w:rsid w:val="422420A8"/>
    <w:rsid w:val="42602EB2"/>
    <w:rsid w:val="43192030"/>
    <w:rsid w:val="43B33CC9"/>
    <w:rsid w:val="44417B9E"/>
    <w:rsid w:val="44760DBC"/>
    <w:rsid w:val="44A932FE"/>
    <w:rsid w:val="44D46CC3"/>
    <w:rsid w:val="458A4B1F"/>
    <w:rsid w:val="45910331"/>
    <w:rsid w:val="470B1C8F"/>
    <w:rsid w:val="47130AEF"/>
    <w:rsid w:val="474E7DCE"/>
    <w:rsid w:val="476F0470"/>
    <w:rsid w:val="47762884"/>
    <w:rsid w:val="47E50732"/>
    <w:rsid w:val="480E669F"/>
    <w:rsid w:val="48276F9D"/>
    <w:rsid w:val="485A30A4"/>
    <w:rsid w:val="488F68F0"/>
    <w:rsid w:val="48967C7F"/>
    <w:rsid w:val="49523BA5"/>
    <w:rsid w:val="498E6BA8"/>
    <w:rsid w:val="4AD8530D"/>
    <w:rsid w:val="4B013AD5"/>
    <w:rsid w:val="4B1C090F"/>
    <w:rsid w:val="4B667F63"/>
    <w:rsid w:val="4B7F49FA"/>
    <w:rsid w:val="4BCD1C09"/>
    <w:rsid w:val="4C6360CA"/>
    <w:rsid w:val="4C742085"/>
    <w:rsid w:val="4CBB7CB4"/>
    <w:rsid w:val="4DFD1678"/>
    <w:rsid w:val="4E0B6FA0"/>
    <w:rsid w:val="4E455429"/>
    <w:rsid w:val="4E791BD4"/>
    <w:rsid w:val="4EC74CDD"/>
    <w:rsid w:val="4F161B19"/>
    <w:rsid w:val="4F281AC6"/>
    <w:rsid w:val="4FA178D7"/>
    <w:rsid w:val="4FC04209"/>
    <w:rsid w:val="50084BCD"/>
    <w:rsid w:val="50E0418D"/>
    <w:rsid w:val="511856D5"/>
    <w:rsid w:val="5257047F"/>
    <w:rsid w:val="52E95F1E"/>
    <w:rsid w:val="5305612D"/>
    <w:rsid w:val="53253728"/>
    <w:rsid w:val="53620E89"/>
    <w:rsid w:val="53694FBA"/>
    <w:rsid w:val="537A08C9"/>
    <w:rsid w:val="53B97094"/>
    <w:rsid w:val="53C41F32"/>
    <w:rsid w:val="53D5514A"/>
    <w:rsid w:val="53D55AFF"/>
    <w:rsid w:val="53DF697E"/>
    <w:rsid w:val="54040192"/>
    <w:rsid w:val="55CE0A58"/>
    <w:rsid w:val="55F06C20"/>
    <w:rsid w:val="563D3E2F"/>
    <w:rsid w:val="56A25A40"/>
    <w:rsid w:val="581B37CE"/>
    <w:rsid w:val="58313520"/>
    <w:rsid w:val="58466FCB"/>
    <w:rsid w:val="593037D7"/>
    <w:rsid w:val="59B14918"/>
    <w:rsid w:val="59CC3500"/>
    <w:rsid w:val="59CE0AF1"/>
    <w:rsid w:val="5A510904"/>
    <w:rsid w:val="5A903FE6"/>
    <w:rsid w:val="5AF116BD"/>
    <w:rsid w:val="5B800A46"/>
    <w:rsid w:val="5B8322E4"/>
    <w:rsid w:val="5B920779"/>
    <w:rsid w:val="5B953DC6"/>
    <w:rsid w:val="5BA54009"/>
    <w:rsid w:val="5BBD57F6"/>
    <w:rsid w:val="5BDE576D"/>
    <w:rsid w:val="5C2514CA"/>
    <w:rsid w:val="5C451348"/>
    <w:rsid w:val="5C8B76A2"/>
    <w:rsid w:val="5C8E2CEF"/>
    <w:rsid w:val="5CFC234E"/>
    <w:rsid w:val="5D1A6C78"/>
    <w:rsid w:val="5D720862"/>
    <w:rsid w:val="5E453881"/>
    <w:rsid w:val="5E547F68"/>
    <w:rsid w:val="5E897C12"/>
    <w:rsid w:val="60B13450"/>
    <w:rsid w:val="60DB04CD"/>
    <w:rsid w:val="615D0EE2"/>
    <w:rsid w:val="617E041A"/>
    <w:rsid w:val="61840B64"/>
    <w:rsid w:val="61AA7405"/>
    <w:rsid w:val="627F7995"/>
    <w:rsid w:val="635579ED"/>
    <w:rsid w:val="64C33752"/>
    <w:rsid w:val="65332685"/>
    <w:rsid w:val="65735178"/>
    <w:rsid w:val="65764C68"/>
    <w:rsid w:val="657C227E"/>
    <w:rsid w:val="659B647C"/>
    <w:rsid w:val="659D53C0"/>
    <w:rsid w:val="65AB02FC"/>
    <w:rsid w:val="65C71307"/>
    <w:rsid w:val="662704FC"/>
    <w:rsid w:val="662E109F"/>
    <w:rsid w:val="663E7534"/>
    <w:rsid w:val="66DB02DB"/>
    <w:rsid w:val="671B1187"/>
    <w:rsid w:val="674212A6"/>
    <w:rsid w:val="67BC1058"/>
    <w:rsid w:val="68182006"/>
    <w:rsid w:val="68FC5484"/>
    <w:rsid w:val="69230C63"/>
    <w:rsid w:val="692F13B6"/>
    <w:rsid w:val="69342E70"/>
    <w:rsid w:val="69C53AC8"/>
    <w:rsid w:val="6B4A0729"/>
    <w:rsid w:val="6BFD39ED"/>
    <w:rsid w:val="6C885270"/>
    <w:rsid w:val="6CB0280D"/>
    <w:rsid w:val="6CB71DEE"/>
    <w:rsid w:val="6D2C27DC"/>
    <w:rsid w:val="6D2D0302"/>
    <w:rsid w:val="6DBB3B60"/>
    <w:rsid w:val="6DD64031"/>
    <w:rsid w:val="6E2711F5"/>
    <w:rsid w:val="6E3631E6"/>
    <w:rsid w:val="6ED749C9"/>
    <w:rsid w:val="6EDE341F"/>
    <w:rsid w:val="6FFB46E7"/>
    <w:rsid w:val="70785D38"/>
    <w:rsid w:val="7081340A"/>
    <w:rsid w:val="70871AD7"/>
    <w:rsid w:val="71094BE2"/>
    <w:rsid w:val="71662034"/>
    <w:rsid w:val="71B0505E"/>
    <w:rsid w:val="71C805F9"/>
    <w:rsid w:val="720D24B0"/>
    <w:rsid w:val="72A1515A"/>
    <w:rsid w:val="72C36EB5"/>
    <w:rsid w:val="73010267"/>
    <w:rsid w:val="73886292"/>
    <w:rsid w:val="74086B9E"/>
    <w:rsid w:val="74091319"/>
    <w:rsid w:val="747131CA"/>
    <w:rsid w:val="748A603A"/>
    <w:rsid w:val="74A2737D"/>
    <w:rsid w:val="751002ED"/>
    <w:rsid w:val="755D71C1"/>
    <w:rsid w:val="75622B13"/>
    <w:rsid w:val="756E14B8"/>
    <w:rsid w:val="75952EE8"/>
    <w:rsid w:val="76760624"/>
    <w:rsid w:val="76E7115C"/>
    <w:rsid w:val="76F31C74"/>
    <w:rsid w:val="770C2D36"/>
    <w:rsid w:val="77B75398"/>
    <w:rsid w:val="78232A2D"/>
    <w:rsid w:val="7827500D"/>
    <w:rsid w:val="78801C2E"/>
    <w:rsid w:val="793622EC"/>
    <w:rsid w:val="797B443C"/>
    <w:rsid w:val="79C04467"/>
    <w:rsid w:val="79CD0EA3"/>
    <w:rsid w:val="7A230AC3"/>
    <w:rsid w:val="7A3C7DD6"/>
    <w:rsid w:val="7A4822D7"/>
    <w:rsid w:val="7B962638"/>
    <w:rsid w:val="7BBD0AA3"/>
    <w:rsid w:val="7C280612"/>
    <w:rsid w:val="7C817D22"/>
    <w:rsid w:val="7D376633"/>
    <w:rsid w:val="7D4F0035"/>
    <w:rsid w:val="7D5471E5"/>
    <w:rsid w:val="7E1953B6"/>
    <w:rsid w:val="7E265025"/>
    <w:rsid w:val="7E6873EC"/>
    <w:rsid w:val="7EB50157"/>
    <w:rsid w:val="7EDA77F4"/>
    <w:rsid w:val="7EEC1DCB"/>
    <w:rsid w:val="7F5D6825"/>
    <w:rsid w:val="7F8F6BFA"/>
    <w:rsid w:val="7FAE36AB"/>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numPr>
        <w:ilvl w:val="0"/>
        <w:numId w:val="1"/>
      </w:numPr>
      <w:spacing w:line="300" w:lineRule="auto"/>
      <w:jc w:val="left"/>
      <w:outlineLvl w:val="0"/>
    </w:pPr>
    <w:rPr>
      <w:b/>
      <w:bCs/>
      <w:kern w:val="44"/>
      <w:sz w:val="30"/>
      <w:szCs w:val="44"/>
    </w:rPr>
  </w:style>
  <w:style w:type="paragraph" w:styleId="4">
    <w:name w:val="heading 2"/>
    <w:basedOn w:val="1"/>
    <w:next w:val="1"/>
    <w:unhideWhenUsed/>
    <w:qFormat/>
    <w:uiPriority w:val="9"/>
    <w:pPr>
      <w:keepNext/>
      <w:keepLines/>
      <w:numPr>
        <w:ilvl w:val="1"/>
        <w:numId w:val="1"/>
      </w:numPr>
      <w:adjustRightInd w:val="0"/>
      <w:snapToGrid w:val="0"/>
      <w:spacing w:line="300" w:lineRule="auto"/>
      <w:jc w:val="left"/>
      <w:outlineLvl w:val="1"/>
    </w:pPr>
    <w:rPr>
      <w:rFonts w:asciiTheme="majorHAnsi" w:hAnsiTheme="majorHAnsi" w:cstheme="majorBidi"/>
      <w:b/>
      <w:bCs/>
      <w:sz w:val="28"/>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0"/>
    </w:rPr>
  </w:style>
  <w:style w:type="paragraph" w:styleId="5">
    <w:name w:val="Normal Indent"/>
    <w:basedOn w:val="1"/>
    <w:qFormat/>
    <w:uiPriority w:val="0"/>
    <w:pPr>
      <w:ind w:firstLine="420"/>
    </w:pPr>
  </w:style>
  <w:style w:type="paragraph" w:styleId="6">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文"/>
    <w:basedOn w:val="1"/>
    <w:qFormat/>
    <w:uiPriority w:val="0"/>
    <w:pPr>
      <w:topLinePunct/>
      <w:spacing w:before="40" w:after="40"/>
    </w:pPr>
    <w:rPr>
      <w:rFonts w:ascii="仿宋_GB2312" w:hAnsi="仿宋_GB2312" w:eastAsia="仿宋_GB2312"/>
      <w:sz w:val="18"/>
    </w:rPr>
  </w:style>
  <w:style w:type="paragraph" w:customStyle="1" w:styleId="11">
    <w:name w:val="表格内字体字号"/>
    <w:basedOn w:val="1"/>
    <w:qFormat/>
    <w:uiPriority w:val="0"/>
    <w:pPr>
      <w:topLinePunct/>
      <w:snapToGrid w:val="0"/>
      <w:spacing w:beforeLines="20" w:afterLines="20"/>
      <w:ind w:left="30" w:leftChars="30" w:right="30" w:rightChars="30"/>
      <w:jc w:val="center"/>
    </w:pPr>
    <w:rPr>
      <w:rFonts w:ascii="Calibri" w:hAnsi="Calibri"/>
      <w:sz w:val="18"/>
      <w:szCs w:val="18"/>
    </w:rPr>
  </w:style>
  <w:style w:type="paragraph" w:customStyle="1" w:styleId="12">
    <w:name w:val="样式 首行缩进:  2 字符"/>
    <w:basedOn w:val="13"/>
    <w:qFormat/>
    <w:uiPriority w:val="0"/>
    <w:pPr>
      <w:spacing w:beforeLines="50" w:afterLines="50"/>
      <w:ind w:firstLine="480" w:firstLineChars="200"/>
    </w:pPr>
    <w:rPr>
      <w:snapToGrid w:val="0"/>
      <w:color w:val="000000"/>
      <w:szCs w:val="20"/>
    </w:rPr>
  </w:style>
  <w:style w:type="paragraph" w:customStyle="1" w:styleId="13">
    <w:name w:val="正文_0"/>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10165</Words>
  <Characters>11369</Characters>
  <Lines>0</Lines>
  <Paragraphs>0</Paragraphs>
  <TotalTime>1</TotalTime>
  <ScaleCrop>false</ScaleCrop>
  <LinksUpToDate>false</LinksUpToDate>
  <CharactersWithSpaces>11552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2024-10-23T05:35:00Z</dcterms:created>
  <dc:creator>Administrator</dc:creator>
  <cp:lastModifiedBy>1</cp:lastModifiedBy>
  <dcterms:modified xsi:type="dcterms:W3CDTF">2024-11-14T01:40:05Z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B7EAA9963EDF473CB3D6D1F37769B1D3_12</vt:lpwstr>
  </property>
</Properties>
</file>