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A19D73">
      <w:pPr>
        <w:spacing w:before="75" w:line="221" w:lineRule="auto"/>
        <w:ind w:left="16"/>
        <w:rPr>
          <w:rFonts w:hint="eastAsia" w:ascii="宋体" w:hAnsi="宋体" w:eastAsia="宋体" w:cs="宋体"/>
          <w:b/>
          <w:bCs/>
          <w:spacing w:val="9"/>
          <w:sz w:val="19"/>
          <w:szCs w:val="19"/>
          <w:lang w:eastAsia="zh-CN"/>
        </w:rPr>
      </w:pPr>
      <w:r>
        <w:rPr>
          <w:rFonts w:hint="eastAsia" w:ascii="宋体" w:hAnsi="宋体" w:eastAsia="宋体" w:cs="宋体"/>
          <w:b/>
          <w:bCs/>
          <w:spacing w:val="9"/>
          <w:sz w:val="19"/>
          <w:szCs w:val="19"/>
          <w:lang w:eastAsia="zh-CN"/>
        </w:rPr>
        <w:t>附表五：现代电工技术实训室  是否进口：</w:t>
      </w:r>
      <w:r>
        <w:rPr>
          <w:rFonts w:hint="eastAsia" w:ascii="宋体" w:hAnsi="宋体" w:eastAsia="宋体" w:cs="宋体"/>
          <w:b/>
          <w:bCs/>
          <w:spacing w:val="-51"/>
          <w:sz w:val="19"/>
          <w:szCs w:val="19"/>
          <w:lang w:eastAsia="zh-CN"/>
        </w:rPr>
        <w:t xml:space="preserve"> </w:t>
      </w:r>
      <w:r>
        <w:rPr>
          <w:rFonts w:hint="eastAsia" w:ascii="宋体" w:hAnsi="宋体" w:eastAsia="宋体" w:cs="宋体"/>
          <w:b/>
          <w:bCs/>
          <w:spacing w:val="9"/>
          <w:sz w:val="19"/>
          <w:szCs w:val="19"/>
          <w:lang w:eastAsia="zh-CN"/>
        </w:rPr>
        <w:t>否</w:t>
      </w:r>
    </w:p>
    <w:p w14:paraId="15289F24">
      <w:pPr>
        <w:spacing w:before="75" w:line="221" w:lineRule="auto"/>
        <w:ind w:left="16"/>
        <w:rPr>
          <w:rFonts w:hint="eastAsia" w:ascii="宋体" w:hAnsi="宋体" w:eastAsia="宋体" w:cs="宋体"/>
          <w:b/>
          <w:bCs/>
          <w:sz w:val="19"/>
          <w:szCs w:val="19"/>
          <w:lang w:eastAsia="zh-CN"/>
        </w:rPr>
      </w:pPr>
    </w:p>
    <w:p w14:paraId="082221FE">
      <w:pPr>
        <w:spacing w:line="106" w:lineRule="exact"/>
        <w:rPr>
          <w:rFonts w:hint="eastAsia" w:ascii="宋体" w:hAnsi="宋体" w:eastAsia="宋体" w:cs="宋体"/>
          <w:lang w:eastAsia="zh-CN"/>
        </w:rPr>
      </w:pPr>
    </w:p>
    <w:tbl>
      <w:tblPr>
        <w:tblStyle w:val="6"/>
        <w:tblW w:w="105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1"/>
        <w:gridCol w:w="527"/>
        <w:gridCol w:w="8964"/>
      </w:tblGrid>
      <w:tr w14:paraId="1B86BB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1" w:hRule="atLeast"/>
          <w:jc w:val="center"/>
        </w:trPr>
        <w:tc>
          <w:tcPr>
            <w:tcW w:w="1061" w:type="dxa"/>
          </w:tcPr>
          <w:p w14:paraId="207EBF41">
            <w:pPr>
              <w:spacing w:before="281" w:line="360" w:lineRule="auto"/>
              <w:ind w:left="107"/>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1"/>
                <w:sz w:val="18"/>
                <w:szCs w:val="18"/>
              </w:rPr>
              <w:t>参数性质</w:t>
            </w:r>
          </w:p>
        </w:tc>
        <w:tc>
          <w:tcPr>
            <w:tcW w:w="527" w:type="dxa"/>
            <w:textDirection w:val="tbRlV"/>
          </w:tcPr>
          <w:p w14:paraId="397BDA02">
            <w:pPr>
              <w:spacing w:before="233" w:line="360" w:lineRule="auto"/>
              <w:ind w:left="8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1"/>
                <w:sz w:val="18"/>
                <w:szCs w:val="18"/>
              </w:rPr>
              <w:t>序  号</w:t>
            </w:r>
          </w:p>
        </w:tc>
        <w:tc>
          <w:tcPr>
            <w:tcW w:w="8964" w:type="dxa"/>
          </w:tcPr>
          <w:p w14:paraId="5F675DCF">
            <w:pPr>
              <w:spacing w:before="280" w:line="360" w:lineRule="auto"/>
              <w:ind w:left="105"/>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3"/>
                <w:sz w:val="18"/>
                <w:szCs w:val="18"/>
              </w:rPr>
              <w:t>具体技术(参数)要求</w:t>
            </w:r>
          </w:p>
        </w:tc>
      </w:tr>
      <w:tr w14:paraId="2BE209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jc w:val="center"/>
        </w:trPr>
        <w:tc>
          <w:tcPr>
            <w:tcW w:w="1061" w:type="dxa"/>
          </w:tcPr>
          <w:p w14:paraId="1ACC1812">
            <w:pPr>
              <w:spacing w:line="360" w:lineRule="auto"/>
              <w:rPr>
                <w:rFonts w:hint="eastAsia" w:asciiTheme="minorEastAsia" w:hAnsiTheme="minorEastAsia" w:eastAsiaTheme="minorEastAsia" w:cstheme="minorEastAsia"/>
                <w:sz w:val="18"/>
                <w:szCs w:val="18"/>
              </w:rPr>
            </w:pPr>
          </w:p>
        </w:tc>
        <w:tc>
          <w:tcPr>
            <w:tcW w:w="527" w:type="dxa"/>
          </w:tcPr>
          <w:p w14:paraId="22C42CA1">
            <w:pPr>
              <w:spacing w:before="111" w:line="360" w:lineRule="auto"/>
              <w:ind w:left="114"/>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w:t>
            </w:r>
          </w:p>
        </w:tc>
        <w:tc>
          <w:tcPr>
            <w:tcW w:w="8964" w:type="dxa"/>
            <w:vAlign w:val="bottom"/>
          </w:tcPr>
          <w:p w14:paraId="5AF0D7E8">
            <w:pPr>
              <w:spacing w:line="360" w:lineRule="auto"/>
              <w:textAlignment w:val="bottom"/>
              <w:rPr>
                <w:rFonts w:hint="eastAsia" w:asciiTheme="minorEastAsia" w:hAnsiTheme="minorEastAsia" w:eastAsiaTheme="minorEastAsia" w:cstheme="minorEastAsia"/>
                <w:b/>
                <w:bCs/>
                <w:sz w:val="18"/>
                <w:szCs w:val="18"/>
                <w:lang w:eastAsia="zh-CN" w:bidi="ar"/>
              </w:rPr>
            </w:pPr>
            <w:r>
              <w:rPr>
                <w:rFonts w:hint="eastAsia" w:asciiTheme="minorEastAsia" w:hAnsiTheme="minorEastAsia" w:eastAsiaTheme="minorEastAsia" w:cstheme="minorEastAsia"/>
                <w:b/>
                <w:bCs/>
                <w:sz w:val="18"/>
                <w:szCs w:val="18"/>
                <w:lang w:eastAsia="zh-CN" w:bidi="ar"/>
              </w:rPr>
              <w:t>网络维修电工高级技师实训智能考核装置：5套</w:t>
            </w:r>
          </w:p>
          <w:p w14:paraId="5C910CEE">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1、输入电源：三相四线（或三相五线）～380V±10%  50Hz</w:t>
            </w:r>
          </w:p>
          <w:p w14:paraId="6CE613E7">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2、电源输出：有漏电型保护器、过载、短路保护装置。</w:t>
            </w:r>
          </w:p>
          <w:p w14:paraId="2E016886">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3、三相四线380V输出，由三只电压表指示输出电压</w:t>
            </w:r>
          </w:p>
          <w:p w14:paraId="1DF9468A">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4、～220V通过安全插座输出</w:t>
            </w:r>
          </w:p>
          <w:p w14:paraId="3C908304">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5、+24V/2A直流稳压电源输出</w:t>
            </w:r>
          </w:p>
          <w:p w14:paraId="0DC2CF25">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6、+5V/1A直流稳压电源输出</w:t>
            </w:r>
          </w:p>
          <w:p w14:paraId="2153A75F">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7、±12V/1A直流稳压电源输出</w:t>
            </w:r>
            <w:bookmarkStart w:id="0" w:name="_GoBack"/>
            <w:bookmarkEnd w:id="0"/>
          </w:p>
          <w:p w14:paraId="1564B395">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8、直流电压：0～10V可调输出；直流电流：4～20mA可调输出</w:t>
            </w:r>
          </w:p>
          <w:p w14:paraId="6EB0EB7D">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9、工作环境：温度-10℃～+40℃  相对湿度＜85%(25℃)  海拔&lt;400m</w:t>
            </w:r>
          </w:p>
          <w:p w14:paraId="2289C22F">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10、装置容量：＜1KVA</w:t>
            </w:r>
          </w:p>
          <w:p w14:paraId="3BB1AE4B">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11、重量：＜110Kg</w:t>
            </w:r>
          </w:p>
          <w:p w14:paraId="668924CA">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12、外形尺寸：1600mm×700mm×1600mm±10%</w:t>
            </w:r>
          </w:p>
          <w:p w14:paraId="55E1F73C">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13、安全保护：具有漏电压、漏电流保护装置，安全符合国家标准</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14、实训装置由控制屏、实训桌、主机实训组件、实训模块（含丰富的工业现场设备模拟实训对象）、变频器挂箱、触摸屏挂箱、交直流电机、总线单元、通信模块、电机导轨、测速机构等组成。</w:t>
            </w:r>
          </w:p>
          <w:p w14:paraId="212684D7">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15、交流电源控制单元：三相四线380V交流电源经空气开关后给装置供电，电网电压表监控电网电压，设有带灯保险丝保护，控制屏的供电由钥匙开关和启停开关控制，同时具有漏电告警指示及告警复位。提供三相四线380V、单相220V电源各一组，由启停开关控制输出，并设有保险丝保护。</w:t>
            </w:r>
          </w:p>
          <w:p w14:paraId="4B2148B7">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2、定时器兼报警记录仪：定时器兼报警记录仪，平时作时钟使用，具有设定时间、定时报警、切断电源等功能；还可自动记录由于接线或操作错误所造成的漏电告警次数。</w:t>
            </w:r>
          </w:p>
          <w:p w14:paraId="6600AED8">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3、直流电压：0～10V可调输出；直流电流：0～20mA可调输出；直流数字电压表/电流表；电压表量程0～200V、输入阻抗为10M</w:t>
            </w:r>
            <w:r>
              <w:rPr>
                <w:rFonts w:hint="eastAsia" w:asciiTheme="minorEastAsia" w:hAnsiTheme="minorEastAsia" w:eastAsiaTheme="minorEastAsia" w:cstheme="minorEastAsia"/>
                <w:sz w:val="18"/>
                <w:szCs w:val="18"/>
              </w:rPr>
              <w:t>Ω</w:t>
            </w:r>
            <w:r>
              <w:rPr>
                <w:rFonts w:hint="eastAsia" w:asciiTheme="minorEastAsia" w:hAnsiTheme="minorEastAsia" w:eastAsiaTheme="minorEastAsia" w:cstheme="minorEastAsia"/>
                <w:sz w:val="18"/>
                <w:szCs w:val="18"/>
                <w:lang w:eastAsia="zh-CN"/>
              </w:rPr>
              <w:t>、精度0.5级；电流表量程0～200 mA、精度0.5级；同时设有逻辑电平输出（点动、自锁）、逻辑电平指示、LED数码管、方向指示器、八音盒、直流24V继电器、信号转换座若干。</w:t>
            </w:r>
          </w:p>
          <w:p w14:paraId="729C8E48">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4、配置主机， 24路数字量输入16路数字量输出,FX0N-3A模拟量模块2路输入/1路输出，配套通信编程电缆。</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5、配套软件：采用计算机仿真模拟技术，进行PLC电气控制仿真、电工电子仿真、气动仿真、液压仿真、传感器仿真等工业常用技术仿真.</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1）电气仿真：电工基本常识与操作，包括但不限于①安全用电常识：触电方式；防护措施；接地接零；急救措施②常用电工工具：通用工具；线路工具；设备工具③常用导线连接：绝缘连接；线头连接；接线桩；绝缘恢复④手工焊接工艺：焊接工具；焊接过程；焊接质量；拆焊过程</w:t>
            </w:r>
          </w:p>
          <w:p w14:paraId="522BAA95">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电工仪表：包括但不限于①万用表：外形仿真，结构仿真，面板仿真，使用仿真；②电能表：外形仿真，原理仿真，检测仿真，布局仿真，连仿真线，使用仿真；③钳形电流表：外形仿真，原理仿真，使用仿真；④兆欧表：外形仿真，原理仿真，使用仿真；⑤直流电桥：外形仿真，使用仿真；⑥配电板：外形仿真，布局仿真，连线仿真，使用仿真；</w:t>
            </w:r>
          </w:p>
          <w:p w14:paraId="461598C3">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（3）照明电路安装：包括但不限于①荧光灯：器材仿真，电路仿真，原理仿真，连线仿真，排故仿真；②两地控制线路：器材仿真，电路仿真连线仿真</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4）电机与变压器：包括但不限于①三相异步电动机：外形仿真，结构仿真，装配仿真，维修仿真；②单相异步电动机：外形仿真，结构仿真，装配仿真；③伺服电动机：外形仿真，结构仿真，原理仿真；④步进电动机：外形仿真，原理仿真；⑤直流电动机：外形仿真，结构仿真，装配仿真；⑥变压器：外形仿真，结构仿真，原理仿真，装配仿真；</w:t>
            </w:r>
          </w:p>
          <w:p w14:paraId="2085C7F8">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5）低压电器：包括但不限于①交流接触器：外形仿真，结构仿真，原理仿真，组装仿真，检测仿真；②继电器：外形仿真，结构仿真，原理仿真，检测仿真；③常用闸刀开关：外形仿真，结构仿真；④低压断路器：外形仿真，结构仿真，原理仿真；⑤熔断器：外形仿真，结构仿真；</w:t>
            </w:r>
          </w:p>
          <w:p w14:paraId="7BAD51B0">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⑥启动器：外形仿真⑦主令电器：外形仿真，结构仿真；</w:t>
            </w:r>
          </w:p>
          <w:p w14:paraId="4669CE90">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（6）电动机控制仿真：包括但不限于：接线仿真；电路仿真；排故仿真。</w:t>
            </w:r>
          </w:p>
          <w:p w14:paraId="05C80475">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（7）电工识图：电工基础仿真：能进行不少于39个仿真实验。</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8）PLC仿真可以通过PLC编程控制模型的相应动作从而完成工序动作包含机械手仿真、正反转仿真、装配流水线仿真、自动门仿真、交通灯仿真、电梯仿真、升降机仿真、天塔仿真、抢答器仿真、分拣仿真、水塔仿真、运料小车仿真等。</w:t>
            </w:r>
          </w:p>
          <w:p w14:paraId="32F8CE5E">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6、在线学习培训</w:t>
            </w:r>
          </w:p>
          <w:p w14:paraId="7EEAAF44">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（1）提供免费远程单片机培训PLC培训,伺服,步进,触摸屏,变频器, 单片机，数控，机器人，工业组态及网络通信等全系列自动化技术培训</w:t>
            </w:r>
          </w:p>
          <w:p w14:paraId="1AA05528">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（2）教师可以远程通过新建不同班级、不同课程并上传课程资料，可进行网上试卷批阅，作业批阅，回答学生问题。</w:t>
            </w:r>
          </w:p>
          <w:p w14:paraId="74F58673">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（3）教师可以自由组合不同教学手段，实现各种不同的教学方法，比如谈话式、研讨式、活动式、竞赛式等等，学习体验；</w:t>
            </w:r>
          </w:p>
          <w:p w14:paraId="383D933A">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（4）学生可以登录在线学习系统，进行不同老师和不同课程学习，可以通过在线学习系统向老师提问，做笔记，评价及参与话题讨论。</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7、气动仿真部分：</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（1）软件以气动经典22回路为依据开发出28回路的在线及离线仿真</w:t>
            </w:r>
          </w:p>
          <w:p w14:paraId="5878F9DD">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（2）软件中设置的14路典型气路设备故障。</w:t>
            </w:r>
          </w:p>
          <w:p w14:paraId="531BC197">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（3）软件状态含“模拟运行”“联机运行”即离线仿真、在线仿真。两种运行状态自动切换，当连接外部设备时自动切换为在线仿真，无外部设备连接时为离线仿真即模拟运行。</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8、传感器仿真：（1）温度变送传感器仿真（2）液位传感器仿真（3）流量传感器仿真；</w:t>
            </w:r>
          </w:p>
          <w:p w14:paraId="17A08029">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9、电机软启动及电机保护器的仿真。</w:t>
            </w:r>
          </w:p>
        </w:tc>
      </w:tr>
      <w:tr w14:paraId="3EDC0F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jc w:val="center"/>
        </w:trPr>
        <w:tc>
          <w:tcPr>
            <w:tcW w:w="1061" w:type="dxa"/>
          </w:tcPr>
          <w:p w14:paraId="198878EC">
            <w:pPr>
              <w:spacing w:line="360" w:lineRule="auto"/>
              <w:rPr>
                <w:rFonts w:hint="eastAsia" w:asciiTheme="minorEastAsia" w:hAnsiTheme="minorEastAsia" w:eastAsiaTheme="minorEastAsia" w:cstheme="minorEastAsia"/>
                <w:sz w:val="18"/>
                <w:szCs w:val="18"/>
                <w:lang w:eastAsia="zh-CN"/>
              </w:rPr>
            </w:pPr>
          </w:p>
        </w:tc>
        <w:tc>
          <w:tcPr>
            <w:tcW w:w="527" w:type="dxa"/>
          </w:tcPr>
          <w:p w14:paraId="2393A577">
            <w:pPr>
              <w:spacing w:before="111" w:line="360" w:lineRule="auto"/>
              <w:ind w:left="114"/>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w:t>
            </w:r>
          </w:p>
        </w:tc>
        <w:tc>
          <w:tcPr>
            <w:tcW w:w="8964" w:type="dxa"/>
            <w:vAlign w:val="bottom"/>
          </w:tcPr>
          <w:p w14:paraId="723F94C1">
            <w:pPr>
              <w:spacing w:line="360" w:lineRule="auto"/>
              <w:textAlignment w:val="bottom"/>
              <w:rPr>
                <w:rFonts w:hint="eastAsia" w:asciiTheme="minorEastAsia" w:hAnsiTheme="minorEastAsia" w:eastAsiaTheme="minorEastAsia" w:cstheme="minorEastAsia"/>
                <w:b/>
                <w:bCs/>
                <w:sz w:val="18"/>
                <w:szCs w:val="18"/>
                <w:lang w:eastAsia="zh-CN" w:bidi="ar"/>
              </w:rPr>
            </w:pPr>
            <w:r>
              <w:rPr>
                <w:rFonts w:hint="eastAsia" w:asciiTheme="minorEastAsia" w:hAnsiTheme="minorEastAsia" w:eastAsiaTheme="minorEastAsia" w:cstheme="minorEastAsia"/>
                <w:b/>
                <w:bCs/>
                <w:sz w:val="18"/>
                <w:szCs w:val="18"/>
                <w:lang w:eastAsia="zh-CN" w:bidi="ar"/>
              </w:rPr>
              <w:t>机械手实训装置：10套</w:t>
            </w:r>
          </w:p>
          <w:p w14:paraId="42FF0FF4">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1、电源输入：AC 220V±10％ 50Hz</w:t>
            </w:r>
          </w:p>
          <w:p w14:paraId="694235C0">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2、滚珠丝杠有效行程：400mm</w:t>
            </w:r>
          </w:p>
          <w:p w14:paraId="6B902A65">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3、外形尺寸：1300 mm×800mm×600mm±10％</w:t>
            </w:r>
          </w:p>
          <w:p w14:paraId="2480EE07">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4、整机功率：≤1KW</w:t>
            </w:r>
          </w:p>
          <w:p w14:paraId="3A19C1D2">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5、实训装置台架为铝合金结构，实训考核装置PLC模块的I/O 端子、各常用模块与PLC的连接端子，均与安全插座连接，使用带安全插头的导线进行电路连接；各指令开关、光电开关、传感器和指示元件的电路，则通过端子排进行连接。插拔线连接电路与端子连接电路相结合，既保证学生基本技能的训练、形成和巩固，又保证电路连接的快速、安全和可靠。</w:t>
            </w:r>
          </w:p>
          <w:p w14:paraId="4AEF9A4B">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6、手动/自动控制模式，针对硬件检测及程序校验。</w:t>
            </w:r>
          </w:p>
          <w:p w14:paraId="0A571895">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7、开放的执行机构，可根据不同的控制方案编程，构成不同的执行系统，适应不同层次的人员进行PLC学习和编程。也可作为课题设计或研究使用。</w:t>
            </w:r>
          </w:p>
          <w:p w14:paraId="7D631F4D">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8、产品为开放式，整体机械构造清晰可见。</w:t>
            </w:r>
          </w:p>
          <w:p w14:paraId="0415F75E">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9、安全保护措施：实训台桌面采用高绝缘、高强度、耐高温的高密度板。具有接地保护、漏电保护功能，安全性符合相关的国标标准。采用高绝缘的安全型插座及带绝缘护套的高强度安全型实验导线。</w:t>
            </w:r>
          </w:p>
          <w:p w14:paraId="5D9864E6">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10、机械手的横轴和竖轴的机械传动采用高精密的滚珠丝杆，高精密的光杆导轨和直线轴承，配以先进地机械设计、精密的机械加工及装配，可使机械手臂非常平稳地进行垂直和水平移动和水平方向旋转及精确位置控制。</w:t>
            </w:r>
          </w:p>
          <w:p w14:paraId="337CC727">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11、采用选进的步进电机作为横轴和竖轴的动力源，可实现0.028度的细分，即每转一圈需要12800步，滚珠丝行程为4mm，则手臂每步位移精度为0.0003125mm,步进电机的正常单步角度为0.9，则手臂每步位移精度为0.01mm。</w:t>
            </w:r>
          </w:p>
          <w:p w14:paraId="111DBB7B">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12、机械手臂和机械手爪水平方向旋转采用高级减速直流电机传动，可实现旋转方向的精确位置控制。</w:t>
            </w:r>
          </w:p>
          <w:p w14:paraId="29CCBD40">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13、机械手爪采用高精度气动式手爪、配置高级电磁位置开关及两位三通电磁阀，可实现快速准确地抓取和放开动作。</w:t>
            </w:r>
          </w:p>
          <w:p w14:paraId="06AB6372">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14、采用晶体管式PLC可编程控制器作为控制主机，配置传感器，可实现PLC高级指令编程、光电传感器的技术应用。</w:t>
            </w:r>
          </w:p>
          <w:p w14:paraId="442D949A">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15、机械手水平最大旋转角度</w:t>
            </w:r>
          </w:p>
          <w:p w14:paraId="38D339C2">
            <w:pPr>
              <w:spacing w:line="360" w:lineRule="auto"/>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sz w:val="18"/>
                <w:szCs w:val="18"/>
                <w:lang w:eastAsia="zh-CN"/>
              </w:rPr>
              <w:t>16、机械手爪采用高精度气动式手爪、配置高级电磁位置开关及两位三通电磁阀，可实现快速准确地抓取和放开动作。</w:t>
            </w:r>
          </w:p>
        </w:tc>
      </w:tr>
      <w:tr w14:paraId="48B520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jc w:val="center"/>
        </w:trPr>
        <w:tc>
          <w:tcPr>
            <w:tcW w:w="1061" w:type="dxa"/>
          </w:tcPr>
          <w:p w14:paraId="1B4EFD35">
            <w:pPr>
              <w:spacing w:line="360" w:lineRule="auto"/>
              <w:rPr>
                <w:rFonts w:hint="eastAsia" w:asciiTheme="minorEastAsia" w:hAnsiTheme="minorEastAsia" w:eastAsiaTheme="minorEastAsia" w:cstheme="minorEastAsia"/>
                <w:sz w:val="18"/>
                <w:szCs w:val="18"/>
                <w:lang w:eastAsia="zh-CN"/>
              </w:rPr>
            </w:pPr>
          </w:p>
        </w:tc>
        <w:tc>
          <w:tcPr>
            <w:tcW w:w="527" w:type="dxa"/>
          </w:tcPr>
          <w:p w14:paraId="40549C91">
            <w:pPr>
              <w:spacing w:before="111" w:line="360" w:lineRule="auto"/>
              <w:ind w:left="114"/>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3</w:t>
            </w:r>
          </w:p>
        </w:tc>
        <w:tc>
          <w:tcPr>
            <w:tcW w:w="8964" w:type="dxa"/>
            <w:vAlign w:val="bottom"/>
          </w:tcPr>
          <w:p w14:paraId="09073701">
            <w:pPr>
              <w:spacing w:line="360" w:lineRule="auto"/>
              <w:textAlignment w:val="bottom"/>
              <w:rPr>
                <w:rFonts w:hint="eastAsia" w:asciiTheme="minorEastAsia" w:hAnsiTheme="minorEastAsia" w:eastAsiaTheme="minorEastAsia" w:cstheme="minorEastAsia"/>
                <w:b/>
                <w:bCs/>
                <w:sz w:val="18"/>
                <w:szCs w:val="18"/>
                <w:lang w:eastAsia="zh-CN" w:bidi="ar"/>
              </w:rPr>
            </w:pPr>
            <w:r>
              <w:rPr>
                <w:rFonts w:hint="eastAsia" w:asciiTheme="minorEastAsia" w:hAnsiTheme="minorEastAsia" w:eastAsiaTheme="minorEastAsia" w:cstheme="minorEastAsia"/>
                <w:b/>
                <w:bCs/>
                <w:sz w:val="18"/>
                <w:szCs w:val="18"/>
                <w:lang w:eastAsia="zh-CN" w:bidi="ar"/>
              </w:rPr>
              <w:t>物料分拣实训装置：10套</w:t>
            </w:r>
          </w:p>
          <w:p w14:paraId="6ADBC852">
            <w:pPr>
              <w:spacing w:line="360" w:lineRule="auto"/>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1.物料分拣装置由底板、实训桌（型材结构）、气动部分、落料机构、物料传送机构、料槽及电气控制等六部分组成。气动部分由电磁阀和汽缸组成；物料传送部分由电机和同步传送带组成。</w:t>
            </w:r>
          </w:p>
          <w:p w14:paraId="43CD3840">
            <w:pPr>
              <w:spacing w:line="360" w:lineRule="auto"/>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2.输入电源：单相三线～220V±10%  50Hz</w:t>
            </w:r>
          </w:p>
          <w:p w14:paraId="2CD7E7C1">
            <w:pPr>
              <w:spacing w:line="360" w:lineRule="auto"/>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3.气源：0.2Mpa～0.55Mpa</w:t>
            </w:r>
          </w:p>
          <w:p w14:paraId="11AD019B">
            <w:pPr>
              <w:spacing w:line="360" w:lineRule="auto"/>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4.工作环境：温度-10℃～+40℃ 相对湿度≤85%（25℃）海拔＜4000m</w:t>
            </w:r>
          </w:p>
          <w:p w14:paraId="75FE0E20">
            <w:pPr>
              <w:spacing w:line="360" w:lineRule="auto"/>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5.装置容量：＜0.5kVA</w:t>
            </w:r>
          </w:p>
          <w:p w14:paraId="74D5CA0C">
            <w:pPr>
              <w:spacing w:line="360" w:lineRule="auto"/>
              <w:textAlignment w:val="bottom"/>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sz w:val="18"/>
                <w:szCs w:val="18"/>
                <w:lang w:eastAsia="zh-CN" w:bidi="ar"/>
              </w:rPr>
              <w:t>6.外形尺寸：1000mm×640mm×1200mm</w:t>
            </w:r>
            <w:r>
              <w:rPr>
                <w:rFonts w:hint="eastAsia" w:asciiTheme="minorEastAsia" w:hAnsiTheme="minorEastAsia" w:eastAsiaTheme="minorEastAsia" w:cstheme="minorEastAsia"/>
                <w:sz w:val="18"/>
                <w:szCs w:val="18"/>
                <w:lang w:eastAsia="zh-CN"/>
              </w:rPr>
              <w:t>±10％</w:t>
            </w:r>
          </w:p>
        </w:tc>
      </w:tr>
      <w:tr w14:paraId="0AEC19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jc w:val="center"/>
        </w:trPr>
        <w:tc>
          <w:tcPr>
            <w:tcW w:w="1061" w:type="dxa"/>
          </w:tcPr>
          <w:p w14:paraId="67A8D493">
            <w:pPr>
              <w:spacing w:line="360" w:lineRule="auto"/>
              <w:rPr>
                <w:rFonts w:hint="eastAsia" w:asciiTheme="minorEastAsia" w:hAnsiTheme="minorEastAsia" w:eastAsiaTheme="minorEastAsia" w:cstheme="minorEastAsia"/>
                <w:sz w:val="18"/>
                <w:szCs w:val="18"/>
                <w:lang w:eastAsia="zh-CN"/>
              </w:rPr>
            </w:pPr>
          </w:p>
        </w:tc>
        <w:tc>
          <w:tcPr>
            <w:tcW w:w="527" w:type="dxa"/>
          </w:tcPr>
          <w:p w14:paraId="52EFFE57">
            <w:pPr>
              <w:spacing w:before="111" w:line="360" w:lineRule="auto"/>
              <w:ind w:left="114"/>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4</w:t>
            </w:r>
          </w:p>
        </w:tc>
        <w:tc>
          <w:tcPr>
            <w:tcW w:w="8964" w:type="dxa"/>
            <w:vAlign w:val="bottom"/>
          </w:tcPr>
          <w:p w14:paraId="5BFD41DF">
            <w:pPr>
              <w:spacing w:line="360" w:lineRule="auto"/>
              <w:textAlignment w:val="bottom"/>
              <w:rPr>
                <w:rFonts w:hint="eastAsia" w:asciiTheme="minorEastAsia" w:hAnsiTheme="minorEastAsia" w:eastAsiaTheme="minorEastAsia" w:cstheme="minorEastAsia"/>
                <w:b/>
                <w:bCs/>
                <w:sz w:val="18"/>
                <w:szCs w:val="18"/>
                <w:lang w:eastAsia="zh-CN" w:bidi="ar"/>
              </w:rPr>
            </w:pPr>
            <w:r>
              <w:rPr>
                <w:rFonts w:hint="eastAsia" w:asciiTheme="minorEastAsia" w:hAnsiTheme="minorEastAsia" w:eastAsiaTheme="minorEastAsia" w:cstheme="minorEastAsia"/>
                <w:b/>
                <w:bCs/>
                <w:sz w:val="18"/>
                <w:szCs w:val="18"/>
                <w:lang w:eastAsia="zh-CN" w:bidi="ar"/>
              </w:rPr>
              <w:t>恒压供水实训装置：10套</w:t>
            </w:r>
          </w:p>
          <w:p w14:paraId="3DECAAFD">
            <w:pPr>
              <w:spacing w:line="360" w:lineRule="auto"/>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1.主要由水泵、压力变送器、蓄水池、水龙头等设备构成，能够完成常规的电机变频调速、静态压力定值控制、动态变频恒压供水等实训项目。</w:t>
            </w:r>
          </w:p>
          <w:p w14:paraId="33914A55">
            <w:pPr>
              <w:spacing w:line="360" w:lineRule="auto"/>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2.工作电源：三相四线制AC380V±10%/50Hz；</w:t>
            </w:r>
          </w:p>
          <w:p w14:paraId="754264F5">
            <w:pPr>
              <w:spacing w:line="360" w:lineRule="auto"/>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3.工作环境：温度+3℃-+45℃；相对湿度&lt;85%(25℃)；海拔&lt;4000m；</w:t>
            </w:r>
          </w:p>
          <w:p w14:paraId="68B55A1C">
            <w:pPr>
              <w:spacing w:line="360" w:lineRule="auto"/>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4.变频范围：25Hz-50Hz；</w:t>
            </w:r>
          </w:p>
          <w:p w14:paraId="1DD4E1EE">
            <w:pPr>
              <w:spacing w:line="360" w:lineRule="auto"/>
              <w:textAlignment w:val="bottom"/>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sz w:val="18"/>
                <w:szCs w:val="18"/>
                <w:lang w:eastAsia="zh-CN" w:bidi="ar"/>
              </w:rPr>
              <w:t>5.外形尺寸：500mm×375mm×1700mm</w:t>
            </w:r>
            <w:r>
              <w:rPr>
                <w:rFonts w:hint="eastAsia" w:asciiTheme="minorEastAsia" w:hAnsiTheme="minorEastAsia" w:eastAsiaTheme="minorEastAsia" w:cstheme="minorEastAsia"/>
                <w:sz w:val="18"/>
                <w:szCs w:val="18"/>
                <w:lang w:eastAsia="zh-CN"/>
              </w:rPr>
              <w:t>±10％</w:t>
            </w:r>
            <w:r>
              <w:rPr>
                <w:rFonts w:hint="eastAsia" w:asciiTheme="minorEastAsia" w:hAnsiTheme="minorEastAsia" w:eastAsiaTheme="minorEastAsia" w:cstheme="minorEastAsia"/>
                <w:sz w:val="18"/>
                <w:szCs w:val="18"/>
                <w:lang w:eastAsia="zh-CN" w:bidi="ar"/>
              </w:rPr>
              <w:t>；</w:t>
            </w:r>
          </w:p>
        </w:tc>
      </w:tr>
      <w:tr w14:paraId="40E03F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jc w:val="center"/>
        </w:trPr>
        <w:tc>
          <w:tcPr>
            <w:tcW w:w="1061" w:type="dxa"/>
          </w:tcPr>
          <w:p w14:paraId="1EA43CEE">
            <w:pPr>
              <w:spacing w:before="90" w:line="360" w:lineRule="auto"/>
              <w:ind w:left="107"/>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4"/>
                <w:sz w:val="18"/>
                <w:szCs w:val="18"/>
              </w:rPr>
              <w:t>说明</w:t>
            </w:r>
          </w:p>
        </w:tc>
        <w:tc>
          <w:tcPr>
            <w:tcW w:w="9491" w:type="dxa"/>
            <w:gridSpan w:val="2"/>
          </w:tcPr>
          <w:p w14:paraId="508BB411">
            <w:pPr>
              <w:spacing w:before="90" w:line="360" w:lineRule="auto"/>
              <w:ind w:left="103"/>
              <w:rPr>
                <w:rFonts w:hint="eastAsia" w:asciiTheme="minorEastAsia" w:hAnsiTheme="minorEastAsia" w:eastAsiaTheme="minorEastAsia" w:cstheme="minorEastAsia"/>
                <w:b/>
                <w:bCs/>
                <w:spacing w:val="3"/>
                <w:sz w:val="18"/>
                <w:szCs w:val="18"/>
                <w:lang w:eastAsia="zh-CN"/>
              </w:rPr>
            </w:pPr>
            <w:r>
              <w:rPr>
                <w:rFonts w:hint="eastAsia" w:asciiTheme="minorEastAsia" w:hAnsiTheme="minorEastAsia" w:eastAsiaTheme="minorEastAsia" w:cstheme="minorEastAsia"/>
                <w:b/>
                <w:bCs/>
                <w:spacing w:val="3"/>
                <w:sz w:val="18"/>
                <w:szCs w:val="18"/>
                <w:lang w:eastAsia="zh-CN"/>
              </w:rPr>
              <w:t>1、打“★”号条款为实质性条款，若有任何一条负偏离或不满足则导致投标无效；非“★”号条款，单项产品超过5项（含5项）负偏离则投标无效。</w:t>
            </w:r>
          </w:p>
          <w:p w14:paraId="21B4E78C">
            <w:pPr>
              <w:spacing w:before="90" w:line="360" w:lineRule="auto"/>
              <w:ind w:left="103"/>
              <w:rPr>
                <w:rFonts w:hint="eastAsia" w:asciiTheme="minorEastAsia" w:hAnsiTheme="minorEastAsia" w:eastAsiaTheme="minorEastAsia" w:cstheme="minorEastAsia"/>
                <w:b/>
                <w:bCs/>
                <w:spacing w:val="3"/>
                <w:sz w:val="18"/>
                <w:szCs w:val="18"/>
                <w:lang w:eastAsia="zh-CN"/>
              </w:rPr>
            </w:pPr>
            <w:r>
              <w:rPr>
                <w:rFonts w:hint="eastAsia" w:asciiTheme="minorEastAsia" w:hAnsiTheme="minorEastAsia" w:eastAsiaTheme="minorEastAsia" w:cstheme="minorEastAsia"/>
                <w:b/>
                <w:bCs/>
                <w:spacing w:val="3"/>
                <w:sz w:val="18"/>
                <w:szCs w:val="18"/>
                <w:lang w:eastAsia="zh-CN"/>
              </w:rPr>
              <w:t>2、一包核心产品：楼宇自动化技术实训室中“中央空调控制系统实训装置”和“多层电梯实训装置“。 因系统录入原因，系统中的核心产品只能标注实验室，无法标注具体产品，故在此说明，核心产品以此项为准。</w:t>
            </w:r>
          </w:p>
          <w:p w14:paraId="2805AAC7">
            <w:pPr>
              <w:spacing w:before="90" w:line="360" w:lineRule="auto"/>
              <w:ind w:left="103"/>
              <w:rPr>
                <w:rFonts w:hint="eastAsia" w:asciiTheme="minorEastAsia" w:hAnsiTheme="minorEastAsia" w:eastAsiaTheme="minorEastAsia" w:cstheme="minorEastAsia"/>
                <w:b/>
                <w:bCs/>
                <w:spacing w:val="3"/>
                <w:sz w:val="18"/>
                <w:szCs w:val="18"/>
                <w:lang w:eastAsia="zh-CN"/>
              </w:rPr>
            </w:pPr>
            <w:r>
              <w:rPr>
                <w:rFonts w:hint="eastAsia" w:asciiTheme="minorEastAsia" w:hAnsiTheme="minorEastAsia" w:eastAsiaTheme="minorEastAsia" w:cstheme="minorEastAsia"/>
                <w:b/>
                <w:bCs/>
                <w:spacing w:val="3"/>
                <w:sz w:val="18"/>
                <w:szCs w:val="18"/>
                <w:lang w:eastAsia="zh-CN"/>
              </w:rPr>
              <w:t>3、此表仅为技术参数及采购内容，可根据投标需要自己扩展表格格式并响应投标参数；</w:t>
            </w:r>
          </w:p>
          <w:p w14:paraId="55F8625B">
            <w:pPr>
              <w:spacing w:before="90" w:line="360" w:lineRule="auto"/>
              <w:ind w:left="103"/>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pacing w:val="3"/>
                <w:sz w:val="18"/>
                <w:szCs w:val="18"/>
                <w:lang w:eastAsia="zh-CN"/>
              </w:rPr>
              <w:t>4、投标时需按此表具体采购的设备响应投标品牌、投标型号、单价、总价，并自行制作表格放入投标文件，发布中标公示时会同时发布。</w:t>
            </w:r>
          </w:p>
        </w:tc>
      </w:tr>
    </w:tbl>
    <w:p w14:paraId="404E1116">
      <w:pPr>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dhN2VlNTBiODVhZTc1ZDE3NzEwNmFkYWMwNGI3YmIifQ=="/>
  </w:docVars>
  <w:rsids>
    <w:rsidRoot w:val="1A5076E5"/>
    <w:rsid w:val="00291E59"/>
    <w:rsid w:val="004D53A2"/>
    <w:rsid w:val="0053176C"/>
    <w:rsid w:val="00824E41"/>
    <w:rsid w:val="04A34FAC"/>
    <w:rsid w:val="10D01C3A"/>
    <w:rsid w:val="1A0538E9"/>
    <w:rsid w:val="1A5076E5"/>
    <w:rsid w:val="1EEB1D3D"/>
    <w:rsid w:val="1F4B447E"/>
    <w:rsid w:val="3AC7670C"/>
    <w:rsid w:val="49F95F84"/>
    <w:rsid w:val="511F2A33"/>
    <w:rsid w:val="5DCA6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pPr>
    <w:rPr>
      <w:sz w:val="18"/>
      <w:szCs w:val="18"/>
    </w:rPr>
  </w:style>
  <w:style w:type="paragraph" w:styleId="3">
    <w:name w:val="header"/>
    <w:basedOn w:val="1"/>
    <w:link w:val="7"/>
    <w:qFormat/>
    <w:uiPriority w:val="0"/>
    <w:pPr>
      <w:tabs>
        <w:tab w:val="center" w:pos="4153"/>
        <w:tab w:val="right" w:pos="8306"/>
      </w:tabs>
      <w:jc w:val="center"/>
    </w:pPr>
    <w:rPr>
      <w:sz w:val="18"/>
      <w:szCs w:val="18"/>
    </w:rPr>
  </w:style>
  <w:style w:type="table" w:customStyle="1" w:styleId="6">
    <w:name w:val="Table Normal"/>
    <w:semiHidden/>
    <w:unhideWhenUsed/>
    <w:qFormat/>
    <w:uiPriority w:val="0"/>
    <w:tblPr>
      <w:tblCellMar>
        <w:top w:w="0" w:type="dxa"/>
        <w:left w:w="0" w:type="dxa"/>
        <w:bottom w:w="0" w:type="dxa"/>
        <w:right w:w="0" w:type="dxa"/>
      </w:tblCellMar>
    </w:tblPr>
  </w:style>
  <w:style w:type="character" w:customStyle="1" w:styleId="7">
    <w:name w:val="页眉 字符"/>
    <w:basedOn w:val="5"/>
    <w:link w:val="3"/>
    <w:qFormat/>
    <w:uiPriority w:val="0"/>
    <w:rPr>
      <w:rFonts w:ascii="Arial" w:hAnsi="Arial" w:eastAsia="Arial" w:cs="Arial"/>
      <w:snapToGrid w:val="0"/>
      <w:color w:val="000000"/>
      <w:sz w:val="18"/>
      <w:szCs w:val="18"/>
      <w:lang w:eastAsia="en-US"/>
    </w:rPr>
  </w:style>
  <w:style w:type="character" w:customStyle="1" w:styleId="8">
    <w:name w:val="页脚 字符"/>
    <w:basedOn w:val="5"/>
    <w:link w:val="2"/>
    <w:qFormat/>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3453</Words>
  <Characters>3770</Characters>
  <Lines>26</Lines>
  <Paragraphs>7</Paragraphs>
  <TotalTime>0</TotalTime>
  <ScaleCrop>false</ScaleCrop>
  <LinksUpToDate>false</LinksUpToDate>
  <CharactersWithSpaces>3792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2024-08-26T13:07:00Z</dcterms:created>
  <dc:creator>孟婷</dc:creator>
  <cp:lastModifiedBy>ρurρlё℡</cp:lastModifiedBy>
  <dcterms:modified xsi:type="dcterms:W3CDTF">2024-09-10T06:30:15Z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AF737D9FB911471D9FD06EB91B768AC1_13</vt:lpwstr>
  </property>
</Properties>
</file>