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7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1"/>
        <w:gridCol w:w="923"/>
        <w:gridCol w:w="6547"/>
        <w:gridCol w:w="660"/>
        <w:gridCol w:w="795"/>
        <w:gridCol w:w="1155"/>
        <w:gridCol w:w="1290"/>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378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333399"/>
                <w:sz w:val="56"/>
                <w:szCs w:val="56"/>
                <w:u w:val="none"/>
              </w:rPr>
            </w:pPr>
            <w:r>
              <w:rPr>
                <w:rFonts w:hint="eastAsia" w:ascii="宋体" w:hAnsi="宋体" w:eastAsia="宋体" w:cs="宋体"/>
                <w:b/>
                <w:bCs/>
                <w:i w:val="0"/>
                <w:iCs w:val="0"/>
                <w:color w:val="333399"/>
                <w:kern w:val="0"/>
                <w:sz w:val="56"/>
                <w:szCs w:val="56"/>
                <w:u w:val="none"/>
                <w:lang w:val="en-US" w:eastAsia="zh-CN" w:bidi="ar"/>
              </w:rPr>
              <w:t>车辆段识别系统、道闸明细表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538DD5"/>
            <w:vAlign w:val="center"/>
          </w:tcPr>
          <w:p>
            <w:pPr>
              <w:keepNext w:val="0"/>
              <w:keepLines w:val="0"/>
              <w:widowControl/>
              <w:suppressLineNumbers w:val="0"/>
              <w:jc w:val="center"/>
              <w:textAlignment w:val="center"/>
              <w:rPr>
                <w:rFonts w:ascii="Arial" w:hAnsi="Arial" w:eastAsia="Tahoma" w:cs="Arial"/>
                <w:i w:val="0"/>
                <w:iCs w:val="0"/>
                <w:color w:val="FFFFFF"/>
                <w:sz w:val="20"/>
                <w:szCs w:val="20"/>
                <w:u w:val="none"/>
              </w:rPr>
            </w:pPr>
            <w:r>
              <w:rPr>
                <w:rFonts w:hint="default" w:ascii="Arial" w:hAnsi="Arial" w:eastAsia="Tahoma" w:cs="Arial"/>
                <w:i w:val="0"/>
                <w:iCs w:val="0"/>
                <w:color w:val="FFFFFF"/>
                <w:kern w:val="0"/>
                <w:sz w:val="20"/>
                <w:szCs w:val="20"/>
                <w:u w:val="none"/>
                <w:lang w:val="en-US" w:eastAsia="zh-CN" w:bidi="ar"/>
              </w:rPr>
              <w:t xml:space="preserve"> </w:t>
            </w:r>
            <w:r>
              <w:rPr>
                <w:rFonts w:hint="eastAsia" w:ascii="宋体" w:hAnsi="宋体" w:eastAsia="宋体" w:cs="宋体"/>
                <w:i w:val="0"/>
                <w:iCs w:val="0"/>
                <w:color w:val="FFFFFF"/>
                <w:kern w:val="0"/>
                <w:sz w:val="20"/>
                <w:szCs w:val="20"/>
                <w:u w:val="none"/>
                <w:lang w:val="en-US" w:eastAsia="zh-CN" w:bidi="ar"/>
              </w:rPr>
              <w:t>序号</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538DD5"/>
            <w:vAlign w:val="center"/>
          </w:tcPr>
          <w:p>
            <w:pPr>
              <w:keepNext w:val="0"/>
              <w:keepLines w:val="0"/>
              <w:widowControl/>
              <w:suppressLineNumbers w:val="0"/>
              <w:jc w:val="center"/>
              <w:textAlignment w:val="center"/>
              <w:rPr>
                <w:rFonts w:hint="eastAsia" w:ascii="宋体" w:hAnsi="宋体" w:eastAsia="宋体" w:cs="宋体"/>
                <w:i w:val="0"/>
                <w:iCs w:val="0"/>
                <w:color w:val="FFFFFF"/>
                <w:sz w:val="20"/>
                <w:szCs w:val="20"/>
                <w:u w:val="none"/>
              </w:rPr>
            </w:pPr>
            <w:r>
              <w:rPr>
                <w:rFonts w:hint="eastAsia" w:ascii="宋体" w:hAnsi="宋体" w:eastAsia="宋体" w:cs="宋体"/>
                <w:i w:val="0"/>
                <w:iCs w:val="0"/>
                <w:color w:val="FFFFFF"/>
                <w:kern w:val="0"/>
                <w:sz w:val="20"/>
                <w:szCs w:val="20"/>
                <w:u w:val="none"/>
                <w:lang w:val="en-US" w:eastAsia="zh-CN" w:bidi="ar"/>
              </w:rPr>
              <w:t>品名</w:t>
            </w:r>
          </w:p>
        </w:tc>
        <w:tc>
          <w:tcPr>
            <w:tcW w:w="6547" w:type="dxa"/>
            <w:vMerge w:val="restart"/>
            <w:tcBorders>
              <w:top w:val="single" w:color="000000" w:sz="4" w:space="0"/>
              <w:left w:val="single" w:color="000000" w:sz="4" w:space="0"/>
              <w:bottom w:val="single" w:color="000000" w:sz="4" w:space="0"/>
              <w:right w:val="nil"/>
            </w:tcBorders>
            <w:shd w:val="clear" w:color="auto" w:fill="538DD5"/>
            <w:vAlign w:val="center"/>
          </w:tcPr>
          <w:p>
            <w:pPr>
              <w:keepNext w:val="0"/>
              <w:keepLines w:val="0"/>
              <w:widowControl/>
              <w:suppressLineNumbers w:val="0"/>
              <w:jc w:val="center"/>
              <w:textAlignment w:val="center"/>
              <w:rPr>
                <w:rFonts w:hint="eastAsia" w:ascii="宋体" w:hAnsi="宋体" w:eastAsia="宋体" w:cs="宋体"/>
                <w:i w:val="0"/>
                <w:iCs w:val="0"/>
                <w:color w:val="FFFFFF"/>
                <w:sz w:val="20"/>
                <w:szCs w:val="20"/>
                <w:u w:val="none"/>
              </w:rPr>
            </w:pPr>
            <w:r>
              <w:rPr>
                <w:rFonts w:hint="eastAsia" w:ascii="宋体" w:hAnsi="宋体" w:eastAsia="宋体" w:cs="宋体"/>
                <w:i w:val="0"/>
                <w:iCs w:val="0"/>
                <w:color w:val="FFFFFF"/>
                <w:kern w:val="0"/>
                <w:sz w:val="20"/>
                <w:szCs w:val="20"/>
                <w:u w:val="none"/>
                <w:lang w:val="en-US" w:eastAsia="zh-CN" w:bidi="ar"/>
              </w:rPr>
              <w:t>规格参数</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538DD5"/>
            <w:vAlign w:val="center"/>
          </w:tcPr>
          <w:p>
            <w:pPr>
              <w:keepNext w:val="0"/>
              <w:keepLines w:val="0"/>
              <w:widowControl/>
              <w:suppressLineNumbers w:val="0"/>
              <w:jc w:val="center"/>
              <w:textAlignment w:val="center"/>
              <w:rPr>
                <w:rFonts w:hint="eastAsia" w:ascii="宋体" w:hAnsi="宋体" w:eastAsia="宋体" w:cs="宋体"/>
                <w:i w:val="0"/>
                <w:iCs w:val="0"/>
                <w:color w:val="FFFFFF"/>
                <w:sz w:val="20"/>
                <w:szCs w:val="20"/>
                <w:u w:val="none"/>
              </w:rPr>
            </w:pPr>
            <w:r>
              <w:rPr>
                <w:rFonts w:hint="eastAsia" w:ascii="宋体" w:hAnsi="宋体" w:eastAsia="宋体" w:cs="宋体"/>
                <w:i w:val="0"/>
                <w:iCs w:val="0"/>
                <w:color w:val="FFFFFF"/>
                <w:kern w:val="0"/>
                <w:sz w:val="20"/>
                <w:szCs w:val="20"/>
                <w:u w:val="none"/>
                <w:lang w:val="en-US" w:eastAsia="zh-CN" w:bidi="ar"/>
              </w:rPr>
              <w:t>数量</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538DD5"/>
            <w:vAlign w:val="center"/>
          </w:tcPr>
          <w:p>
            <w:pPr>
              <w:keepNext w:val="0"/>
              <w:keepLines w:val="0"/>
              <w:widowControl/>
              <w:suppressLineNumbers w:val="0"/>
              <w:jc w:val="center"/>
              <w:textAlignment w:val="center"/>
              <w:rPr>
                <w:rFonts w:hint="eastAsia" w:ascii="宋体" w:hAnsi="宋体" w:eastAsia="宋体" w:cs="宋体"/>
                <w:i w:val="0"/>
                <w:iCs w:val="0"/>
                <w:color w:val="FFFFFF"/>
                <w:sz w:val="20"/>
                <w:szCs w:val="20"/>
                <w:u w:val="none"/>
              </w:rPr>
            </w:pPr>
            <w:r>
              <w:rPr>
                <w:rFonts w:hint="eastAsia" w:ascii="宋体" w:hAnsi="宋体" w:eastAsia="宋体" w:cs="宋体"/>
                <w:i w:val="0"/>
                <w:iCs w:val="0"/>
                <w:color w:val="FFFFFF"/>
                <w:kern w:val="0"/>
                <w:sz w:val="20"/>
                <w:szCs w:val="20"/>
                <w:u w:val="none"/>
                <w:lang w:val="en-US" w:eastAsia="zh-CN" w:bidi="ar"/>
              </w:rPr>
              <w:t>单位</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538DD5"/>
            <w:vAlign w:val="center"/>
          </w:tcPr>
          <w:p>
            <w:pPr>
              <w:keepNext w:val="0"/>
              <w:keepLines w:val="0"/>
              <w:widowControl/>
              <w:suppressLineNumbers w:val="0"/>
              <w:jc w:val="center"/>
              <w:textAlignment w:val="center"/>
              <w:rPr>
                <w:rFonts w:hint="eastAsia" w:ascii="宋体" w:hAnsi="宋体" w:eastAsia="宋体" w:cs="宋体"/>
                <w:i w:val="0"/>
                <w:iCs w:val="0"/>
                <w:color w:val="FFFFFF"/>
                <w:sz w:val="20"/>
                <w:szCs w:val="20"/>
                <w:u w:val="none"/>
              </w:rPr>
            </w:pPr>
            <w:r>
              <w:rPr>
                <w:rFonts w:hint="eastAsia" w:ascii="宋体" w:hAnsi="宋体" w:eastAsia="宋体" w:cs="宋体"/>
                <w:i w:val="0"/>
                <w:iCs w:val="0"/>
                <w:color w:val="FFFFFF"/>
                <w:kern w:val="0"/>
                <w:sz w:val="20"/>
                <w:szCs w:val="20"/>
                <w:u w:val="none"/>
                <w:lang w:val="en-US" w:eastAsia="zh-CN" w:bidi="ar"/>
              </w:rPr>
              <w:t>单价</w:t>
            </w:r>
            <w:r>
              <w:rPr>
                <w:rFonts w:hint="default" w:ascii="Arial" w:hAnsi="Arial" w:eastAsia="宋体" w:cs="Arial"/>
                <w:i w:val="0"/>
                <w:iCs w:val="0"/>
                <w:color w:val="FFFFFF"/>
                <w:kern w:val="0"/>
                <w:sz w:val="20"/>
                <w:szCs w:val="20"/>
                <w:u w:val="none"/>
                <w:lang w:val="en-US" w:eastAsia="zh-CN" w:bidi="ar"/>
              </w:rPr>
              <w:t>(</w:t>
            </w:r>
            <w:r>
              <w:rPr>
                <w:rFonts w:hint="eastAsia" w:ascii="宋体" w:hAnsi="宋体" w:eastAsia="宋体" w:cs="宋体"/>
                <w:i w:val="0"/>
                <w:iCs w:val="0"/>
                <w:color w:val="FFFFFF"/>
                <w:kern w:val="0"/>
                <w:sz w:val="20"/>
                <w:szCs w:val="20"/>
                <w:u w:val="none"/>
                <w:lang w:val="en-US" w:eastAsia="zh-CN" w:bidi="ar"/>
              </w:rPr>
              <w:t>元</w:t>
            </w:r>
            <w:r>
              <w:rPr>
                <w:rFonts w:hint="default" w:ascii="Arial" w:hAnsi="Arial" w:eastAsia="宋体" w:cs="Arial"/>
                <w:i w:val="0"/>
                <w:iCs w:val="0"/>
                <w:color w:val="FFFFFF"/>
                <w:kern w:val="0"/>
                <w:sz w:val="20"/>
                <w:szCs w:val="20"/>
                <w:u w:val="none"/>
                <w:lang w:val="en-US" w:eastAsia="zh-CN" w:bidi="ar"/>
              </w:rPr>
              <w:t>)</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538DD5"/>
            <w:vAlign w:val="center"/>
          </w:tcPr>
          <w:p>
            <w:pPr>
              <w:keepNext w:val="0"/>
              <w:keepLines w:val="0"/>
              <w:widowControl/>
              <w:suppressLineNumbers w:val="0"/>
              <w:jc w:val="center"/>
              <w:textAlignment w:val="center"/>
              <w:rPr>
                <w:rFonts w:hint="eastAsia" w:ascii="宋体" w:hAnsi="宋体" w:eastAsia="宋体" w:cs="宋体"/>
                <w:i w:val="0"/>
                <w:iCs w:val="0"/>
                <w:color w:val="FFFFFF"/>
                <w:sz w:val="20"/>
                <w:szCs w:val="20"/>
                <w:u w:val="none"/>
              </w:rPr>
            </w:pPr>
            <w:r>
              <w:rPr>
                <w:rFonts w:hint="eastAsia" w:ascii="宋体" w:hAnsi="宋体" w:eastAsia="宋体" w:cs="宋体"/>
                <w:i w:val="0"/>
                <w:iCs w:val="0"/>
                <w:color w:val="FFFFFF"/>
                <w:kern w:val="0"/>
                <w:sz w:val="20"/>
                <w:szCs w:val="20"/>
                <w:u w:val="none"/>
                <w:lang w:val="en-US" w:eastAsia="zh-CN" w:bidi="ar"/>
              </w:rPr>
              <w:t>合计（元）</w:t>
            </w: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2"/>
                <w:szCs w:val="22"/>
                <w:u w:val="none"/>
              </w:rPr>
            </w:pPr>
            <w:r>
              <w:rPr>
                <w:rFonts w:hint="eastAsia" w:ascii="宋体" w:hAnsi="宋体" w:eastAsia="宋体" w:cs="宋体"/>
                <w:i w:val="0"/>
                <w:iCs w:val="0"/>
                <w:color w:val="FFFFFF"/>
                <w:kern w:val="0"/>
                <w:sz w:val="22"/>
                <w:szCs w:val="22"/>
                <w:u w:val="none"/>
                <w:lang w:val="en-US" w:eastAsia="zh-CN" w:bidi="ar"/>
              </w:rPr>
              <w:t>参考图片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538DD5"/>
            <w:vAlign w:val="center"/>
          </w:tcPr>
          <w:p>
            <w:pPr>
              <w:jc w:val="center"/>
              <w:rPr>
                <w:rFonts w:hint="default" w:ascii="Arial" w:hAnsi="Arial" w:eastAsia="Tahoma" w:cs="Arial"/>
                <w:i w:val="0"/>
                <w:iCs w:val="0"/>
                <w:color w:val="FFFFFF"/>
                <w:sz w:val="20"/>
                <w:szCs w:val="20"/>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538DD5"/>
            <w:vAlign w:val="center"/>
          </w:tcPr>
          <w:p>
            <w:pPr>
              <w:jc w:val="center"/>
              <w:rPr>
                <w:rFonts w:hint="eastAsia" w:ascii="宋体" w:hAnsi="宋体" w:eastAsia="宋体" w:cs="宋体"/>
                <w:i w:val="0"/>
                <w:iCs w:val="0"/>
                <w:color w:val="FFFFFF"/>
                <w:sz w:val="20"/>
                <w:szCs w:val="20"/>
                <w:u w:val="none"/>
              </w:rPr>
            </w:pPr>
          </w:p>
        </w:tc>
        <w:tc>
          <w:tcPr>
            <w:tcW w:w="6547" w:type="dxa"/>
            <w:vMerge w:val="continue"/>
            <w:tcBorders>
              <w:top w:val="single" w:color="000000" w:sz="4" w:space="0"/>
              <w:left w:val="single" w:color="000000" w:sz="4" w:space="0"/>
              <w:bottom w:val="single" w:color="000000" w:sz="4" w:space="0"/>
              <w:right w:val="nil"/>
            </w:tcBorders>
            <w:shd w:val="clear" w:color="auto" w:fill="538DD5"/>
            <w:vAlign w:val="center"/>
          </w:tcPr>
          <w:p>
            <w:pPr>
              <w:jc w:val="center"/>
              <w:rPr>
                <w:rFonts w:hint="eastAsia" w:ascii="宋体" w:hAnsi="宋体" w:eastAsia="宋体" w:cs="宋体"/>
                <w:i w:val="0"/>
                <w:iCs w:val="0"/>
                <w:color w:val="FFFFFF"/>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538DD5"/>
            <w:vAlign w:val="center"/>
          </w:tcPr>
          <w:p>
            <w:pPr>
              <w:jc w:val="center"/>
              <w:rPr>
                <w:rFonts w:hint="eastAsia" w:ascii="宋体" w:hAnsi="宋体" w:eastAsia="宋体" w:cs="宋体"/>
                <w:i w:val="0"/>
                <w:iCs w:val="0"/>
                <w:color w:val="FFFFFF"/>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538DD5"/>
            <w:vAlign w:val="center"/>
          </w:tcPr>
          <w:p>
            <w:pPr>
              <w:jc w:val="center"/>
              <w:rPr>
                <w:rFonts w:hint="eastAsia" w:ascii="宋体" w:hAnsi="宋体" w:eastAsia="宋体" w:cs="宋体"/>
                <w:i w:val="0"/>
                <w:iCs w:val="0"/>
                <w:color w:val="FFFFFF"/>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538DD5"/>
            <w:vAlign w:val="center"/>
          </w:tcPr>
          <w:p>
            <w:pPr>
              <w:jc w:val="center"/>
              <w:rPr>
                <w:rFonts w:hint="eastAsia" w:ascii="宋体" w:hAnsi="宋体" w:eastAsia="宋体" w:cs="宋体"/>
                <w:i w:val="0"/>
                <w:iCs w:val="0"/>
                <w:color w:val="FFFFFF"/>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538DD5"/>
            <w:vAlign w:val="center"/>
          </w:tcPr>
          <w:p>
            <w:pPr>
              <w:jc w:val="center"/>
              <w:rPr>
                <w:rFonts w:hint="eastAsia" w:ascii="宋体" w:hAnsi="宋体" w:eastAsia="宋体" w:cs="宋体"/>
                <w:i w:val="0"/>
                <w:iCs w:val="0"/>
                <w:color w:val="FFFFFF"/>
                <w:sz w:val="20"/>
                <w:szCs w:val="20"/>
                <w:u w:val="none"/>
              </w:rPr>
            </w:pPr>
          </w:p>
        </w:tc>
        <w:tc>
          <w:tcPr>
            <w:tcW w:w="1642" w:type="dxa"/>
            <w:vMerge w:val="continue"/>
            <w:tcBorders>
              <w:top w:val="single" w:color="000000" w:sz="4" w:space="0"/>
              <w:left w:val="single" w:color="000000" w:sz="4" w:space="0"/>
              <w:bottom w:val="single" w:color="000000" w:sz="4" w:space="0"/>
              <w:right w:val="single" w:color="000000" w:sz="4" w:space="0"/>
            </w:tcBorders>
            <w:shd w:val="clear" w:color="auto" w:fill="538DD5"/>
            <w:noWrap/>
            <w:vAlign w:val="center"/>
          </w:tcPr>
          <w:p>
            <w:pPr>
              <w:jc w:val="center"/>
              <w:rPr>
                <w:rFonts w:hint="eastAsia" w:ascii="宋体" w:hAnsi="宋体" w:eastAsia="宋体" w:cs="宋体"/>
                <w:i w:val="0"/>
                <w:iCs w:val="0"/>
                <w:color w:val="FFFFFF"/>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车牌识别一体机（400万）</w:t>
            </w:r>
          </w:p>
        </w:tc>
        <w:tc>
          <w:tcPr>
            <w:tcW w:w="6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◆牌识别率：白天≥99.9%，夜间≥99.9%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◆有效像素：400万像素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◆通讯方式：10/100M以太网TCP/IP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◆适应车速：5-120公里/小时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◆工作温度：-55℃~80℃，湿度≤90%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◆最佳拍摄范围：3-6米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◆车牌识别摄像头防护等级：IP67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◆储存：24GIF卡（microSD）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◆内置两颗LED补光灯，亮度可调 每颗最高功耗1W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◆配AC220V15W内置补光灯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◆低照度效果：1/3"逐行扫描CMOS，成像效果好，0.0002Lux星光级监控效果，夜间看的更清；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集成度高：内置2颗LED补光灯，集摄像机、护罩、LED补光灯、镜头、电源适配器于一体；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调试方便： 4mm/6mm两种镜头规格，场景适应性强；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接口丰富：可外接道闸开/关控制，具有报警输入输出接口；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智能识别算法：智能识别算法，车牌识别率可达99.9%以上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黑白名单控制：支持黑、白名单的导入及对比，可直接联动道闸开闸，支持脱机运行；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多种触发模式：支持视频触发、线圈/雷达触发；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信息显示：可显示余位信息，车牌号码，收费金额，定义信息等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内置语音模块：支持牌号码、收费金额、自定义内容等语音播报。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传感器类型 1/3” Progressive Scan CMOS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图像设置 饱和度,亮度,对比度,白平衡,增益,3D 降噪通过软件可调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智能识别 车牌识别率可达 99.9%以上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补光灯控制 2 个内置 LED 灯，补光灯自动光控、时控可选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支持协议 TCP/IP,HTTP,DHCP,DNS,RTP,RTSP,NTP,支持 FTP 上传图片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通用功能 心跳,密码保护,NTP 校时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通讯接口 1 个 RJ45 10M/100M 自适应以太网口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串口 1 个 RS-485 接口，1 个 RS-232 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触发输入 3 路触发输入，其中 1 路 IO 触发输入、2 路报警输入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继电器输出 1 路继电器输出，支持控制道闸开、关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工作电压 AC100V~240V±10%，50Hz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LED 屏亮度 3000cd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LED 屏角度 110°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显示屏尺寸：304mm*304mm（长*宽）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外壳整体尺寸：355mm*145mm*1550mm（宽*厚*高）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四行显示，车牌号码、停车时间、收费金额以及广告信息高度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2,480.00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7,440.00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drawing>
                <wp:anchor distT="0" distB="0" distL="114300" distR="114300" simplePos="0" relativeHeight="251659264" behindDoc="0" locked="0" layoutInCell="1" allowOverlap="1">
                  <wp:simplePos x="0" y="0"/>
                  <wp:positionH relativeFrom="column">
                    <wp:posOffset>371475</wp:posOffset>
                  </wp:positionH>
                  <wp:positionV relativeFrom="paragraph">
                    <wp:posOffset>1295400</wp:posOffset>
                  </wp:positionV>
                  <wp:extent cx="368300" cy="1441450"/>
                  <wp:effectExtent l="0" t="0" r="12700" b="6350"/>
                  <wp:wrapNone/>
                  <wp:docPr id="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8300" cy="14414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空降闸（高度1.77米）</w:t>
            </w:r>
          </w:p>
        </w:tc>
        <w:tc>
          <w:tcPr>
            <w:tcW w:w="6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产品性能特点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使用方便，安全可靠，简洁大方、美观亮丽。产品广泛应用于各主要交通干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道的沿街商圈、大型停车场、商住小区、商业广场、写字楼、餐饮酒店、高速公路、省国道收费站等交通要塞。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1.延时时间 90S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2.工作温度：-40℃～50℃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3.电机功率：400W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60288" behindDoc="0" locked="0" layoutInCell="1" allowOverlap="1">
                  <wp:simplePos x="0" y="0"/>
                  <wp:positionH relativeFrom="column">
                    <wp:posOffset>6583680</wp:posOffset>
                  </wp:positionH>
                  <wp:positionV relativeFrom="paragraph">
                    <wp:posOffset>280035</wp:posOffset>
                  </wp:positionV>
                  <wp:extent cx="979170" cy="3077210"/>
                  <wp:effectExtent l="0" t="0" r="11430" b="8890"/>
                  <wp:wrapNone/>
                  <wp:docPr id="3" name="图片 3" descr="d564e172a1632d0a36b0fd5816a1d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564e172a1632d0a36b0fd5816a1d5a"/>
                          <pic:cNvPicPr>
                            <a:picLocks noChangeAspect="1"/>
                          </pic:cNvPicPr>
                        </pic:nvPicPr>
                        <pic:blipFill>
                          <a:blip r:embed="rId5"/>
                          <a:stretch>
                            <a:fillRect/>
                          </a:stretch>
                        </pic:blipFill>
                        <pic:spPr>
                          <a:xfrm>
                            <a:off x="0" y="0"/>
                            <a:ext cx="979170" cy="3077210"/>
                          </a:xfrm>
                          <a:prstGeom prst="rect">
                            <a:avLst/>
                          </a:prstGeom>
                        </pic:spPr>
                      </pic:pic>
                    </a:graphicData>
                  </a:graphic>
                </wp:anchor>
              </w:drawing>
            </w:r>
            <w:r>
              <w:rPr>
                <w:rFonts w:hint="eastAsia" w:ascii="宋体" w:hAnsi="宋体" w:eastAsia="宋体" w:cs="宋体"/>
                <w:i w:val="0"/>
                <w:iCs w:val="0"/>
                <w:color w:val="000000"/>
                <w:kern w:val="0"/>
                <w:sz w:val="20"/>
                <w:szCs w:val="20"/>
                <w:u w:val="none"/>
                <w:lang w:val="en-US" w:eastAsia="zh-CN" w:bidi="ar"/>
              </w:rPr>
              <w:t>4.工作电源：220V±10%  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5.起落杆速度8S～12S 根据杆长可独立调整起落杆时间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6.遥控距离 ≥30米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7.最大杆长 含机箱7米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8.门体高度 1.77米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★门体高达1.77米，单开最长7米，对开可达14米；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★采用百胜90重型机芯，一体化设计、编码器限位、二级减速装置；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★采用变频电机+变频控制系统，远程控制，地感计数，故障代码，RS485接口，软启动、软停止，运行安全、平稳；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★编码器限位，精度高、调试简便，数码化显示操作控制，丰富的设置内容及简便的设置方式；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★门体采用2MM高强度铝合金、加强主梁设计，能有效抵御8级以下强风（公安三所测试）；提供相关证明报告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独特弹性缓冲双支撑脚，落地更轻盈，更静音，减少对机芯的冲击；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独特设计的防断拉簧，能承受高强度拉力，防止断裂，安全可靠；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标配高灵敏度压力波感应器，具有丰富的功能接口，可对接“地感、红外及收费系统”。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★标配红外保护，通过红外检测器，运行中有行人或车辆通过即自动停止。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地感防砸：闸杆在下落过程中，如接收到地感信号后，便会自动起杆，触发期间不落杆，待地感信号恢复后，闸杆自动下落，确保安全；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开闸优先防砸：闸杆在下落过程中，若遇紧急情况，无论运行何种状态，只要接收到开闸信号，闸杆便会执行开闸动作；中置式结构，机箱采用对称设计，不分左右方向，通用性高；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★提供重型道闸门相关特性状态质检报告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24,000.00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24,000.00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地感</w:t>
            </w:r>
          </w:p>
        </w:tc>
        <w:tc>
          <w:tcPr>
            <w:tcW w:w="6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工作电源∶AC220V/50Hz，2.5W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灵敏度∶5级可调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工作频率∶20KHz-170KHz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反应时间∶10ms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工作温度∶-50℃～+80℃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相对湿度∶最大95%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储存温度∶-40℃～+85℃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最大线圈∶25米×1米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输出方式∶继电器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探测引线∶最佳30米内（双绞）</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870.00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870.00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控制终端</w:t>
            </w:r>
          </w:p>
        </w:tc>
        <w:tc>
          <w:tcPr>
            <w:tcW w:w="6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1、软硬件一体化设备，内置虚拟化系统和软件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2、★配置≥双核四线程处理器（处理器主频≥3.7GHz）；内存≥4GB，显卡≥Intel HD 610；本地存储≥256 GB SSD；802.11ac无线网卡。为节约桌面空间，终端主体尺寸部分(L*W*H)≤20cm*20cm*6cm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3、配置≥1个内存扩展槽。配置≥1个硬盘扩展槽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4、USB接口≥8个（包含≥2个USB 3.0接口），≥1个千兆网口，≥1个VGA接口，≥1个HDMI接口，≥1对音频输入输出接口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5、终端支持无线接入功能，在部署和使用时均无需连接有线网络。提供相关证明材料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6、为了便于终端部署在讲桌或办公桌面底部，终端需提供外延电源开关接口，方便开关机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7、终端支持终端自身及虚拟桌面IP地址设置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8、终端支持运行win7操作系统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9、支持上电自启动功能，并能够根据实际使用情况选择关闭或开启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10、★终端出厂内置win7/win10黄金镜像，可由用户自行选择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11、★保障业务连续性，在网络中断的情况下，依然支持离线使用虚拟云桌面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12、终端支持U盘导入镜像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13、终端支持设置还原点功能，用户可通过浮动框点击设置还原点保存当前的系统状态作为下次还原的还原点状态。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14、终端支持用户自维护功能，用户可在本地通过浮动框点击桌面还原进行系统的一键还原，可以选择还原至初始镜像状态还是还原点状态。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15、支持终端显卡透传，能够将终端物理显卡透传至虚拟机中，支持部分对物理显卡有要求场景，如基础3D软件的运行。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16、可通过任意一台终端安装软件和驱动后，做镜像发布后封装为镜像模板，通过局域网做镜像分发或通过U盘导入导出此镜像模板以到达批量装机的效果。</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2,860.00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2,860.00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汇集终端</w:t>
            </w:r>
          </w:p>
        </w:tc>
        <w:tc>
          <w:tcPr>
            <w:tcW w:w="6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★交换容量≥598Gbps，包转发率≥215Mpps，配置10/100/1000M自适应电口≥24个，千兆光口≥4个。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支持端口聚合。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 要求采用静音无风扇节能设计。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支持跨设备链路聚合。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★支持静态路由、RIP、OSPF动态路由协议，提供证明材料不限于配置截图、检测报告和官网截图。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支持IGMP v1/v2/v3 Snooping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支持VLAN内组播转发和组播多VLAN复制。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 支持捆绑端口的组播负载分担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支持识别终端接入IP、MAC、端口等信息，并关联用户身份。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支持基于第二层、第三层和第四层的ACL。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11. 支持IP/Port/MAC的绑定功能。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支持VLAN内组播转发和组播多VLAN复制。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 支持捆绑端口的组播负载分担。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 支持识别终端类型、IP、MAC、接入端口信息。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支持与认证系统联动关联用户身份。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16. 为保障设备环境适应能力，要求设备支持范围超过0℃-60℃宽温环境下工作，提供证明材料不限于配置截图、检测报告和官网截图。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17. 支持IP仿冒、ARP欺骗、ARP泛洪等常见网络威胁的定位和阻断，提供证明材料不限于配置截图、检测报告和官网截图。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 支持对病毒的网络层传播行为进行溯源及阻断，防止内网病毒扩散，提供证明材料不限于配置截图、检测报告和官网截图。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 支持“肉鸡”源主机、ARP攻击源主机的溯源及阻断，提供证明材料不限于配置截图、检测报告和官网截图。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至此DHCP Client、DHCP Relay、DHCP Snoop ing等。</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1,480.00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1,480.00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电机线阻</w:t>
            </w:r>
          </w:p>
        </w:tc>
        <w:tc>
          <w:tcPr>
            <w:tcW w:w="6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适用</w:t>
            </w:r>
            <w:r>
              <w:rPr>
                <w:rFonts w:hint="default" w:ascii="宋体" w:hAnsi="宋体" w:eastAsia="宋体" w:cs="宋体"/>
                <w:i w:val="0"/>
                <w:iCs w:val="0"/>
                <w:color w:val="000000"/>
                <w:kern w:val="0"/>
                <w:sz w:val="20"/>
                <w:szCs w:val="20"/>
                <w:u w:val="none"/>
                <w:lang w:val="en-US" w:eastAsia="zh-CN" w:bidi="ar"/>
              </w:rPr>
              <w:t>于380V160L-2 18.5K</w:t>
            </w:r>
            <w:r>
              <w:rPr>
                <w:rFonts w:hint="eastAsia" w:ascii="宋体" w:hAnsi="宋体" w:eastAsia="宋体" w:cs="宋体"/>
                <w:i w:val="0"/>
                <w:iCs w:val="0"/>
                <w:color w:val="000000"/>
                <w:kern w:val="0"/>
                <w:sz w:val="20"/>
                <w:szCs w:val="20"/>
                <w:u w:val="none"/>
                <w:lang w:val="en-US" w:eastAsia="zh-CN" w:bidi="ar"/>
              </w:rPr>
              <w:t xml:space="preserve">W电机，负责安装调试，正常运行。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480.00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480.00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电机熔断器</w:t>
            </w:r>
          </w:p>
        </w:tc>
        <w:tc>
          <w:tcPr>
            <w:tcW w:w="6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适用</w:t>
            </w:r>
            <w:r>
              <w:rPr>
                <w:rFonts w:hint="default" w:ascii="宋体" w:hAnsi="宋体" w:eastAsia="宋体" w:cs="宋体"/>
                <w:i w:val="0"/>
                <w:iCs w:val="0"/>
                <w:color w:val="000000"/>
                <w:kern w:val="0"/>
                <w:sz w:val="20"/>
                <w:szCs w:val="20"/>
                <w:u w:val="none"/>
                <w:lang w:val="en-US" w:eastAsia="zh-CN" w:bidi="ar"/>
              </w:rPr>
              <w:t>于380V160L-2 18.5K</w:t>
            </w:r>
            <w:r>
              <w:rPr>
                <w:rFonts w:hint="eastAsia" w:ascii="宋体" w:hAnsi="宋体" w:eastAsia="宋体" w:cs="宋体"/>
                <w:i w:val="0"/>
                <w:iCs w:val="0"/>
                <w:color w:val="000000"/>
                <w:kern w:val="0"/>
                <w:sz w:val="20"/>
                <w:szCs w:val="20"/>
                <w:u w:val="none"/>
                <w:lang w:val="en-US" w:eastAsia="zh-CN" w:bidi="ar"/>
              </w:rPr>
              <w:t xml:space="preserve">W电机，负责安装调试，正常运行。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450.00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450.00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电机继电器</w:t>
            </w:r>
          </w:p>
        </w:tc>
        <w:tc>
          <w:tcPr>
            <w:tcW w:w="6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适用</w:t>
            </w:r>
            <w:r>
              <w:rPr>
                <w:rFonts w:hint="default" w:ascii="宋体" w:hAnsi="宋体" w:eastAsia="宋体" w:cs="宋体"/>
                <w:i w:val="0"/>
                <w:iCs w:val="0"/>
                <w:color w:val="000000"/>
                <w:kern w:val="0"/>
                <w:sz w:val="20"/>
                <w:szCs w:val="20"/>
                <w:u w:val="none"/>
                <w:lang w:val="en-US" w:eastAsia="zh-CN" w:bidi="ar"/>
              </w:rPr>
              <w:t>于380V160L-2 18.5K</w:t>
            </w:r>
            <w:r>
              <w:rPr>
                <w:rFonts w:hint="eastAsia" w:ascii="宋体" w:hAnsi="宋体" w:eastAsia="宋体" w:cs="宋体"/>
                <w:i w:val="0"/>
                <w:iCs w:val="0"/>
                <w:color w:val="000000"/>
                <w:kern w:val="0"/>
                <w:sz w:val="20"/>
                <w:szCs w:val="20"/>
                <w:u w:val="none"/>
                <w:lang w:val="en-US" w:eastAsia="zh-CN" w:bidi="ar"/>
              </w:rPr>
              <w:t xml:space="preserve">W电机，负责安装调试，正常运行。 </w:t>
            </w:r>
          </w:p>
        </w:tc>
        <w:tc>
          <w:tcPr>
            <w:tcW w:w="66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w:t>
            </w:r>
          </w:p>
        </w:tc>
        <w:tc>
          <w:tcPr>
            <w:tcW w:w="6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YJV5*16平方国标纯铜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25.00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3,000.00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7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辅助村料</w:t>
            </w:r>
          </w:p>
        </w:tc>
        <w:tc>
          <w:tcPr>
            <w:tcW w:w="65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根据现场情况需求材料</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4,000.00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4,000.00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sz w:val="24"/>
                <w:szCs w:val="24"/>
                <w:u w:val="none"/>
              </w:rPr>
            </w:pPr>
            <w:r>
              <w:rPr>
                <w:rFonts w:hint="default" w:ascii="Times New Roman" w:hAnsi="Times New Roman" w:eastAsia="Tahoma" w:cs="Times New Roman"/>
                <w:i w:val="0"/>
                <w:iCs w:val="0"/>
                <w:color w:val="000000"/>
                <w:kern w:val="0"/>
                <w:sz w:val="24"/>
                <w:szCs w:val="24"/>
                <w:u w:val="none"/>
                <w:lang w:val="en-US" w:eastAsia="zh-CN" w:bidi="ar"/>
              </w:rPr>
              <w:t>11</w:t>
            </w:r>
          </w:p>
        </w:tc>
        <w:tc>
          <w:tcPr>
            <w:tcW w:w="9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65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车辆识别系统安装及调试</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5,000.00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Tahoma"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10851"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总计（元）</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50,000.00 </w:t>
            </w:r>
          </w:p>
        </w:tc>
        <w:tc>
          <w:tcPr>
            <w:tcW w:w="16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783" w:type="dxa"/>
            <w:gridSpan w:val="8"/>
            <w:vMerge w:val="restart"/>
            <w:tcBorders>
              <w:top w:val="nil"/>
              <w:left w:val="nil"/>
              <w:bottom w:val="nil"/>
              <w:right w:val="nil"/>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72"/>
                <w:szCs w:val="72"/>
                <w:u w:val="none"/>
              </w:rPr>
            </w:pPr>
            <w:r>
              <w:rPr>
                <w:rFonts w:hint="eastAsia" w:ascii="宋体" w:hAnsi="宋体" w:eastAsia="宋体" w:cs="宋体"/>
                <w:i w:val="0"/>
                <w:iCs w:val="0"/>
                <w:color w:val="000000"/>
                <w:kern w:val="0"/>
                <w:sz w:val="36"/>
                <w:szCs w:val="36"/>
                <w:u w:val="none"/>
                <w:lang w:val="en-US" w:eastAsia="zh-CN" w:bidi="ar"/>
              </w:rPr>
              <w:t>招标公示</w:t>
            </w:r>
            <w:r>
              <w:rPr>
                <w:rFonts w:hint="default" w:ascii="Tahoma" w:hAnsi="Tahoma" w:eastAsia="Tahoma" w:cs="Tahoma"/>
                <w:i w:val="0"/>
                <w:iCs w:val="0"/>
                <w:color w:val="000000"/>
                <w:kern w:val="0"/>
                <w:sz w:val="36"/>
                <w:szCs w:val="36"/>
                <w:u w:val="none"/>
                <w:lang w:val="en-US" w:eastAsia="zh-CN" w:bidi="ar"/>
              </w:rPr>
              <w:t>3</w:t>
            </w:r>
            <w:r>
              <w:rPr>
                <w:rFonts w:hint="eastAsia" w:ascii="宋体" w:hAnsi="宋体" w:eastAsia="宋体" w:cs="宋体"/>
                <w:i w:val="0"/>
                <w:iCs w:val="0"/>
                <w:color w:val="000000"/>
                <w:kern w:val="0"/>
                <w:sz w:val="36"/>
                <w:szCs w:val="36"/>
                <w:u w:val="none"/>
                <w:lang w:val="en-US" w:eastAsia="zh-CN" w:bidi="ar"/>
              </w:rPr>
              <w:t>天内签合同，</w:t>
            </w:r>
            <w:r>
              <w:rPr>
                <w:rFonts w:hint="default" w:ascii="Tahoma" w:hAnsi="Tahoma" w:eastAsia="Tahoma" w:cs="Tahoma"/>
                <w:i w:val="0"/>
                <w:iCs w:val="0"/>
                <w:color w:val="000000"/>
                <w:kern w:val="0"/>
                <w:sz w:val="36"/>
                <w:szCs w:val="36"/>
                <w:u w:val="none"/>
                <w:lang w:val="en-US" w:eastAsia="zh-CN" w:bidi="ar"/>
              </w:rPr>
              <w:t>5</w:t>
            </w:r>
            <w:r>
              <w:rPr>
                <w:rFonts w:hint="eastAsia" w:ascii="宋体" w:hAnsi="宋体" w:eastAsia="宋体" w:cs="宋体"/>
                <w:i w:val="0"/>
                <w:iCs w:val="0"/>
                <w:color w:val="000000"/>
                <w:kern w:val="0"/>
                <w:sz w:val="36"/>
                <w:szCs w:val="36"/>
                <w:u w:val="none"/>
                <w:lang w:val="en-US" w:eastAsia="zh-CN" w:bidi="ar"/>
              </w:rPr>
              <w:t>天内完成供货。</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783" w:type="dxa"/>
            <w:gridSpan w:val="8"/>
            <w:vMerge w:val="continue"/>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72"/>
                <w:szCs w:val="7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783" w:type="dxa"/>
            <w:gridSpan w:val="8"/>
            <w:vMerge w:val="continue"/>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72"/>
                <w:szCs w:val="7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41FC5"/>
    <w:rsid w:val="43E41FC5"/>
    <w:rsid w:val="52EE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uiPriority w:val="0"/>
    <w:rPr>
      <w:rFonts w:hint="default" w:ascii="Arial" w:hAnsi="Arial" w:cs="Arial"/>
      <w:color w:val="FFFFFF"/>
      <w:sz w:val="20"/>
      <w:szCs w:val="20"/>
      <w:u w:val="none"/>
    </w:rPr>
  </w:style>
  <w:style w:type="character" w:customStyle="1" w:styleId="5">
    <w:name w:val="font31"/>
    <w:basedOn w:val="3"/>
    <w:uiPriority w:val="0"/>
    <w:rPr>
      <w:rFonts w:hint="eastAsia" w:ascii="宋体" w:hAnsi="宋体" w:eastAsia="宋体" w:cs="宋体"/>
      <w:color w:val="FFFFFF"/>
      <w:sz w:val="20"/>
      <w:szCs w:val="20"/>
      <w:u w:val="none"/>
    </w:rPr>
  </w:style>
  <w:style w:type="character" w:customStyle="1" w:styleId="6">
    <w:name w:val="font21"/>
    <w:basedOn w:val="3"/>
    <w:uiPriority w:val="0"/>
    <w:rPr>
      <w:rFonts w:hint="eastAsia" w:ascii="宋体" w:hAnsi="宋体" w:eastAsia="宋体" w:cs="宋体"/>
      <w:color w:val="000000"/>
      <w:sz w:val="20"/>
      <w:szCs w:val="20"/>
      <w:u w:val="none"/>
    </w:rPr>
  </w:style>
  <w:style w:type="character" w:customStyle="1" w:styleId="7">
    <w:name w:val="font191"/>
    <w:basedOn w:val="3"/>
    <w:uiPriority w:val="0"/>
    <w:rPr>
      <w:rFonts w:hint="default" w:ascii="Tahoma" w:hAnsi="Tahoma" w:eastAsia="Tahoma" w:cs="Tahoma"/>
      <w:b/>
      <w:bCs/>
      <w:color w:val="333333"/>
      <w:sz w:val="20"/>
      <w:szCs w:val="20"/>
      <w:u w:val="none"/>
    </w:rPr>
  </w:style>
  <w:style w:type="character" w:customStyle="1" w:styleId="8">
    <w:name w:val="font201"/>
    <w:basedOn w:val="3"/>
    <w:uiPriority w:val="0"/>
    <w:rPr>
      <w:rFonts w:hint="eastAsia" w:ascii="宋体" w:hAnsi="宋体" w:eastAsia="宋体" w:cs="宋体"/>
      <w:b/>
      <w:bCs/>
      <w:color w:val="333333"/>
      <w:sz w:val="20"/>
      <w:szCs w:val="20"/>
      <w:u w:val="none"/>
    </w:rPr>
  </w:style>
  <w:style w:type="character" w:customStyle="1" w:styleId="9">
    <w:name w:val="font161"/>
    <w:basedOn w:val="3"/>
    <w:uiPriority w:val="0"/>
    <w:rPr>
      <w:rFonts w:hint="eastAsia" w:ascii="宋体" w:hAnsi="宋体" w:eastAsia="宋体" w:cs="宋体"/>
      <w:color w:val="000000"/>
      <w:sz w:val="72"/>
      <w:szCs w:val="72"/>
      <w:u w:val="none"/>
    </w:rPr>
  </w:style>
  <w:style w:type="character" w:customStyle="1" w:styleId="10">
    <w:name w:val="font121"/>
    <w:basedOn w:val="3"/>
    <w:uiPriority w:val="0"/>
    <w:rPr>
      <w:rFonts w:hint="default" w:ascii="Tahoma" w:hAnsi="Tahoma" w:eastAsia="Tahoma" w:cs="Tahoma"/>
      <w:color w:val="000000"/>
      <w:sz w:val="72"/>
      <w:szCs w:val="7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2022-08-02T01:27:00Z</dcterms:created>
  <dc:creator>当下</dc:creator>
  <cp:lastModifiedBy>当下</cp:lastModifiedBy>
  <dcterms:modified xsi:type="dcterms:W3CDTF">2022-08-02T03:15:22Z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194F2D05285B4E6AAF982D3674783393</vt:lpwstr>
  </property>
</Properties>
</file>