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七台河市市场监督管理局2022年车辆维修保养服务分散采购项目采购计划表</w:t>
      </w:r>
    </w:p>
    <w:bookmarkEnd w:id="0"/>
    <w:tbl>
      <w:tblPr>
        <w:tblStyle w:val="5"/>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385"/>
        <w:gridCol w:w="600"/>
        <w:gridCol w:w="1755"/>
        <w:gridCol w:w="1035"/>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 w:hRule="atLeast"/>
          <w:jc w:val="center"/>
        </w:trPr>
        <w:tc>
          <w:tcPr>
            <w:tcW w:w="1095" w:type="dxa"/>
            <w:vAlign w:val="center"/>
          </w:tcPr>
          <w:p>
            <w:pPr>
              <w:jc w:val="center"/>
              <w:rPr>
                <w:rFonts w:ascii="宋体" w:hAnsi="宋体" w:cs="宋体"/>
                <w:bCs/>
                <w:szCs w:val="21"/>
              </w:rPr>
            </w:pPr>
            <w:r>
              <w:rPr>
                <w:rFonts w:hint="eastAsia" w:ascii="宋体" w:hAnsi="宋体" w:cs="宋体"/>
                <w:bCs/>
                <w:szCs w:val="21"/>
              </w:rPr>
              <w:t>采购品目</w:t>
            </w:r>
          </w:p>
          <w:p>
            <w:pPr>
              <w:jc w:val="center"/>
              <w:rPr>
                <w:rFonts w:ascii="宋体" w:hAnsi="宋体" w:cs="宋体"/>
                <w:bCs/>
                <w:szCs w:val="21"/>
              </w:rPr>
            </w:pPr>
            <w:r>
              <w:rPr>
                <w:rFonts w:hint="eastAsia" w:ascii="宋体" w:hAnsi="宋体" w:cs="宋体"/>
                <w:bCs/>
                <w:szCs w:val="21"/>
              </w:rPr>
              <w:t>名称</w:t>
            </w:r>
          </w:p>
        </w:tc>
        <w:tc>
          <w:tcPr>
            <w:tcW w:w="3385" w:type="dxa"/>
            <w:vAlign w:val="center"/>
          </w:tcPr>
          <w:p>
            <w:pPr>
              <w:jc w:val="center"/>
              <w:rPr>
                <w:rFonts w:ascii="宋体" w:hAnsi="宋体" w:cs="宋体"/>
                <w:bCs/>
                <w:szCs w:val="21"/>
              </w:rPr>
            </w:pPr>
            <w:r>
              <w:rPr>
                <w:rFonts w:hint="eastAsia" w:ascii="宋体" w:hAnsi="宋体" w:cs="宋体"/>
                <w:bCs/>
                <w:szCs w:val="21"/>
              </w:rPr>
              <w:t>主要技术参数和要求</w:t>
            </w:r>
          </w:p>
        </w:tc>
        <w:tc>
          <w:tcPr>
            <w:tcW w:w="600" w:type="dxa"/>
            <w:vAlign w:val="center"/>
          </w:tcPr>
          <w:p>
            <w:pPr>
              <w:jc w:val="center"/>
              <w:rPr>
                <w:rFonts w:ascii="宋体" w:hAnsi="宋体" w:cs="宋体"/>
                <w:bCs/>
                <w:szCs w:val="21"/>
              </w:rPr>
            </w:pPr>
            <w:r>
              <w:rPr>
                <w:rFonts w:hint="eastAsia" w:ascii="宋体" w:hAnsi="宋体" w:cs="宋体"/>
                <w:bCs/>
                <w:szCs w:val="21"/>
              </w:rPr>
              <w:t>单位</w:t>
            </w:r>
          </w:p>
        </w:tc>
        <w:tc>
          <w:tcPr>
            <w:tcW w:w="1755" w:type="dxa"/>
            <w:vAlign w:val="center"/>
          </w:tcPr>
          <w:p>
            <w:pPr>
              <w:jc w:val="center"/>
              <w:rPr>
                <w:rFonts w:ascii="宋体" w:hAnsi="宋体" w:cs="宋体"/>
                <w:bCs/>
                <w:szCs w:val="21"/>
              </w:rPr>
            </w:pPr>
            <w:r>
              <w:rPr>
                <w:rFonts w:hint="eastAsia" w:ascii="宋体" w:hAnsi="宋体" w:cs="宋体"/>
                <w:bCs/>
                <w:szCs w:val="21"/>
              </w:rPr>
              <w:t>单价</w:t>
            </w:r>
          </w:p>
          <w:p>
            <w:pPr>
              <w:jc w:val="center"/>
              <w:rPr>
                <w:rFonts w:ascii="宋体" w:hAnsi="宋体" w:cs="宋体"/>
                <w:bCs/>
                <w:szCs w:val="21"/>
              </w:rPr>
            </w:pPr>
            <w:r>
              <w:rPr>
                <w:rFonts w:hint="eastAsia" w:ascii="宋体" w:hAnsi="宋体" w:cs="宋体"/>
                <w:bCs/>
                <w:szCs w:val="21"/>
              </w:rPr>
              <w:t>元</w:t>
            </w:r>
          </w:p>
        </w:tc>
        <w:tc>
          <w:tcPr>
            <w:tcW w:w="1035" w:type="dxa"/>
            <w:vAlign w:val="center"/>
          </w:tcPr>
          <w:p>
            <w:pPr>
              <w:jc w:val="center"/>
              <w:rPr>
                <w:rFonts w:ascii="宋体" w:hAnsi="宋体" w:cs="宋体"/>
                <w:bCs/>
                <w:szCs w:val="21"/>
              </w:rPr>
            </w:pPr>
            <w:r>
              <w:rPr>
                <w:rFonts w:hint="eastAsia" w:ascii="宋体" w:hAnsi="宋体" w:cs="宋体"/>
                <w:bCs/>
                <w:szCs w:val="21"/>
              </w:rPr>
              <w:t>数量</w:t>
            </w:r>
          </w:p>
        </w:tc>
        <w:tc>
          <w:tcPr>
            <w:tcW w:w="1897" w:type="dxa"/>
            <w:vAlign w:val="center"/>
          </w:tcPr>
          <w:p>
            <w:pPr>
              <w:jc w:val="center"/>
              <w:rPr>
                <w:rFonts w:ascii="宋体" w:hAnsi="宋体" w:cs="宋体"/>
                <w:bCs/>
                <w:szCs w:val="21"/>
              </w:rPr>
            </w:pPr>
            <w:r>
              <w:rPr>
                <w:rFonts w:hint="eastAsia" w:ascii="宋体" w:hAnsi="宋体" w:cs="宋体"/>
                <w:bCs/>
                <w:szCs w:val="21"/>
              </w:rPr>
              <w:t>总 价</w:t>
            </w:r>
          </w:p>
          <w:p>
            <w:pPr>
              <w:jc w:val="center"/>
              <w:rPr>
                <w:rFonts w:ascii="宋体" w:hAnsi="宋体" w:cs="宋体"/>
                <w:bCs/>
                <w:szCs w:val="21"/>
              </w:rPr>
            </w:pPr>
            <w:r>
              <w:rPr>
                <w:rFonts w:hint="eastAsia" w:ascii="宋体" w:hAnsi="宋体" w:cs="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095" w:type="dxa"/>
            <w:vAlign w:val="center"/>
          </w:tcPr>
          <w:p>
            <w:pPr>
              <w:pStyle w:val="2"/>
              <w:ind w:firstLine="0" w:firstLineChars="0"/>
              <w:jc w:val="center"/>
              <w:rPr>
                <w:rFonts w:cs="宋体"/>
                <w:bCs/>
                <w:sz w:val="21"/>
                <w:szCs w:val="21"/>
              </w:rPr>
            </w:pPr>
            <w:r>
              <w:rPr>
                <w:rFonts w:hint="eastAsia" w:cs="宋体"/>
                <w:bCs/>
                <w:sz w:val="21"/>
                <w:szCs w:val="21"/>
              </w:rPr>
              <w:t>七台河市市场局车辆维修保养服务</w:t>
            </w:r>
          </w:p>
        </w:tc>
        <w:tc>
          <w:tcPr>
            <w:tcW w:w="3385" w:type="dxa"/>
            <w:vAlign w:val="center"/>
          </w:tcPr>
          <w:p>
            <w:pPr>
              <w:spacing w:line="240" w:lineRule="exact"/>
              <w:rPr>
                <w:rFonts w:ascii="宋体" w:hAnsi="宋体" w:cs="宋体"/>
                <w:bCs/>
                <w:szCs w:val="21"/>
              </w:rPr>
            </w:pPr>
            <w:r>
              <w:rPr>
                <w:rFonts w:hint="eastAsia" w:ascii="宋体" w:hAnsi="宋体" w:cs="宋体"/>
                <w:bCs/>
                <w:szCs w:val="21"/>
              </w:rPr>
              <w:t xml:space="preserve">现有车辆28辆，为保障市场监管工作顺利进行，必须保证车辆的正常使用，所有车辆需定期维修、保养及特殊故障处理。  </w:t>
            </w:r>
          </w:p>
          <w:p>
            <w:pPr>
              <w:spacing w:line="240" w:lineRule="exact"/>
              <w:rPr>
                <w:rFonts w:ascii="宋体" w:hAnsi="宋体" w:cs="宋体"/>
                <w:bCs/>
                <w:szCs w:val="21"/>
              </w:rPr>
            </w:pPr>
          </w:p>
          <w:p>
            <w:pPr>
              <w:spacing w:line="240" w:lineRule="exact"/>
              <w:rPr>
                <w:rFonts w:ascii="宋体" w:hAnsi="宋体" w:cs="宋体"/>
                <w:bCs/>
                <w:szCs w:val="21"/>
              </w:rPr>
            </w:pPr>
            <w:r>
              <w:rPr>
                <w:rFonts w:hint="eastAsia" w:ascii="宋体" w:hAnsi="宋体" w:cs="宋体"/>
                <w:bCs/>
                <w:szCs w:val="21"/>
              </w:rPr>
              <w:t>车辆维修保养明细见附件</w:t>
            </w:r>
          </w:p>
        </w:tc>
        <w:tc>
          <w:tcPr>
            <w:tcW w:w="600" w:type="dxa"/>
            <w:vAlign w:val="center"/>
          </w:tcPr>
          <w:p>
            <w:pPr>
              <w:spacing w:line="240" w:lineRule="exact"/>
              <w:rPr>
                <w:rFonts w:ascii="宋体" w:hAnsi="宋体" w:cs="宋体"/>
                <w:bCs/>
                <w:szCs w:val="21"/>
              </w:rPr>
            </w:pPr>
            <w:r>
              <w:rPr>
                <w:rFonts w:hint="eastAsia" w:ascii="宋体" w:hAnsi="宋体" w:cs="宋体"/>
                <w:bCs/>
                <w:szCs w:val="21"/>
              </w:rPr>
              <w:t>项</w:t>
            </w:r>
          </w:p>
        </w:tc>
        <w:tc>
          <w:tcPr>
            <w:tcW w:w="1755" w:type="dxa"/>
            <w:vAlign w:val="center"/>
          </w:tcPr>
          <w:p>
            <w:pPr>
              <w:spacing w:line="240" w:lineRule="exact"/>
              <w:jc w:val="center"/>
              <w:rPr>
                <w:rFonts w:ascii="宋体" w:hAnsi="宋体" w:cs="宋体"/>
                <w:bCs/>
                <w:szCs w:val="21"/>
              </w:rPr>
            </w:pPr>
            <w:r>
              <w:rPr>
                <w:rFonts w:hint="eastAsia" w:ascii="宋体" w:hAnsi="宋体" w:cs="宋体"/>
                <w:color w:val="000000"/>
                <w:kern w:val="0"/>
                <w:szCs w:val="21"/>
                <w:lang w:bidi="ar"/>
              </w:rPr>
              <w:t>350,000.00</w:t>
            </w:r>
          </w:p>
        </w:tc>
        <w:tc>
          <w:tcPr>
            <w:tcW w:w="1035" w:type="dxa"/>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1897" w:type="dxa"/>
            <w:vAlign w:val="center"/>
          </w:tcPr>
          <w:p>
            <w:pPr>
              <w:spacing w:line="240" w:lineRule="exact"/>
              <w:jc w:val="center"/>
              <w:rPr>
                <w:rFonts w:ascii="宋体" w:hAnsi="宋体" w:cs="宋体"/>
                <w:bCs/>
                <w:szCs w:val="21"/>
              </w:rPr>
            </w:pPr>
            <w:r>
              <w:rPr>
                <w:rFonts w:hint="eastAsia" w:ascii="宋体" w:hAnsi="宋体" w:cs="宋体"/>
                <w:color w:val="000000"/>
                <w:kern w:val="0"/>
                <w:szCs w:val="21"/>
                <w:lang w:bidi="ar"/>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95" w:type="dxa"/>
            <w:vAlign w:val="center"/>
          </w:tcPr>
          <w:p>
            <w:pPr>
              <w:spacing w:line="240" w:lineRule="exact"/>
              <w:jc w:val="center"/>
              <w:rPr>
                <w:rFonts w:ascii="宋体" w:hAnsi="宋体" w:cs="宋体"/>
                <w:bCs/>
                <w:szCs w:val="21"/>
              </w:rPr>
            </w:pPr>
            <w:r>
              <w:rPr>
                <w:rFonts w:hint="eastAsia" w:ascii="宋体" w:hAnsi="宋体" w:cs="宋体"/>
                <w:bCs/>
                <w:szCs w:val="21"/>
              </w:rPr>
              <w:t>合计</w:t>
            </w:r>
          </w:p>
        </w:tc>
        <w:tc>
          <w:tcPr>
            <w:tcW w:w="3385" w:type="dxa"/>
            <w:vAlign w:val="center"/>
          </w:tcPr>
          <w:p>
            <w:pPr>
              <w:spacing w:line="240" w:lineRule="exact"/>
              <w:rPr>
                <w:rFonts w:ascii="宋体" w:hAnsi="宋体" w:cs="宋体"/>
                <w:bCs/>
                <w:szCs w:val="21"/>
              </w:rPr>
            </w:pPr>
            <w:r>
              <w:rPr>
                <w:rFonts w:hint="eastAsia" w:ascii="宋体" w:hAnsi="宋体" w:cs="宋体"/>
                <w:bCs/>
                <w:szCs w:val="21"/>
              </w:rPr>
              <w:t>人民币大写：叁拾捌万元整</w:t>
            </w:r>
          </w:p>
        </w:tc>
        <w:tc>
          <w:tcPr>
            <w:tcW w:w="5287" w:type="dxa"/>
            <w:gridSpan w:val="4"/>
            <w:vAlign w:val="center"/>
          </w:tcPr>
          <w:p>
            <w:pPr>
              <w:spacing w:line="240" w:lineRule="exact"/>
              <w:rPr>
                <w:rFonts w:ascii="宋体" w:hAnsi="宋体" w:cs="宋体"/>
                <w:bCs/>
                <w:szCs w:val="21"/>
              </w:rPr>
            </w:pPr>
            <w:r>
              <w:rPr>
                <w:rFonts w:hint="eastAsia" w:ascii="宋体" w:hAnsi="宋体" w:cs="宋体"/>
                <w:bCs/>
                <w:szCs w:val="21"/>
              </w:rPr>
              <w:t>人民币小写：</w:t>
            </w:r>
            <w:r>
              <w:rPr>
                <w:rFonts w:hint="eastAsia" w:ascii="宋体" w:hAnsi="宋体" w:cs="宋体"/>
                <w:color w:val="000000"/>
                <w:kern w:val="0"/>
                <w:szCs w:val="21"/>
                <w:lang w:bidi="ar"/>
              </w:rPr>
              <w:t>350,000.00</w:t>
            </w:r>
          </w:p>
        </w:tc>
      </w:tr>
    </w:tbl>
    <w:p>
      <w:pPr>
        <w:pStyle w:val="2"/>
        <w:ind w:firstLine="0" w:firstLineChars="0"/>
        <w:rPr>
          <w:rFonts w:ascii="Times New Roman" w:hAnsi="Times New Roman"/>
          <w:sz w:val="21"/>
          <w:szCs w:val="24"/>
        </w:rPr>
      </w:pPr>
    </w:p>
    <w:tbl>
      <w:tblPr>
        <w:tblStyle w:val="5"/>
        <w:tblW w:w="9542" w:type="dxa"/>
        <w:jc w:val="center"/>
        <w:tblLayout w:type="fixed"/>
        <w:tblCellMar>
          <w:top w:w="0" w:type="dxa"/>
          <w:left w:w="0" w:type="dxa"/>
          <w:bottom w:w="0" w:type="dxa"/>
          <w:right w:w="0" w:type="dxa"/>
        </w:tblCellMar>
      </w:tblPr>
      <w:tblGrid>
        <w:gridCol w:w="519"/>
        <w:gridCol w:w="1324"/>
        <w:gridCol w:w="1125"/>
        <w:gridCol w:w="992"/>
        <w:gridCol w:w="992"/>
        <w:gridCol w:w="1736"/>
        <w:gridCol w:w="2854"/>
      </w:tblGrid>
      <w:tr>
        <w:tblPrEx>
          <w:tblCellMar>
            <w:top w:w="0" w:type="dxa"/>
            <w:left w:w="0" w:type="dxa"/>
            <w:bottom w:w="0" w:type="dxa"/>
            <w:right w:w="0" w:type="dxa"/>
          </w:tblCellMar>
        </w:tblPrEx>
        <w:trPr>
          <w:trHeight w:val="625" w:hRule="atLeast"/>
          <w:jc w:val="center"/>
        </w:trPr>
        <w:tc>
          <w:tcPr>
            <w:tcW w:w="51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132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车牌号</w:t>
            </w:r>
          </w:p>
        </w:tc>
        <w:tc>
          <w:tcPr>
            <w:tcW w:w="11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品牌名</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车辆类型</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排气量</w:t>
            </w:r>
          </w:p>
        </w:tc>
        <w:tc>
          <w:tcPr>
            <w:tcW w:w="173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购置时间（年月）</w:t>
            </w:r>
          </w:p>
        </w:tc>
        <w:tc>
          <w:tcPr>
            <w:tcW w:w="285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18"/>
                <w:szCs w:val="18"/>
                <w:lang w:bidi="ar"/>
              </w:rPr>
            </w:pPr>
            <w:r>
              <w:rPr>
                <w:rFonts w:hint="eastAsia" w:ascii="宋体" w:hAnsi="宋体" w:cs="宋体"/>
                <w:b/>
                <w:color w:val="000000"/>
                <w:kern w:val="0"/>
                <w:sz w:val="18"/>
                <w:szCs w:val="18"/>
                <w:lang w:bidi="ar"/>
              </w:rPr>
              <w:t>主要技术参数和要求</w:t>
            </w: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黑KC1820</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大众</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1.8</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2012.11.29</w:t>
            </w:r>
          </w:p>
        </w:tc>
        <w:tc>
          <w:tcPr>
            <w:tcW w:w="285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kern w:val="36"/>
                <w:sz w:val="24"/>
              </w:rPr>
              <w:t>负责所有</w:t>
            </w:r>
            <w:r>
              <w:rPr>
                <w:rFonts w:hint="eastAsia" w:ascii="宋体" w:hAnsi="宋体"/>
                <w:kern w:val="36"/>
                <w:sz w:val="24"/>
              </w:rPr>
              <w:t>所有车辆定期维修、保养及特殊故障处理。</w:t>
            </w:r>
            <w:r>
              <w:rPr>
                <w:rFonts w:hint="eastAsia" w:ascii="宋体" w:hAnsi="宋体" w:cs="宋体"/>
                <w:kern w:val="36"/>
                <w:sz w:val="24"/>
              </w:rPr>
              <w:t>保障车辆发动机保持正常工作状态，定期检查机油、防冻液、刹车油、助力油等影响发动机因素的项目，底盘电器应定期由专业技师检查，如发现问题和特殊故障及时处理。烤漆房、车辆大梁校正仪、四轮定位仪等维修设备要保持正常运转，负责轮胎保养、维修、更换，保障公务车辆的行车安全。</w:t>
            </w: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2</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黑KC1851</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大众</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1.8</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2012.11.29</w:t>
            </w:r>
          </w:p>
        </w:tc>
        <w:tc>
          <w:tcPr>
            <w:tcW w:w="2854" w:type="dxa"/>
            <w:vMerge w:val="continue"/>
            <w:tcBorders>
              <w:left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3</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黑KC2565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别克</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商务车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2.5</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2009.07.17</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4</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黑KC1217</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雅阁</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2011.11.02</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5</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黑K07788</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东风雪铁龙</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2011.10.21</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6</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黑K00682</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帕萨特</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1.8</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2008.07.14</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7</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黑K1902A</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8</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黑KA1152</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2013.05.13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9</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黑KA1195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2013.05.13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10</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黑K1901A</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11</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黑K1907A</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12</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黑KC2263</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捷达</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1.6</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2012.09.13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90"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13</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黑K1905A</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r>
              <w:rPr>
                <w:rFonts w:hint="eastAsia"/>
                <w:color w:val="000000"/>
                <w:szCs w:val="21"/>
              </w:rPr>
              <w:t>五菱</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599" w:hRule="atLeast"/>
          <w:jc w:val="center"/>
        </w:trPr>
        <w:tc>
          <w:tcPr>
            <w:tcW w:w="51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3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黑K1906A</w:t>
            </w:r>
          </w:p>
        </w:tc>
        <w:tc>
          <w:tcPr>
            <w:tcW w:w="11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五菱</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
                <w:color w:val="000000"/>
                <w:kern w:val="0"/>
                <w:sz w:val="18"/>
                <w:szCs w:val="18"/>
                <w:lang w:bidi="ar"/>
              </w:rPr>
            </w:pPr>
            <w:r>
              <w:rPr>
                <w:rFonts w:hint="eastAsia" w:ascii="宋体" w:hAnsi="宋体" w:cs="宋体"/>
                <w:kern w:val="36"/>
                <w:sz w:val="24"/>
              </w:rPr>
              <w:t>负责所有</w:t>
            </w:r>
            <w:r>
              <w:rPr>
                <w:rFonts w:hint="eastAsia" w:ascii="宋体" w:hAnsi="宋体"/>
                <w:kern w:val="36"/>
                <w:sz w:val="24"/>
              </w:rPr>
              <w:t>所有车辆定期维修、保养及特殊故障处理。</w:t>
            </w:r>
            <w:r>
              <w:rPr>
                <w:rFonts w:hint="eastAsia" w:ascii="宋体" w:hAnsi="宋体" w:cs="宋体"/>
                <w:kern w:val="36"/>
                <w:sz w:val="24"/>
              </w:rPr>
              <w:t>保障车辆发动机保持正常工作状态，定期检查机油、防冻液、刹车油、助力油等影响发动机因素的项目，底盘电器应定期由专业技师检查，如发现问题和特殊故障及时处理。烤漆房、车辆大梁校正仪、四轮定位仪等维修设备要保持正常运转，负责轮胎保养、维修、更换，保障公务车辆的行车安全。</w:t>
            </w: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w:t>
            </w:r>
          </w:p>
        </w:tc>
        <w:tc>
          <w:tcPr>
            <w:tcW w:w="132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黑K1903A</w:t>
            </w:r>
          </w:p>
        </w:tc>
        <w:tc>
          <w:tcPr>
            <w:tcW w:w="11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五菱</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jc w:val="center"/>
              <w:textAlignment w:val="center"/>
              <w:rPr>
                <w:rFonts w:ascii="Calibri" w:hAnsi="Calibri" w:eastAsia="仿宋_GB2312"/>
                <w:b/>
                <w:kern w:val="36"/>
                <w:sz w:val="32"/>
                <w:szCs w:val="32"/>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16</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黑KC2808</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速腾</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1.8</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2008.11.06</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17</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黑KC2659</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东风雪铁龙</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2010.06.07</w:t>
            </w:r>
          </w:p>
        </w:tc>
        <w:tc>
          <w:tcPr>
            <w:tcW w:w="2854" w:type="dxa"/>
            <w:vMerge w:val="continue"/>
            <w:tcBorders>
              <w:left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18</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黑KC2297</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东风雪铁龙</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2010.06.07</w:t>
            </w:r>
          </w:p>
        </w:tc>
        <w:tc>
          <w:tcPr>
            <w:tcW w:w="2854" w:type="dxa"/>
            <w:vMerge w:val="continue"/>
            <w:tcBorders>
              <w:left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19</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黑RC2305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哈飞</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1.5</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2010.12.23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20</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黑KC2639</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北京现代</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1.6</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2012.03.21</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21</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黑KC2686</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捷达</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1.6</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2012.09.13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13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黑KC2379</w:t>
            </w:r>
          </w:p>
        </w:tc>
        <w:tc>
          <w:tcPr>
            <w:tcW w:w="11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东风雪铁龙</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轿车</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2010.06.07</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23</w:t>
            </w:r>
          </w:p>
        </w:tc>
        <w:tc>
          <w:tcPr>
            <w:tcW w:w="132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黑KA0610</w:t>
            </w:r>
          </w:p>
        </w:tc>
        <w:tc>
          <w:tcPr>
            <w:tcW w:w="11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五菱</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2013.05.13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24</w:t>
            </w:r>
          </w:p>
        </w:tc>
        <w:tc>
          <w:tcPr>
            <w:tcW w:w="13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黑K1904A</w:t>
            </w:r>
          </w:p>
        </w:tc>
        <w:tc>
          <w:tcPr>
            <w:tcW w:w="11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五菱</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微型车</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1.4</w:t>
            </w:r>
          </w:p>
        </w:tc>
        <w:tc>
          <w:tcPr>
            <w:tcW w:w="173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2013.06.08</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w:t>
            </w:r>
          </w:p>
        </w:tc>
        <w:tc>
          <w:tcPr>
            <w:tcW w:w="132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黑KA5516</w:t>
            </w:r>
          </w:p>
        </w:tc>
        <w:tc>
          <w:tcPr>
            <w:tcW w:w="11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宇通</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中巴快检车</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6</w:t>
            </w:r>
          </w:p>
        </w:tc>
        <w:tc>
          <w:tcPr>
            <w:tcW w:w="173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2019.07.23</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w:t>
            </w:r>
          </w:p>
        </w:tc>
        <w:tc>
          <w:tcPr>
            <w:tcW w:w="132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黑K5A870</w:t>
            </w:r>
          </w:p>
        </w:tc>
        <w:tc>
          <w:tcPr>
            <w:tcW w:w="11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江铃</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面包快检车</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2019.08.14</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27</w:t>
            </w:r>
          </w:p>
        </w:tc>
        <w:tc>
          <w:tcPr>
            <w:tcW w:w="132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 K0K779</w:t>
            </w:r>
          </w:p>
        </w:tc>
        <w:tc>
          <w:tcPr>
            <w:tcW w:w="11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江铃</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面包快检车</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w:t>
            </w:r>
          </w:p>
        </w:tc>
        <w:tc>
          <w:tcPr>
            <w:tcW w:w="173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2019.08.14</w:t>
            </w:r>
          </w:p>
        </w:tc>
        <w:tc>
          <w:tcPr>
            <w:tcW w:w="2854"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r>
        <w:tblPrEx>
          <w:tblCellMar>
            <w:top w:w="0" w:type="dxa"/>
            <w:left w:w="0" w:type="dxa"/>
            <w:bottom w:w="0" w:type="dxa"/>
            <w:right w:w="0" w:type="dxa"/>
          </w:tblCellMar>
        </w:tblPrEx>
        <w:trPr>
          <w:trHeight w:val="675" w:hRule="atLeast"/>
          <w:jc w:val="center"/>
        </w:trPr>
        <w:tc>
          <w:tcPr>
            <w:tcW w:w="519"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w:t>
            </w:r>
          </w:p>
        </w:tc>
        <w:tc>
          <w:tcPr>
            <w:tcW w:w="132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黑KC1797</w:t>
            </w:r>
          </w:p>
        </w:tc>
        <w:tc>
          <w:tcPr>
            <w:tcW w:w="11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森林人</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吉普车</w:t>
            </w:r>
          </w:p>
        </w:tc>
        <w:tc>
          <w:tcPr>
            <w:tcW w:w="99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2.5</w:t>
            </w:r>
          </w:p>
        </w:tc>
        <w:tc>
          <w:tcPr>
            <w:tcW w:w="17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2012.07.30</w:t>
            </w:r>
          </w:p>
        </w:tc>
        <w:tc>
          <w:tcPr>
            <w:tcW w:w="285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r>
    </w:tbl>
    <w:p>
      <w:pPr>
        <w:snapToGrid w:val="0"/>
        <w:ind w:right="480"/>
        <w:rPr>
          <w:rFonts w:ascii="宋体" w:hAnsi="宋体" w:cs="宋体"/>
          <w:b/>
          <w:bCs/>
          <w:sz w:val="24"/>
        </w:rPr>
      </w:pPr>
      <w:r>
        <w:rPr>
          <w:rFonts w:hint="eastAsia" w:ascii="宋体" w:hAnsi="宋体" w:cs="宋体"/>
          <w:b/>
          <w:bCs/>
          <w:sz w:val="24"/>
        </w:rPr>
        <w:t>质量要求：</w:t>
      </w:r>
      <w:r>
        <w:rPr>
          <w:rFonts w:hint="eastAsia" w:ascii="宋体" w:hAnsi="宋体" w:cs="宋体"/>
          <w:sz w:val="24"/>
        </w:rPr>
        <w:t>各项质量、技术要求符合汽车维修技术国家标准和行业标准以及汽车维修相关标准，车辆年返修率不得超过4％。保证提供的油品及配件为全新正品，配件必须为原厂配件。</w:t>
      </w:r>
    </w:p>
    <w:p>
      <w:pPr>
        <w:snapToGrid w:val="0"/>
        <w:ind w:right="480"/>
        <w:rPr>
          <w:rFonts w:ascii="宋体" w:hAnsi="宋体" w:cs="宋体"/>
          <w:b/>
          <w:bCs/>
          <w:sz w:val="24"/>
        </w:rPr>
      </w:pPr>
      <w:r>
        <w:rPr>
          <w:rFonts w:hint="eastAsia" w:ascii="宋体" w:hAnsi="宋体" w:cs="宋体"/>
          <w:b/>
          <w:bCs/>
          <w:sz w:val="24"/>
        </w:rPr>
        <w:t>质保范围和期限要求：</w:t>
      </w:r>
      <w:r>
        <w:rPr>
          <w:rFonts w:hint="eastAsia" w:ascii="宋体" w:hAnsi="宋体" w:cs="宋体"/>
          <w:sz w:val="24"/>
        </w:rPr>
        <w:t>车辆维修质保一年。车辆维修大修的发动机要保证3万公里不出问题。配件及油品符合国家规定的相关质量标准</w:t>
      </w:r>
    </w:p>
    <w:p>
      <w:pPr>
        <w:snapToGrid w:val="0"/>
        <w:ind w:right="480"/>
        <w:rPr>
          <w:rFonts w:ascii="宋体" w:hAnsi="宋体" w:cs="宋体"/>
          <w:sz w:val="24"/>
        </w:rPr>
      </w:pPr>
      <w:r>
        <w:rPr>
          <w:rFonts w:hint="eastAsia" w:ascii="宋体" w:hAnsi="宋体" w:cs="宋体"/>
          <w:b/>
          <w:bCs/>
          <w:sz w:val="24"/>
        </w:rPr>
        <w:t>售后服务要求：</w:t>
      </w:r>
      <w:r>
        <w:rPr>
          <w:rFonts w:hint="eastAsia" w:ascii="宋体" w:hAnsi="宋体" w:cs="宋体"/>
          <w:sz w:val="24"/>
        </w:rPr>
        <w:t>有专业售后服务团队，对维修车辆做到遇到问题应及时处理，由于我方车辆的特殊性遇到问题时需一小时内到达现场处理，24小时内随时维修对整车大修、总成大修、二级维护及事故车辆，维修竣工后实行免费上检测线进行综合检测，确保维修车辆正常运行。</w:t>
      </w:r>
    </w:p>
    <w:p>
      <w:pPr>
        <w:snapToGrid w:val="0"/>
        <w:ind w:right="480"/>
        <w:rPr>
          <w:rFonts w:ascii="宋体" w:hAnsi="宋体" w:cs="宋体"/>
          <w:b/>
          <w:bCs/>
          <w:sz w:val="24"/>
        </w:rPr>
      </w:pPr>
      <w:r>
        <w:rPr>
          <w:rFonts w:hint="eastAsia" w:ascii="宋体" w:hAnsi="宋体" w:cs="宋体"/>
          <w:b/>
          <w:bCs/>
          <w:sz w:val="24"/>
        </w:rPr>
        <w:t>其他要求：</w:t>
      </w:r>
      <w:r>
        <w:rPr>
          <w:rFonts w:hint="eastAsia" w:ascii="宋体" w:hAnsi="宋体" w:cs="宋体"/>
          <w:sz w:val="24"/>
        </w:rPr>
        <w:t>1、服务周期：签订合同之日起服务周期为一年，按月付款,以实际发生为准。2、服务要求：具有烤漆房、车辆大梁校正仪、四轮定位仪等专业检测设备及维修设备。更换配件需是原厂配件，维修厂见车辆维修单，经双方鉴定车辆故障，方可进行维修。</w:t>
      </w:r>
    </w:p>
    <w:p>
      <w:pPr>
        <w:pStyle w:val="2"/>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13"/>
    <w:rsid w:val="0007618B"/>
    <w:rsid w:val="000E1E55"/>
    <w:rsid w:val="001E3DA6"/>
    <w:rsid w:val="005D732F"/>
    <w:rsid w:val="00651D78"/>
    <w:rsid w:val="00763725"/>
    <w:rsid w:val="00BB0668"/>
    <w:rsid w:val="00D20813"/>
    <w:rsid w:val="320C6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w:basedOn w:val="1"/>
    <w:uiPriority w:val="0"/>
    <w:pPr>
      <w:tabs>
        <w:tab w:val="left" w:pos="1559"/>
      </w:tabs>
    </w:p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1169</Words>
  <Characters>1652</Characters>
  <Lines>13</Lines>
  <Paragraphs>3</Paragraphs>
  <TotalTime>3</TotalTime>
  <ScaleCrop>false</ScaleCrop>
  <LinksUpToDate>false</LinksUpToDate>
  <CharactersWithSpaces>1656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2022-02-23T01:48:00Z</dcterms:created>
  <dc:creator>lenovo</dc:creator>
  <cp:lastModifiedBy>功夫熊猫</cp:lastModifiedBy>
  <dcterms:modified xsi:type="dcterms:W3CDTF">2022-05-24T08:49:47Z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69AAB5784241402D9761578421E48BE8</vt:lpwstr>
  </property>
</Properties>
</file>