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附件：</w:t>
      </w:r>
    </w:p>
    <w:p>
      <w:pPr>
        <w:adjustRightInd w:val="0"/>
        <w:snapToGrid w:val="0"/>
        <w:spacing w:line="24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0"/>
          <w:highlight w:val="none"/>
        </w:rPr>
      </w:pPr>
      <w:bookmarkStart w:id="3" w:name="_GoBack"/>
      <w:r>
        <w:rPr>
          <w:rFonts w:hint="eastAsia" w:ascii="华文中宋" w:hAnsi="华文中宋" w:eastAsia="华文中宋" w:cs="华文中宋"/>
          <w:sz w:val="40"/>
          <w:szCs w:val="40"/>
          <w:highlight w:val="none"/>
          <w:lang w:val="en-US" w:eastAsia="zh-CN"/>
        </w:rPr>
        <w:t>运维</w:t>
      </w:r>
      <w:r>
        <w:rPr>
          <w:rFonts w:hint="eastAsia" w:ascii="华文中宋" w:hAnsi="华文中宋" w:eastAsia="华文中宋" w:cs="华文中宋"/>
          <w:sz w:val="40"/>
          <w:szCs w:val="40"/>
          <w:highlight w:val="none"/>
          <w:lang w:eastAsia="zh-CN"/>
        </w:rPr>
        <w:t>服务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highlight w:val="none"/>
        </w:rPr>
        <w:t>考核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highlight w:val="none"/>
          <w:lang w:val="en-US" w:eastAsia="zh-CN"/>
        </w:rPr>
        <w:t>指标及指标运用</w:t>
      </w:r>
      <w:bookmarkEnd w:id="3"/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</w:p>
    <w:tbl>
      <w:tblPr>
        <w:tblStyle w:val="4"/>
        <w:tblW w:w="8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968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6"/>
              <w:spacing w:line="576" w:lineRule="exact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服务名称</w:t>
            </w:r>
          </w:p>
        </w:tc>
        <w:tc>
          <w:tcPr>
            <w:tcW w:w="5968" w:type="dxa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考核项</w:t>
            </w: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系统可用性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(满分100分)</w:t>
            </w: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因系统原因造成无法正常提供服务，连续性未达到99.99%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表示系统月中断时间小于4.3分钟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计算方法:月故障时间=(1-可用性)*30*24*60=4.3分钟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每降低1个百分点扣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3分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%</w:t>
            </w:r>
          </w:p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PC端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因系统故障导致用户无法登陆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影响业务操作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或系统新版本发布失败，需重新发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布的;每发生1次扣减1分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移动端因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系统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故障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页面无法打开，影响客户业务操作或系统新版本发布失败，需重新发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布的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每发生1次扣减1分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无法完成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业务录入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录入失败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提交下一流程影响业务办结的；每发生一次扣减1分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业务查询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系统故障导致查询数据页面80%以上出现问题、不完整、不明确或逻辑上有错误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的；每发生1次扣减1分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因系统原因每发生一笔结算差错（含重复支付、重复扣款等），扣减10分；每发生一次结算延误，扣减5分；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每发生一起结算失败，扣减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5分；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每发生一起核算差错（计息错误、记账串户等），扣减10分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系统业务功能调整或新建业务需求更新生产后，不满足业务需求要求的；每发生一次扣减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系统业务功能调整或新建业务需求更新生产后，造成其它功能故障，阻断业务的；每发生一次扣减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档案归档率达100%，发生数据丢失、推送失败一笔扣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服务响应时效性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(满分100分)</w:t>
            </w: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对新增需求，提供需求编写分析服务，辅助相关部门完善功能需求，服务响应（排除人员现场接洽并随后反馈处理结果）时间不超过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日，每超过1日扣减2分。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自需求确认后，属于业务功能调整的，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日内完成开发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测试并更新生产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；属于新建业务功能的，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日内完成开发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测试并更新生产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每超过1日，扣减1分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结算和核算差错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处理时间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不超过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2小时，每超1小时扣减1分，当日未解决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扣减10分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一般性故障（小范围业务阻断）处理时间不超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2小时，每超1小时扣减0.5分；当日未能解决扣减3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复杂性故障（系统整体业务阻断）处理时间不超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4小时，每超1小时扣减1分；当日未能解决扣减5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新增需求更新生产后产生BUG的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，排除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不超过1日，每超过1日扣减2分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968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对新发现系统BUG的，排除时间不超过3个工作日，每超过1个工作日扣减1分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日常运维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(满分100分)</w:t>
            </w: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按日对信息系统进行巡检，生成巡检报告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,每缺少1日巡检报告扣0.1分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服务器资原使用情况巡检，按服务器资原使用情况巡检，形成巡检报告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,每缺少1日巡检报告扣0.1分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对服务器资原使用情况、信息系统工作状况巡检中未能及时发现问题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或发现问题未能及时提出解决方案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，造成信息系统无法提供正常服务的，每发生一次扣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1分。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59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294" w:beforeAutospacing="0" w:after="294"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</w:rPr>
              <w:t>数据备份，建立数据备份策略，对数据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  <w:lang w:val="en-US" w:eastAsia="zh-CN"/>
              </w:rPr>
              <w:t>按日）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</w:rPr>
              <w:t>进行定期备份，确保数据的完整性和可恢复性。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  <w:lang w:val="en-US" w:eastAsia="zh-CN"/>
              </w:rPr>
              <w:t>由于备份原因造成数据无法恢复的每发生一次扣减10分。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241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系统安全等级保护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(满分100分)</w:t>
            </w:r>
          </w:p>
        </w:tc>
        <w:tc>
          <w:tcPr>
            <w:tcW w:w="59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项目建设严格按照《信息安全技术：信息系统安全等级保护基本要求》（GB/T 22239）第三级系统的防护要求完成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，并通过等保测评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，得满分，否则不得分。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</w:tbl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/>
        </w:rPr>
        <w:t>考核范围: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/>
          <w:lang w:val="en-US" w:eastAsia="zh-CN"/>
        </w:rPr>
        <w:t>每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/>
        </w:rPr>
        <w:t>年服务费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/>
        </w:rPr>
        <w:t>0%做为考核部分。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考核总分为各分项服务考核分【分项考核分=（100-扣减的分值） * 权重 】累计总和。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bookmarkStart w:id="0" w:name="_Toc183682369"/>
      <w:bookmarkStart w:id="1" w:name="_Toc217446057"/>
      <w:bookmarkStart w:id="2" w:name="_Toc183582232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考核评分及运用：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年度考核评分分类：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5" w:hanging="425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90分（含90分）以上为优秀；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5" w:hanging="425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80分至89分（含80分）为良好；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5" w:hanging="425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70分至79分（含70分）为较好；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5" w:hanging="425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60分至69分（含60分）为合格；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5" w:hanging="425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60分以下为不合格；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年度考核结果运用：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年度考核结果为“优秀”，支付考核部分100%；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年度考核结果为“良好”，支付考核部分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年度考核结果为“较好”，支付考核部分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年度考核结果为“合格”，支付考核部分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年度考核结果为“不合格”，</w:t>
      </w:r>
      <w:bookmarkEnd w:id="0"/>
      <w:bookmarkEnd w:id="1"/>
      <w:bookmarkEnd w:id="2"/>
      <w:r>
        <w:rPr>
          <w:rFonts w:hint="eastAsia" w:ascii="仿宋" w:hAnsi="仿宋" w:eastAsia="仿宋" w:cs="仿宋"/>
          <w:sz w:val="32"/>
          <w:szCs w:val="32"/>
          <w:highlight w:val="none"/>
        </w:rPr>
        <w:t>支付考核部分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BDA1F9F-EF54-451E-AFD4-6BEBBA6242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B7B9661-5ABB-4F54-93AA-670E3CC78F8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A76651A-63B5-47E0-8C22-D5707A206F5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2E613"/>
    <w:multiLevelType w:val="singleLevel"/>
    <w:tmpl w:val="9682E61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45ADBA9"/>
    <w:multiLevelType w:val="singleLevel"/>
    <w:tmpl w:val="045ADBA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D384B70"/>
    <w:multiLevelType w:val="singleLevel"/>
    <w:tmpl w:val="3D384B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ThhMzliMmEyMGE3NmFlMGI5NjZkZDQyNGM4ZjkifQ=="/>
  </w:docVars>
  <w:rsids>
    <w:rsidRoot w:val="6E2A2381"/>
    <w:rsid w:val="6E2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ang正文"/>
    <w:basedOn w:val="1"/>
    <w:autoRedefine/>
    <w:qFormat/>
    <w:uiPriority w:val="0"/>
    <w:pPr>
      <w:tabs>
        <w:tab w:val="left" w:pos="6840"/>
      </w:tabs>
      <w:topLinePunct/>
      <w:ind w:firstLine="420"/>
    </w:pPr>
    <w:rPr>
      <w:kern w:val="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表格"/>
    <w:basedOn w:val="1"/>
    <w:autoRedefine/>
    <w:qFormat/>
    <w:uiPriority w:val="0"/>
    <w:pPr>
      <w:widowControl/>
      <w:adjustRightInd/>
      <w:snapToGrid/>
      <w:spacing w:line="240" w:lineRule="auto"/>
      <w:ind w:firstLine="0" w:firstLineChars="0"/>
      <w:contextualSpacing/>
      <w:jc w:val="left"/>
    </w:pPr>
    <w:rPr>
      <w:rFonts w:ascii="Calibri" w:hAnsi="Calibri"/>
      <w:sz w:val="24"/>
      <w:szCs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2024-06-11T05:44:00Z</dcterms:created>
  <dc:creator>金刚</dc:creator>
  <cp:lastModifiedBy>金刚</cp:lastModifiedBy>
  <dcterms:modified xsi:type="dcterms:W3CDTF">2024-06-11T05:46:04Z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D3B343B2442B4B62978107AC97CC633F_11</vt:lpwstr>
  </property>
</Properties>
</file>