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4996" w:type="pct"/>
        <w:tblInd w:w="0" w:type="dxa"/>
        <w:tblLayout w:type="fixed"/>
        <w:tblCellMar>
          <w:top w:w="0" w:type="dxa"/>
          <w:left w:w="108" w:type="dxa"/>
          <w:bottom w:w="0" w:type="dxa"/>
          <w:right w:w="108" w:type="dxa"/>
        </w:tblCellMar>
      </w:tblPr>
      <w:tblGrid>
        <w:gridCol w:w="859"/>
        <w:gridCol w:w="1511"/>
        <w:gridCol w:w="10353"/>
        <w:gridCol w:w="618"/>
        <w:gridCol w:w="822"/>
      </w:tblGrid>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序号</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设备名称</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参数</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数量</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单位</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疾控私有云专网加密网络传输系统</w:t>
            </w:r>
          </w:p>
        </w:tc>
        <w:tc>
          <w:tcPr>
            <w:tcW w:w="3654" w:type="pct"/>
            <w:tcBorders>
              <w:top w:val="single" w:color="000000" w:sz="4" w:space="0"/>
              <w:left w:val="single" w:color="000000" w:sz="4" w:space="0"/>
              <w:bottom w:val="single" w:color="000000" w:sz="4" w:space="0"/>
              <w:right w:val="single" w:color="000000" w:sz="4" w:space="0"/>
            </w:tcBorders>
            <w:shd w:val="clear" w:color="auto" w:fill="auto"/>
          </w:tcPr>
          <w:p>
            <w:pPr>
              <w:rPr>
                <w:rFonts w:ascii="新宋体" w:hAnsi="新宋体" w:eastAsia="新宋体"/>
                <w:color w:val="auto"/>
              </w:rPr>
            </w:pPr>
            <w:r>
              <w:rPr>
                <w:rFonts w:ascii="新宋体" w:hAnsi="新宋体" w:eastAsia="新宋体"/>
                <w:color w:val="auto"/>
              </w:rPr>
              <w:t>1、★标准机架式设备，提供10/100/1000M自适应以太网电接口≥4个，千兆SFP接口插槽≥4个，内置加密卡。整机最大吞吐量≥1.8G，SSL VPN加密速度≥240M，SSL VPN最大并发用户数≥300，IPSec VPN加密速度≥240M。提供三年硬件保修和基础型技术支持服务，提供20个SSL VPN并发用户授权，支持PC端和移动端同时接入；</w:t>
            </w:r>
          </w:p>
          <w:p>
            <w:pPr>
              <w:rPr>
                <w:rFonts w:ascii="新宋体" w:hAnsi="新宋体" w:eastAsia="新宋体"/>
                <w:color w:val="auto"/>
              </w:rPr>
            </w:pPr>
            <w:r>
              <w:rPr>
                <w:rFonts w:ascii="新宋体" w:hAnsi="新宋体" w:eastAsia="新宋体"/>
                <w:color w:val="auto"/>
              </w:rPr>
              <w:t>2、★专业IPSecVPN和SSLVPN二合一设备，采用符合国际标准SSL、TLS协议，同时支持IPSecVPN和SSLVPN功能，为非插卡或防火墙带VPN模块设备；</w:t>
            </w:r>
          </w:p>
          <w:p>
            <w:pPr>
              <w:rPr>
                <w:rFonts w:ascii="新宋体" w:hAnsi="新宋体" w:eastAsia="新宋体"/>
                <w:color w:val="auto"/>
              </w:rPr>
            </w:pPr>
            <w:r>
              <w:rPr>
                <w:rFonts w:ascii="新宋体" w:hAnsi="新宋体" w:eastAsia="新宋体"/>
                <w:color w:val="auto"/>
              </w:rPr>
              <w:t>3、SSLVPN客户端同时支持国际算法和国密算法，可由用户自定义选择；</w:t>
            </w:r>
          </w:p>
          <w:p>
            <w:pPr>
              <w:rPr>
                <w:rFonts w:ascii="新宋体" w:hAnsi="新宋体" w:eastAsia="新宋体"/>
                <w:color w:val="auto"/>
              </w:rPr>
            </w:pPr>
            <w:r>
              <w:rPr>
                <w:rFonts w:ascii="新宋体" w:hAnsi="新宋体" w:eastAsia="新宋体"/>
                <w:color w:val="auto"/>
              </w:rPr>
              <w:t>4、虚拟门户支持选择多种登录方式，包含口令认证、证书认证、匿名登录、企业微信登录、钉钉扫码登录等；</w:t>
            </w:r>
          </w:p>
          <w:p>
            <w:pPr>
              <w:rPr>
                <w:rFonts w:ascii="新宋体" w:hAnsi="新宋体" w:eastAsia="新宋体"/>
                <w:color w:val="auto"/>
              </w:rPr>
            </w:pPr>
            <w:r>
              <w:rPr>
                <w:rFonts w:ascii="新宋体" w:hAnsi="新宋体" w:eastAsia="新宋体"/>
                <w:color w:val="auto"/>
              </w:rPr>
              <w:t>5、支持多系统引导，即系统A、系统B和备份系统，可选择默认启动系统，支持两个操作系统，系统启动拥有独立的配置文件，且配置文件分别支持导入导出。备份系统可用于应急恢复。</w:t>
            </w:r>
          </w:p>
          <w:p>
            <w:pPr>
              <w:rPr>
                <w:rFonts w:ascii="新宋体" w:hAnsi="新宋体" w:eastAsia="新宋体"/>
                <w:color w:val="auto"/>
              </w:rPr>
            </w:pPr>
            <w:r>
              <w:rPr>
                <w:rFonts w:ascii="新宋体" w:hAnsi="新宋体" w:eastAsia="新宋体"/>
                <w:color w:val="auto"/>
              </w:rPr>
              <w:t>6、客户端支持龙芯、兆芯、飞腾、鲲鹏等国产化CPU平台，支持中标麒麟，银河麒麟、普华、深度OS、优麒麟、UOS统信、中科方德等国产化操作系统客户端；</w:t>
            </w:r>
          </w:p>
          <w:p>
            <w:pPr>
              <w:rPr>
                <w:rFonts w:ascii="新宋体" w:hAnsi="新宋体" w:eastAsia="新宋体"/>
                <w:color w:val="auto"/>
              </w:rPr>
            </w:pPr>
            <w:r>
              <w:rPr>
                <w:rFonts w:ascii="新宋体" w:hAnsi="新宋体" w:eastAsia="新宋体"/>
                <w:color w:val="auto"/>
              </w:rPr>
              <w:t>7、支持App应用的远程安全访问加固，可以与钉钉、企业微信等移动业务应用的入口对接，实现用户在互联网访问内置H5应用的安全接入。支持自动拉起VPN，实现其内置应用的安全接入；</w:t>
            </w:r>
          </w:p>
          <w:p>
            <w:pPr>
              <w:rPr>
                <w:rFonts w:ascii="新宋体" w:hAnsi="新宋体" w:eastAsia="新宋体"/>
                <w:color w:val="auto"/>
              </w:rPr>
            </w:pPr>
            <w:r>
              <w:rPr>
                <w:rFonts w:ascii="新宋体" w:hAnsi="新宋体" w:eastAsia="新宋体"/>
                <w:color w:val="auto"/>
              </w:rPr>
              <w:t>8、支持单点登录功能（SSO）,支持移动用户登录VPN后再登录内部B/S、C/S应用系统时不需要二次重复认证。支持针对不同的访问资源设定不同的SSO用户名和密码，支持用户自行修改SSO账号。支持CS单点登录工具助手，支持自动识别登录窗口自动形成配置文件；</w:t>
            </w:r>
          </w:p>
          <w:p>
            <w:pPr>
              <w:rPr>
                <w:rFonts w:ascii="新宋体" w:hAnsi="新宋体" w:eastAsia="新宋体"/>
                <w:color w:val="auto"/>
              </w:rPr>
            </w:pPr>
            <w:r>
              <w:rPr>
                <w:rFonts w:ascii="新宋体" w:hAnsi="新宋体" w:eastAsia="新宋体"/>
                <w:color w:val="auto"/>
              </w:rPr>
              <w:t>9、支持对网络安全设备操作的命令行进行深度解析，同时产生解析记录；</w:t>
            </w:r>
          </w:p>
          <w:p>
            <w:pPr>
              <w:rPr>
                <w:rFonts w:ascii="新宋体" w:hAnsi="新宋体" w:eastAsia="新宋体"/>
                <w:color w:val="auto"/>
              </w:rPr>
            </w:pPr>
            <w:r>
              <w:rPr>
                <w:rFonts w:ascii="新宋体" w:hAnsi="新宋体" w:eastAsia="新宋体"/>
                <w:color w:val="auto"/>
              </w:rPr>
              <w:t>10、在Windows、统信UOS、银河麒麟等操作系统上支持远程应用发布B/S和C/S应用功能，发布CS应用客户端界面而非整个桌面进行发布，只传输鼠标、键盘操作和显示数据，无需安装CS客户端即可支持CS模式软件系统的远程应用；</w:t>
            </w:r>
          </w:p>
          <w:p>
            <w:pPr>
              <w:rPr>
                <w:rFonts w:ascii="新宋体" w:hAnsi="新宋体" w:eastAsia="新宋体"/>
                <w:color w:val="auto"/>
              </w:rPr>
            </w:pPr>
            <w:r>
              <w:rPr>
                <w:rFonts w:ascii="新宋体" w:hAnsi="新宋体" w:eastAsia="新宋体"/>
                <w:color w:val="auto"/>
              </w:rPr>
              <w:t>11、产品支持自适应用户使用习惯，比如：支持本地输入法、支持文件导入导出、支持虚拟打印、本地磁盘资源映射、本地打印机、本地串行口、本地智能卡，本地输入法；支持剪切板，并能够实现剪贴板数据流控制；</w:t>
            </w:r>
          </w:p>
          <w:p>
            <w:pPr>
              <w:rPr>
                <w:rFonts w:ascii="新宋体" w:hAnsi="新宋体" w:eastAsia="新宋体"/>
                <w:color w:val="auto"/>
              </w:rPr>
            </w:pPr>
            <w:r>
              <w:rPr>
                <w:rFonts w:ascii="新宋体" w:hAnsi="新宋体" w:eastAsia="新宋体"/>
                <w:color w:val="auto"/>
              </w:rPr>
              <w:t>12、产品支持用户访问策略，支持访问痕迹的留存、支持对访问用户的详细信息查询（客户端名称、客户端特征码、客户机MAC、登录时间、登录用户名等）、支持用户名和客户端MAC的关联绑定。</w:t>
            </w:r>
          </w:p>
          <w:p>
            <w:pPr>
              <w:rPr>
                <w:rFonts w:ascii="新宋体" w:hAnsi="新宋体" w:eastAsia="新宋体"/>
                <w:color w:val="auto"/>
              </w:rPr>
            </w:pPr>
            <w:r>
              <w:rPr>
                <w:rFonts w:ascii="新宋体" w:hAnsi="新宋体" w:eastAsia="新宋体"/>
                <w:color w:val="auto"/>
              </w:rPr>
              <w:t>13、支持对在线用户的实时监测，包括VPN用户信息、程序名称、会话ID、客户端名称和用户类型；</w:t>
            </w:r>
          </w:p>
          <w:p>
            <w:pPr>
              <w:rPr>
                <w:rFonts w:ascii="新宋体" w:hAnsi="新宋体" w:eastAsia="新宋体"/>
                <w:color w:val="auto"/>
              </w:rPr>
            </w:pPr>
            <w:r>
              <w:rPr>
                <w:rFonts w:ascii="新宋体" w:hAnsi="新宋体" w:eastAsia="新宋体"/>
                <w:color w:val="auto"/>
              </w:rPr>
              <w:t>14、通过磁盘映射方式，进行客户端本地磁盘的物理映射，满足从应用导出数据到本地磁盘或者从本地磁盘选择文件导入到应用上的需求；</w:t>
            </w:r>
          </w:p>
          <w:p>
            <w:pPr>
              <w:widowControl/>
              <w:textAlignment w:val="center"/>
              <w:rPr>
                <w:rFonts w:ascii="宋体" w:hAnsi="宋体" w:cs="宋体"/>
                <w:color w:val="auto"/>
                <w:sz w:val="20"/>
                <w:szCs w:val="20"/>
              </w:rPr>
            </w:pPr>
            <w:r>
              <w:rPr>
                <w:rFonts w:ascii="新宋体" w:hAnsi="新宋体" w:eastAsia="新宋体"/>
                <w:color w:val="auto"/>
              </w:rPr>
              <w:t>15、</w:t>
            </w:r>
            <w:r>
              <w:rPr>
                <w:rFonts w:hint="eastAsia" w:ascii="新宋体" w:hAnsi="新宋体" w:eastAsia="新宋体"/>
                <w:color w:val="auto"/>
                <w:lang w:val="en-US" w:eastAsia="zh-CN"/>
              </w:rPr>
              <w:t>需</w:t>
            </w:r>
            <w:r>
              <w:rPr>
                <w:rFonts w:ascii="新宋体" w:hAnsi="新宋体" w:eastAsia="新宋体"/>
                <w:color w:val="auto"/>
              </w:rPr>
              <w:t>具有《商用密码产品认证证书》,符合GM/T0023《IPSecVPN网关产品规范》、GM/T0025《SSLVPN网关产品规范》和GM/T0028《密码模块安全技术要求》安全等级二级相关要求；</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项</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网络管理中心国密算法服务</w:t>
            </w:r>
          </w:p>
        </w:tc>
        <w:tc>
          <w:tcPr>
            <w:tcW w:w="3654"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新宋体" w:hAnsi="新宋体" w:eastAsia="新宋体"/>
                <w:color w:val="auto"/>
                <w:lang w:val="en-US" w:eastAsia="zh-CN"/>
              </w:rPr>
            </w:pPr>
            <w:r>
              <w:rPr>
                <w:rFonts w:hint="eastAsia" w:ascii="新宋体" w:hAnsi="新宋体" w:eastAsia="新宋体"/>
                <w:color w:val="auto"/>
              </w:rPr>
              <w:t>由网络管理中心提供对于分布在网络中的安全设备或安全组件进行管控功能，基于流量、日志、脆弱性等数据，全面掌握网络中安全设备的运行状况，提供一站式安全运维监控服务。</w:t>
            </w:r>
            <w:r>
              <w:rPr>
                <w:rFonts w:hint="eastAsia" w:ascii="新宋体" w:hAnsi="新宋体" w:eastAsia="新宋体"/>
                <w:color w:val="auto"/>
                <w:lang w:val="en-US" w:eastAsia="zh-CN"/>
              </w:rPr>
              <w:t>能够提供以下国密算法服务。</w:t>
            </w:r>
          </w:p>
          <w:p>
            <w:pPr>
              <w:rPr>
                <w:rFonts w:ascii="新宋体" w:hAnsi="新宋体" w:eastAsia="新宋体"/>
                <w:color w:val="auto"/>
              </w:rPr>
            </w:pPr>
            <w:r>
              <w:rPr>
                <w:rFonts w:ascii="新宋体" w:hAnsi="新宋体" w:eastAsia="新宋体"/>
                <w:color w:val="auto"/>
              </w:rPr>
              <w:t>1、证书生命周期管理功能：系统能实现用户的证书申请、证书审核、证书发放、证书状态变更、证书发布和查询、证书密钥恢复等功能；</w:t>
            </w:r>
          </w:p>
          <w:p>
            <w:pPr>
              <w:rPr>
                <w:rFonts w:ascii="新宋体" w:hAnsi="新宋体" w:eastAsia="新宋体"/>
                <w:color w:val="auto"/>
              </w:rPr>
            </w:pPr>
            <w:r>
              <w:rPr>
                <w:rFonts w:ascii="新宋体" w:hAnsi="新宋体" w:eastAsia="新宋体"/>
                <w:color w:val="auto"/>
              </w:rPr>
              <w:t>2、多种类型证书按需申请功能：系统能够按照不同的应用场业务功景，提供不同类型的证书，如场景证书、企业证书以及个人证书等；</w:t>
            </w:r>
          </w:p>
          <w:p>
            <w:pPr>
              <w:rPr>
                <w:rFonts w:ascii="新宋体" w:hAnsi="新宋体" w:eastAsia="新宋体"/>
                <w:color w:val="auto"/>
              </w:rPr>
            </w:pPr>
            <w:r>
              <w:rPr>
                <w:rFonts w:ascii="新宋体" w:hAnsi="新宋体" w:eastAsia="新宋体"/>
                <w:color w:val="auto"/>
              </w:rPr>
              <w:t>3、多方式证书申请功能：支持管理员录入证书申请信息、管理员批量录入证书申请信息、用户自助录入证书申请信息、应用系统申请场景证书、同步证书申请信息等多种证书申请信息录入功能；</w:t>
            </w:r>
          </w:p>
          <w:p>
            <w:pPr>
              <w:rPr>
                <w:rFonts w:ascii="新宋体" w:hAnsi="新宋体" w:eastAsia="新宋体"/>
                <w:color w:val="auto"/>
              </w:rPr>
            </w:pPr>
            <w:r>
              <w:rPr>
                <w:rFonts w:ascii="新宋体" w:hAnsi="新宋体" w:eastAsia="新宋体"/>
                <w:color w:val="auto"/>
              </w:rPr>
              <w:t>4、多方式证书审核功能：证书审核支持管理员后台人工审核、自动审核等多种灵活方式；</w:t>
            </w:r>
          </w:p>
          <w:p>
            <w:pPr>
              <w:rPr>
                <w:rFonts w:ascii="新宋体" w:hAnsi="新宋体" w:eastAsia="新宋体"/>
                <w:color w:val="auto"/>
              </w:rPr>
            </w:pPr>
            <w:r>
              <w:rPr>
                <w:rFonts w:ascii="新宋体" w:hAnsi="新宋体" w:eastAsia="新宋体"/>
                <w:color w:val="auto"/>
              </w:rPr>
              <w:t>5、证书服务接口功能：能提供证书申请、证书下载、证书更新、证书吊销、密钥恢复等业务功能接口等证书管理的接口；</w:t>
            </w:r>
          </w:p>
          <w:p>
            <w:pPr>
              <w:rPr>
                <w:rFonts w:ascii="新宋体" w:hAnsi="新宋体" w:eastAsia="新宋体"/>
                <w:color w:val="auto"/>
              </w:rPr>
            </w:pPr>
            <w:r>
              <w:rPr>
                <w:rFonts w:ascii="新宋体" w:hAnsi="新宋体" w:eastAsia="新宋体"/>
                <w:color w:val="auto"/>
              </w:rPr>
              <w:t>6、自助服务功能：能提供用户自助服务界面和功能，用户可以通过 web 页面进行证书申请、下载安装和证书状态管理；</w:t>
            </w:r>
          </w:p>
          <w:p>
            <w:pPr>
              <w:rPr>
                <w:rFonts w:ascii="新宋体" w:hAnsi="新宋体" w:eastAsia="新宋体"/>
                <w:color w:val="auto"/>
              </w:rPr>
            </w:pPr>
            <w:r>
              <w:rPr>
                <w:rFonts w:ascii="新宋体" w:hAnsi="新宋体" w:eastAsia="新宋体"/>
                <w:color w:val="auto"/>
              </w:rPr>
              <w:t>7、证书发布功能：能支持证书的 LDAP 发布和吊销列表 CRL发布，提供证书验证接口；</w:t>
            </w:r>
          </w:p>
          <w:p>
            <w:pPr>
              <w:rPr>
                <w:rFonts w:ascii="新宋体" w:hAnsi="新宋体" w:eastAsia="新宋体"/>
                <w:color w:val="auto"/>
              </w:rPr>
            </w:pPr>
            <w:r>
              <w:rPr>
                <w:rFonts w:ascii="新宋体" w:hAnsi="新宋体" w:eastAsia="新宋体"/>
                <w:color w:val="auto"/>
              </w:rPr>
              <w:t>8、统计查询和报表功能：要求 CA 系统提供证书统计、查询、报表功能，能统计查询证书数量、证书业务操作（证书申请、证书吊销、证书更新等）次数，可进行图形展现，能导出 excel报表；</w:t>
            </w:r>
          </w:p>
          <w:p>
            <w:pPr>
              <w:rPr>
                <w:rFonts w:ascii="新宋体" w:hAnsi="新宋体" w:eastAsia="新宋体"/>
                <w:color w:val="auto"/>
              </w:rPr>
            </w:pPr>
            <w:r>
              <w:rPr>
                <w:rFonts w:ascii="新宋体" w:hAnsi="新宋体" w:eastAsia="新宋体"/>
                <w:color w:val="auto"/>
              </w:rPr>
              <w:t>9、支持多种算法和密钥长度，支持多厂家 USB key 等；</w:t>
            </w:r>
          </w:p>
          <w:p>
            <w:pPr>
              <w:widowControl/>
              <w:textAlignment w:val="center"/>
              <w:rPr>
                <w:rFonts w:ascii="宋体" w:hAnsi="宋体" w:cs="宋体"/>
                <w:color w:val="auto"/>
                <w:sz w:val="20"/>
                <w:szCs w:val="20"/>
              </w:rPr>
            </w:pPr>
            <w:r>
              <w:rPr>
                <w:rFonts w:ascii="新宋体" w:hAnsi="新宋体" w:eastAsia="新宋体"/>
                <w:color w:val="auto"/>
              </w:rPr>
              <w:t>10、支持国密SM2算法等；</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r>
      <w:tr>
        <w:tblPrEx>
          <w:tblCellMar>
            <w:top w:w="0" w:type="dxa"/>
            <w:left w:w="108" w:type="dxa"/>
            <w:bottom w:w="0" w:type="dxa"/>
            <w:right w:w="108" w:type="dxa"/>
          </w:tblCellMar>
        </w:tblPrEx>
        <w:trPr>
          <w:trHeight w:val="600" w:hRule="atLeast"/>
        </w:trPr>
        <w:tc>
          <w:tcPr>
            <w:tcW w:w="303"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533"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视频会议平台服务</w:t>
            </w:r>
          </w:p>
        </w:tc>
        <w:tc>
          <w:tcPr>
            <w:tcW w:w="3654"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Style w:val="18"/>
                <w:rFonts w:hint="default"/>
                <w:color w:val="auto"/>
                <w:lang w:bidi="ar"/>
              </w:rPr>
              <w:t>系统配合省市平台完成县区视频会议权限，支持省市县之间音视频之间的互联互通。</w:t>
            </w:r>
            <w:r>
              <w:rPr>
                <w:rStyle w:val="18"/>
                <w:rFonts w:hint="default"/>
                <w:color w:val="auto"/>
                <w:lang w:bidi="ar"/>
              </w:rPr>
              <w:br w:type="textWrapping"/>
            </w:r>
            <w:r>
              <w:rPr>
                <w:rStyle w:val="18"/>
                <w:rFonts w:hint="default"/>
                <w:color w:val="auto"/>
                <w:lang w:bidi="ar"/>
              </w:rPr>
              <w:t>1、多用户管理：具有音视频同步传输、实时互动等功能，同时支持屏幕共享等辅助功能。用户可以通过软件界面进行直观的操作，轻松进行会议的发起、加入、管理和控制。</w:t>
            </w:r>
            <w:r>
              <w:rPr>
                <w:rStyle w:val="18"/>
                <w:rFonts w:hint="default"/>
                <w:color w:val="auto"/>
                <w:lang w:bidi="ar"/>
              </w:rPr>
              <w:br w:type="textWrapping"/>
            </w:r>
            <w:r>
              <w:rPr>
                <w:rStyle w:val="18"/>
                <w:rFonts w:hint="default"/>
                <w:color w:val="auto"/>
                <w:lang w:bidi="ar"/>
              </w:rPr>
              <w:t>2、图像处理：可通软件界面支持视频会议系统设置支持的各种图像格式，提供图像的智能处理。支持图像数字宽动态功能，图像模式分为标准、自然、鲜艳、风景。</w:t>
            </w:r>
            <w:r>
              <w:rPr>
                <w:rStyle w:val="18"/>
                <w:rFonts w:hint="default"/>
                <w:color w:val="auto"/>
                <w:lang w:bidi="ar"/>
              </w:rPr>
              <w:br w:type="textWrapping"/>
            </w:r>
            <w:r>
              <w:rPr>
                <w:rStyle w:val="18"/>
                <w:rFonts w:hint="default"/>
                <w:color w:val="auto"/>
                <w:lang w:bidi="ar"/>
              </w:rPr>
              <w:t>3、音频处理：可通软件界面支持视频会议系统设置支持的各种音频格式，服务项目支持快速音频增益控制；</w:t>
            </w:r>
            <w:r>
              <w:rPr>
                <w:rStyle w:val="18"/>
                <w:rFonts w:hint="default"/>
                <w:color w:val="auto"/>
                <w:lang w:bidi="ar"/>
              </w:rPr>
              <w:br w:type="textWrapping"/>
            </w:r>
            <w:r>
              <w:rPr>
                <w:rStyle w:val="18"/>
                <w:rFonts w:hint="default"/>
                <w:color w:val="auto"/>
                <w:lang w:bidi="ar"/>
              </w:rPr>
              <w:t>4、会议控制：邀请入会、挂断会场、结束会议、声控切换、广播会场等功能；</w:t>
            </w:r>
          </w:p>
        </w:tc>
        <w:tc>
          <w:tcPr>
            <w:tcW w:w="21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专网安全防御管控平台</w:t>
            </w:r>
          </w:p>
        </w:tc>
        <w:tc>
          <w:tcPr>
            <w:tcW w:w="3654" w:type="pct"/>
            <w:tcBorders>
              <w:top w:val="single" w:color="000000" w:sz="4" w:space="0"/>
              <w:left w:val="single" w:color="000000" w:sz="4" w:space="0"/>
              <w:bottom w:val="single" w:color="000000" w:sz="4" w:space="0"/>
              <w:right w:val="single" w:color="000000" w:sz="4" w:space="0"/>
            </w:tcBorders>
            <w:shd w:val="clear" w:color="auto" w:fill="auto"/>
          </w:tcPr>
          <w:p>
            <w:pPr>
              <w:rPr>
                <w:rFonts w:ascii="新宋体" w:hAnsi="新宋体" w:eastAsia="新宋体"/>
                <w:color w:val="auto"/>
              </w:rPr>
            </w:pPr>
            <w:r>
              <w:rPr>
                <w:rFonts w:ascii="新宋体" w:hAnsi="新宋体" w:eastAsia="新宋体"/>
                <w:color w:val="auto"/>
              </w:rPr>
              <w:t>1、★国产化标准机架式设备，提供10/100/1000M自适应以太网电接口≥7个，千兆以太网SFP接口≥4个，双电源，存储容量≥4T，支持访问控制、入侵防御、网络防病毒、上网行为、审计中心和IPSec/SSL VPN功能。整机最大吞吐量≥9.5G，最大并发连接数≥500万，每秒TCP新建请求数≥24万/秒。提供3年维保服务；</w:t>
            </w:r>
          </w:p>
          <w:p>
            <w:pPr>
              <w:rPr>
                <w:rFonts w:ascii="新宋体" w:hAnsi="新宋体" w:eastAsia="新宋体"/>
                <w:color w:val="auto"/>
              </w:rPr>
            </w:pPr>
            <w:r>
              <w:rPr>
                <w:rFonts w:ascii="新宋体" w:hAnsi="新宋体" w:eastAsia="新宋体"/>
                <w:color w:val="auto"/>
              </w:rPr>
              <w:t>2、★支持IPv4/v6双栈；</w:t>
            </w:r>
          </w:p>
          <w:p>
            <w:pPr>
              <w:rPr>
                <w:rFonts w:ascii="新宋体" w:hAnsi="新宋体" w:eastAsia="新宋体"/>
                <w:color w:val="auto"/>
              </w:rPr>
            </w:pPr>
            <w:r>
              <w:rPr>
                <w:rFonts w:ascii="新宋体" w:hAnsi="新宋体" w:eastAsia="新宋体"/>
                <w:color w:val="auto"/>
              </w:rPr>
              <w:t>3、支持一体化安全策略配置，可以通过一条策略实现用户认证、IPS、AV、URL过滤、协议控制、流量控制、并发、新建限制、垃圾邮件过滤、审计等功能,简化用户管理；</w:t>
            </w:r>
          </w:p>
          <w:p>
            <w:pPr>
              <w:rPr>
                <w:rFonts w:ascii="新宋体" w:hAnsi="新宋体" w:eastAsia="新宋体"/>
                <w:color w:val="auto"/>
              </w:rPr>
            </w:pPr>
            <w:r>
              <w:rPr>
                <w:rFonts w:ascii="新宋体" w:hAnsi="新宋体" w:eastAsia="新宋体"/>
                <w:color w:val="auto"/>
              </w:rPr>
              <w:t>4、支持基于应用的策略路由，可实现为不同的应用类型智能选择相应的链路；</w:t>
            </w:r>
          </w:p>
          <w:p>
            <w:pPr>
              <w:rPr>
                <w:rFonts w:ascii="新宋体" w:hAnsi="新宋体" w:eastAsia="新宋体"/>
                <w:color w:val="auto"/>
              </w:rPr>
            </w:pPr>
            <w:r>
              <w:rPr>
                <w:rFonts w:ascii="新宋体" w:hAnsi="新宋体" w:eastAsia="新宋体"/>
                <w:color w:val="auto"/>
              </w:rPr>
              <w:t>5、支持基于URL的策略路由，可实现将不同类型的网站流量智能分配到不同的链路；</w:t>
            </w:r>
          </w:p>
          <w:p>
            <w:pPr>
              <w:rPr>
                <w:rFonts w:ascii="新宋体" w:hAnsi="新宋体" w:eastAsia="新宋体"/>
                <w:color w:val="auto"/>
              </w:rPr>
            </w:pPr>
            <w:r>
              <w:rPr>
                <w:rFonts w:ascii="新宋体" w:hAnsi="新宋体" w:eastAsia="新宋体"/>
                <w:color w:val="auto"/>
              </w:rPr>
              <w:t>6、支持基于文件类型的策略路由，可实现将预定义或者自定义的文件按照不同的分类进行智能选路；</w:t>
            </w:r>
          </w:p>
          <w:p>
            <w:pPr>
              <w:rPr>
                <w:rFonts w:ascii="新宋体" w:hAnsi="新宋体" w:eastAsia="新宋体"/>
                <w:color w:val="auto"/>
              </w:rPr>
            </w:pPr>
            <w:r>
              <w:rPr>
                <w:rFonts w:ascii="新宋体" w:hAnsi="新宋体" w:eastAsia="新宋体"/>
                <w:color w:val="auto"/>
              </w:rPr>
              <w:t>7、支持ISP路由，支持联通、电信、教育网、移动等ISP服务商地址列表，列表可导出及导入，可通过Web界面选择不同的ISP服务商实现快速切换；</w:t>
            </w:r>
          </w:p>
          <w:p>
            <w:pPr>
              <w:rPr>
                <w:rFonts w:ascii="新宋体" w:hAnsi="新宋体" w:eastAsia="新宋体"/>
                <w:color w:val="auto"/>
              </w:rPr>
            </w:pPr>
            <w:r>
              <w:rPr>
                <w:rFonts w:ascii="新宋体" w:hAnsi="新宋体" w:eastAsia="新宋体"/>
                <w:color w:val="auto"/>
              </w:rPr>
              <w:t>8、支持链路聚合功能，支持802.3ad和静态轮询、热备等多种模式，MAC、MAC&amp;IP、IP&amp;Port多种聚合负载算法；</w:t>
            </w:r>
          </w:p>
          <w:p>
            <w:pPr>
              <w:rPr>
                <w:rFonts w:hint="eastAsia" w:ascii="新宋体" w:hAnsi="新宋体" w:eastAsia="新宋体"/>
                <w:color w:val="auto"/>
                <w:lang w:eastAsia="zh-CN"/>
              </w:rPr>
            </w:pPr>
            <w:r>
              <w:rPr>
                <w:rFonts w:ascii="新宋体" w:hAnsi="新宋体" w:eastAsia="新宋体"/>
                <w:color w:val="auto"/>
              </w:rPr>
              <w:t>9、支持主流ICMP FLOOD\SYN FLOOD\ACK FLOOD\UDP FLOOD\DNS FLOOD攻击防护，可配置高级算法参数，非采用简单的阈值进行攻击防护。须为CNNVD二级及以上。提供相关证明文件</w:t>
            </w:r>
            <w:r>
              <w:rPr>
                <w:rFonts w:hint="eastAsia" w:ascii="新宋体" w:hAnsi="新宋体" w:eastAsia="新宋体"/>
                <w:color w:val="auto"/>
                <w:lang w:eastAsia="zh-CN"/>
              </w:rPr>
              <w:t>。</w:t>
            </w:r>
          </w:p>
          <w:p>
            <w:pPr>
              <w:rPr>
                <w:rFonts w:ascii="新宋体" w:hAnsi="新宋体" w:eastAsia="新宋体"/>
                <w:color w:val="auto"/>
              </w:rPr>
            </w:pPr>
            <w:r>
              <w:rPr>
                <w:rFonts w:ascii="新宋体" w:hAnsi="新宋体" w:eastAsia="新宋体"/>
                <w:color w:val="auto"/>
              </w:rPr>
              <w:t>10、支持专业的HTTPFlood攻击防护；可以实现get和post的攻击防护，且get防护算法支持4类；支持独立url处理动作；以上防护功能均可以基于聚类分析、可信度、回探等多种防御机制；</w:t>
            </w:r>
          </w:p>
          <w:p>
            <w:pPr>
              <w:rPr>
                <w:rFonts w:ascii="新宋体" w:hAnsi="新宋体" w:eastAsia="新宋体"/>
                <w:color w:val="auto"/>
              </w:rPr>
            </w:pPr>
            <w:r>
              <w:rPr>
                <w:rFonts w:ascii="新宋体" w:hAnsi="新宋体" w:eastAsia="新宋体"/>
                <w:color w:val="auto"/>
              </w:rPr>
              <w:t>11、支持针对URL类型进行流量管理，至少支持：旅游出行、美体美容、web代理、报刊杂志等。可以针对不同类型的URL配置不同的流量管理规则,包括最大带宽、保证带宽、协议流量优先级等；</w:t>
            </w:r>
          </w:p>
          <w:p>
            <w:pPr>
              <w:rPr>
                <w:rFonts w:ascii="新宋体" w:hAnsi="新宋体" w:eastAsia="新宋体"/>
                <w:color w:val="auto"/>
              </w:rPr>
            </w:pPr>
            <w:r>
              <w:rPr>
                <w:rFonts w:ascii="新宋体" w:hAnsi="新宋体" w:eastAsia="新宋体"/>
                <w:color w:val="auto"/>
              </w:rPr>
              <w:t>12、支持按照应用类型流量，URL分类流量统计，并独立显示TOP10的应用及所占比例，可按照应用识别特征库分类显示所有或部分分类的流量趋势曲线；</w:t>
            </w:r>
          </w:p>
          <w:p>
            <w:pPr>
              <w:rPr>
                <w:rFonts w:ascii="新宋体" w:hAnsi="新宋体" w:eastAsia="新宋体"/>
                <w:color w:val="auto"/>
              </w:rPr>
            </w:pPr>
            <w:r>
              <w:rPr>
                <w:rFonts w:ascii="新宋体" w:hAnsi="新宋体" w:eastAsia="新宋体"/>
                <w:color w:val="auto"/>
              </w:rPr>
              <w:t>13、支持IPv4和IPv6双栈协议下的主动防御；</w:t>
            </w:r>
          </w:p>
          <w:p>
            <w:pPr>
              <w:rPr>
                <w:rFonts w:ascii="新宋体" w:hAnsi="新宋体" w:eastAsia="新宋体"/>
                <w:color w:val="auto"/>
              </w:rPr>
            </w:pPr>
            <w:r>
              <w:rPr>
                <w:rFonts w:ascii="新宋体" w:hAnsi="新宋体" w:eastAsia="新宋体"/>
                <w:color w:val="auto"/>
              </w:rPr>
              <w:t>14、支持与内网安全与审计协同工作，可配置终端安全规则，实现对入网终端的版本检查和进程检查进行准入检查。</w:t>
            </w:r>
          </w:p>
          <w:p>
            <w:pPr>
              <w:widowControl/>
              <w:textAlignment w:val="top"/>
              <w:rPr>
                <w:rFonts w:ascii="宋体" w:hAnsi="宋体" w:cs="宋体"/>
                <w:color w:val="auto"/>
                <w:sz w:val="20"/>
                <w:szCs w:val="20"/>
              </w:rPr>
            </w:pPr>
            <w:r>
              <w:rPr>
                <w:rFonts w:ascii="新宋体" w:hAnsi="新宋体" w:eastAsia="新宋体"/>
                <w:color w:val="auto"/>
              </w:rPr>
              <w:t>15、支持端口联动，支持上下行端口组的联动，可以实现单端口决定同组中的任意接口失效启动链路切换；</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视频会议专线</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1.含3年20M视频会议专线</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年</w:t>
            </w:r>
          </w:p>
        </w:tc>
      </w:tr>
      <w:tr>
        <w:tblPrEx>
          <w:tblCellMar>
            <w:top w:w="0" w:type="dxa"/>
            <w:left w:w="108" w:type="dxa"/>
            <w:bottom w:w="0" w:type="dxa"/>
            <w:right w:w="108" w:type="dxa"/>
          </w:tblCellMar>
        </w:tblPrEx>
        <w:trPr>
          <w:trHeight w:val="7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北斗终端</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1.支持卫星通信双向北斗消息、弱信号增强模式，在户外紧急情况下进行卫星通讯</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高清LED显示屏体(3.84*2.08)</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像素点间距需≤1.86mm,模组工艺为SMD黑色表贴三合一LED共阴，金线，A级管。</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2.模组表面结构：不反射环境光，对比度高，色彩柔和，墨色一致性好。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3.像素点：≥288906点数/m²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4.模组尺寸：≥320mm*160mm.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5.发光点中心间距≤1.86mm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6.模组分辨率：≥172*86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7.保护技术：显示屏具有防潮、防尘，防腐蚀，防电磁干扰，抗静电功能;搭配多功能卡具有过流、短路、过热保护等功能；</w:t>
            </w:r>
          </w:p>
          <w:p>
            <w:pPr>
              <w:widowControl/>
              <w:numPr>
                <w:ilvl w:val="0"/>
                <w:numId w:val="5"/>
              </w:numP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灯珠冷热冲击：-50℃～130℃不少于15min 200次，光电特性及表面构造正常，点亮正常。</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9.刷新频率：≥3840hz 。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10.灯珠抗静电（ESD）测试：HBM模式∶ESD≥2000V，灯珠点亮无异常。</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11.每平米功耗：≤250W。</w:t>
            </w:r>
          </w:p>
          <w:p>
            <w:pPr>
              <w:widowControl/>
              <w:numPr>
                <w:ilvl w:val="0"/>
                <w:numId w:val="6"/>
              </w:numP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灯珠红墨水试验：回流焊1次，纯红墨水常温浸泡24H，无渗透。</w:t>
            </w:r>
          </w:p>
          <w:p>
            <w:pPr>
              <w:widowControl/>
              <w:numPr>
                <w:ilvl w:val="0"/>
                <w:numId w:val="0"/>
              </w:numPr>
              <w:textAlignment w:val="center"/>
              <w:rPr>
                <w:rFonts w:ascii="宋体" w:hAnsi="宋体" w:cs="宋体"/>
                <w:color w:val="auto"/>
                <w:sz w:val="20"/>
                <w:szCs w:val="20"/>
              </w:rPr>
            </w:pPr>
            <w:r>
              <w:rPr>
                <w:rFonts w:hint="eastAsia" w:ascii="宋体" w:hAnsi="宋体" w:cs="宋体"/>
                <w:color w:val="auto"/>
                <w:kern w:val="0"/>
                <w:sz w:val="20"/>
                <w:szCs w:val="20"/>
                <w:lang w:bidi="ar"/>
              </w:rPr>
              <w:t>13.寿 命：≥10万小时。</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7.99</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bidi="ar"/>
              </w:rPr>
              <w:t>平方</w:t>
            </w:r>
            <w:r>
              <w:rPr>
                <w:rFonts w:hint="eastAsia" w:ascii="宋体" w:hAnsi="宋体" w:cs="宋体"/>
                <w:color w:val="auto"/>
                <w:kern w:val="0"/>
                <w:sz w:val="20"/>
                <w:szCs w:val="20"/>
                <w:lang w:bidi="ar"/>
              </w:rPr>
              <w:t>米</w:t>
            </w:r>
            <w:bookmarkStart w:id="0" w:name="_GoBack"/>
            <w:bookmarkEnd w:id="0"/>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主控系统</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1.2U 标准机架式结构，配备彩色LCD操作显示屏。支持以下输入信号接口：2路DP（其中一路支持4K分辨率输入），2路DVI，3路HDMI，1路SDI带环出。支持以下输出信号接口：16路网口，整机最大支持分辨率为960万像素，支持自定义分辨率，最宽16000像素，最高8000像素，1路DVI。支持USB(TYPE B)，UART(RJ45)，RS232控制端口。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2.具备4K输入信号接口，单路输入信号可支持3840×2160@60Hz或7680×1080@60Hz分辨率的输入</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支持K-HDR功能：能够对图像进行实时处理，使得显示屏在播放普通SDR图像素材时可以实现HDR显示效果。支持EDID配置管理：无需外接电脑，直接在设备上更改EDID，自定义输入分辨率。支持8画面显示：可在屏幕上显示8个画面，所有信号均可同时上屏。可消除某个画面中指定的颜色图像，可修改任意一个画面的透明度值。具备预览输出接口，可同时监视当前输出画面内容及预览所有输入信号的画面内容。支持Super Resolution放大技术：视频补偿处理算法。画面缩小无尺寸限制，并保留图像细节，减轻画面放大多倍后产生的失焦现象。支持去黑边/剪裁功能：解决前端信号（尤其是VGA信号及非标准摄像头的输出信号）产生的黑边问题，针对任意信号源做任意裁剪（依旧保持满屏状态）。支持通道保护：对设备输入、输出I/O接口进行保护，避免过电压、过电流的冲击；通道间相互独立，且彼此互补。支持亮度调节：实时、快捷进行屏体显示亮度调整。无缝切换：设备在进行两个信号或两个模式间的切换时，无黑屏、停顿、闪烁等现象。支持按键锁定，防止误操作。支持一键黑屏，可将输出画面切换至黑屏状态。支持信号热备份功能，对于任意一路输入信号， 可指定另一路输入信 号作为其备份信号， 在播放该信号时， 若该信号发生丢失， 备份信号会自动切换至屏幕上。支持按键锁定，防止误操作。通过设备的显示屏可检查当前输入信号的信号状态。</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四通道无线话筒主机</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四通道无线接收机参数不低于以下要求：</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 四通道接收信号，每通道支持100信道可选；</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 支持UHF频段传输信号；</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 接收机和发射器均配置VA LCD显示屏；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 不少于80米使用距离；</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 音频和数据采用专用导频信号和ID码方式，有效防止串音和干扰；</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 频率范围：UHF 625MHz-670MHz；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 调制方式：FM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 信噪比：≥105dB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9. 失真度：≤0.5%@1KHz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 频率响应：65Hz-18KHz</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无线短杆话筒</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 带有显示屏显示工作频率，发言状态，电量显示等；</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 使用AA1.5V×2电池供电，可持续工作不少于6小时；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 话筒耗电量：≤160mA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 谐波辐射：≤-63dBm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 最大偏移度： ±45KHz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 类型：心形电容会议咪头</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 防手机干扰线路，会议发言更稳定。</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四通道数字功率放大器</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不低于以下参数1.采用ClassD技术,转换效率可达90%以上;1U设计、机身轻、方便携带和安装;自动限幅输出、短路、过载、过温、开机延时等保护功能;功放配备延时启动系统,保护音箱不受冲击而损坏;后板配备双通道、单通道、桥接输出转换;平衡输入接口,SPEAKON输出;功放开关电源带有单独的冷却系统;散热风扇采用先进的无级变速电路控制;技术参数:额定功率不小于:4×150W/8欧,4×250W/4欧;桥接:2×500W/8欧；频率响应:20Hz-20kHz(±3dB);总谐波失真(THD):≤0.05%；输入灵敏度可选:38dB,35dB,32dB,29dB;输入阻抗:≥10kΩ(电子平衡式);信噪比:≥80dB;阻尼系数(20Hz-200Hz):≥500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4x3全频音柱（标配L型支架）</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1.单元不小于3"×4；</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2.持续功率不小于120W，节目功率不小于240W，峰值功率不小于480W；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3.连接特性：定阻；</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4.定阻：不小于8Ω；</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5.频率响应160Hz-20kHz(-10dB)；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6.灵敏度不小于88dB；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7.最大声压级不小于112dB；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8.指向性不小于110°×40°。 </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数字音频处理器</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1.支持I0S移动终端APP远程控制功能。</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2.不少于8路输入、8路输出平衡接口;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3.支持编组控制功能,通道拷贝、粘贴、联控功能;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4.支持外部面板配置及控制功能;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5.输入每通道功能:前级放大器、扩展器、压缩器、参量均衡器;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6.输出每通道功能:参量/段图均衡可选、分频器、延时器、高低通滤波器、限幅器;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7.支持自适应反馈消除（AFC）功能;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8.支持自适应回声消除（AEC）功能、噪声消除（ANC）功能。</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9.多种模式自动混音,可选门限型自动混音或增益分享型自动混音模式;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10.支持GPIO可编程控制接口;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11.自带USB接口,支持音频录放功能。</w:t>
            </w:r>
          </w:p>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12.支持RS-232双向串行控制接口;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13.支持不少于50组场景预设功能;</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机柜</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1.19英寸网络机柜，不低于600*600*800（mm，宽深高），SPCC优质冷轧钢板，方孔条不低于2.0mm,其它1.0mm，表面静电喷塑，方孔条镀蓝锌，重型脚轮，可载重不低于600KG，托盘一块，M6方螺母钉不低于20套。</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PDU（机房.大厅.各房间公用）</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1.PDU 孔位不低于8个10A组合孔，额定电压220v-250v之间，功率不低于2000W，最大电流支持10A，要求具有安全保护门。</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16口接入交换机</w:t>
            </w:r>
          </w:p>
        </w:tc>
        <w:tc>
          <w:tcPr>
            <w:tcW w:w="365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1.交换容量≥32Gbps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2.包转发率≥24Mpps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3.≥16路10/100/1000Base-T以太网端口</w:t>
            </w:r>
          </w:p>
        </w:tc>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53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textAlignment w:val="center"/>
              <w:rPr>
                <w:rFonts w:ascii="宋体" w:hAnsi="宋体" w:cs="宋体"/>
                <w:color w:val="auto"/>
                <w:sz w:val="20"/>
                <w:szCs w:val="20"/>
              </w:rPr>
            </w:pPr>
            <w:r>
              <w:rPr>
                <w:rFonts w:hint="eastAsia" w:ascii="宋体" w:hAnsi="宋体" w:cs="宋体"/>
                <w:color w:val="auto"/>
                <w:sz w:val="20"/>
                <w:szCs w:val="20"/>
              </w:rPr>
              <w:t>系统总集成服务</w:t>
            </w:r>
          </w:p>
        </w:tc>
        <w:tc>
          <w:tcPr>
            <w:tcW w:w="365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宋体" w:hAnsi="宋体" w:cs="宋体"/>
                <w:color w:val="auto"/>
                <w:sz w:val="20"/>
                <w:szCs w:val="20"/>
              </w:rPr>
            </w:pPr>
            <w:r>
              <w:rPr>
                <w:rStyle w:val="18"/>
                <w:rFonts w:hint="default"/>
                <w:color w:val="auto"/>
                <w:lang w:bidi="ar"/>
              </w:rPr>
              <w:t>要求采用先进的软硬件集成技术，提供软硬件现场安装部署、调试调测、总集成、培训等服务。需按照系统架构设计要求，安装调测相关软件平台及辅助设备设施，确保平台正常运行；配置测试网络及安全策略，确保网络通信畅通及数据传输安全；配置测试音视频设备，确保系统可以有效接入会商系统；在服务实施过程中需进行充分的测试和验证，确保软硬件系统集成的稳定性和可靠性；需按期完成系统部署和上线，确保平台集成按时交付使用。</w:t>
            </w:r>
          </w:p>
        </w:tc>
        <w:tc>
          <w:tcPr>
            <w:tcW w:w="218" w:type="pct"/>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r>
      <w:tr>
        <w:tblPrEx>
          <w:tblCellMar>
            <w:top w:w="0" w:type="dxa"/>
            <w:left w:w="108" w:type="dxa"/>
            <w:bottom w:w="0" w:type="dxa"/>
            <w:right w:w="108" w:type="dxa"/>
          </w:tblCellMar>
        </w:tblPrEx>
        <w:trPr>
          <w:trHeight w:val="6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spacing w:before="60"/>
              <w:ind w:left="100" w:leftChars="0"/>
              <w:rPr>
                <w:rFonts w:hint="eastAsia" w:ascii="宋体" w:hAnsi="宋体" w:eastAsia="宋体" w:cs="宋体"/>
                <w:color w:val="auto"/>
                <w:kern w:val="2"/>
                <w:sz w:val="19"/>
                <w:szCs w:val="24"/>
                <w:lang w:val="en-US" w:eastAsia="zh-CN" w:bidi="ar-SA"/>
              </w:rPr>
            </w:pPr>
            <w:r>
              <w:rPr>
                <w:color w:val="auto"/>
                <w:sz w:val="19"/>
              </w:rPr>
              <w:t>说明</w:t>
            </w:r>
          </w:p>
        </w:tc>
        <w:tc>
          <w:tcPr>
            <w:tcW w:w="4696" w:type="pct"/>
            <w:gridSpan w:val="4"/>
            <w:tcBorders>
              <w:top w:val="single" w:color="000000" w:sz="4" w:space="0"/>
              <w:left w:val="single" w:color="000000" w:sz="4" w:space="0"/>
              <w:bottom w:val="single" w:color="000000" w:sz="4" w:space="0"/>
              <w:right w:val="single" w:color="auto" w:sz="4" w:space="0"/>
            </w:tcBorders>
            <w:shd w:val="clear" w:color="auto" w:fill="auto"/>
            <w:noWrap/>
            <w:vAlign w:val="top"/>
          </w:tcPr>
          <w:p>
            <w:pPr>
              <w:widowControl/>
              <w:jc w:val="center"/>
              <w:textAlignment w:val="center"/>
              <w:rPr>
                <w:rFonts w:hint="eastAsia" w:ascii="宋体" w:hAnsi="宋体" w:cs="宋体"/>
                <w:color w:val="auto"/>
                <w:kern w:val="0"/>
                <w:sz w:val="20"/>
                <w:szCs w:val="20"/>
                <w:lang w:bidi="ar"/>
              </w:rPr>
            </w:pPr>
            <w:r>
              <w:rPr>
                <w:color w:val="auto"/>
                <w:sz w:val="19"/>
              </w:rPr>
              <w:t>打</w:t>
            </w:r>
            <w:r>
              <w:rPr>
                <w:rFonts w:hint="eastAsia" w:ascii="Arial Unicode MS" w:hAnsi="Arial Unicode MS" w:eastAsia="Arial Unicode MS"/>
                <w:color w:val="auto"/>
                <w:w w:val="125"/>
                <w:sz w:val="19"/>
              </w:rPr>
              <w:t>“★”</w:t>
            </w:r>
            <w:r>
              <w:rPr>
                <w:color w:val="auto"/>
                <w:sz w:val="19"/>
              </w:rPr>
              <w:t>号条款为实质性条款，若有任何一条负偏离或不满足则导致投标无效。</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6D310"/>
    <w:multiLevelType w:val="singleLevel"/>
    <w:tmpl w:val="C846D310"/>
    <w:lvl w:ilvl="0" w:tentative="0">
      <w:start w:val="1"/>
      <w:numFmt w:val="chineseCounting"/>
      <w:pStyle w:val="2"/>
      <w:suff w:val="nothing"/>
      <w:lvlText w:val="%1、"/>
      <w:lvlJc w:val="left"/>
      <w:pPr>
        <w:ind w:left="0" w:firstLine="420"/>
      </w:pPr>
      <w:rPr>
        <w:rFonts w:hint="eastAsia"/>
      </w:rPr>
    </w:lvl>
  </w:abstractNum>
  <w:abstractNum w:abstractNumId="1">
    <w:nsid w:val="D56B0934"/>
    <w:multiLevelType w:val="singleLevel"/>
    <w:tmpl w:val="D56B0934"/>
    <w:lvl w:ilvl="0" w:tentative="0">
      <w:start w:val="8"/>
      <w:numFmt w:val="decimal"/>
      <w:lvlText w:val="%1."/>
      <w:lvlJc w:val="left"/>
      <w:pPr>
        <w:tabs>
          <w:tab w:val="left" w:pos="312"/>
        </w:tabs>
      </w:pPr>
    </w:lvl>
  </w:abstractNum>
  <w:abstractNum w:abstractNumId="2">
    <w:nsid w:val="F1FFED01"/>
    <w:multiLevelType w:val="singleLevel"/>
    <w:tmpl w:val="F1FFED01"/>
    <w:lvl w:ilvl="0" w:tentative="0">
      <w:start w:val="12"/>
      <w:numFmt w:val="decimal"/>
      <w:lvlText w:val="%1."/>
      <w:lvlJc w:val="left"/>
      <w:pPr>
        <w:tabs>
          <w:tab w:val="left" w:pos="312"/>
        </w:tabs>
      </w:pPr>
    </w:lvl>
  </w:abstractNum>
  <w:abstractNum w:abstractNumId="3">
    <w:nsid w:val="24223793"/>
    <w:multiLevelType w:val="singleLevel"/>
    <w:tmpl w:val="24223793"/>
    <w:lvl w:ilvl="0" w:tentative="0">
      <w:start w:val="1"/>
      <w:numFmt w:val="decimal"/>
      <w:lvlText w:val="%1."/>
      <w:lvlJc w:val="left"/>
      <w:pPr>
        <w:tabs>
          <w:tab w:val="left" w:pos="312"/>
        </w:tabs>
      </w:pPr>
    </w:lvl>
  </w:abstractNum>
  <w:abstractNum w:abstractNumId="4">
    <w:nsid w:val="4522239F"/>
    <w:multiLevelType w:val="multilevel"/>
    <w:tmpl w:val="4522239F"/>
    <w:lvl w:ilvl="0" w:tentative="0">
      <w:start w:val="7"/>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5">
    <w:nsid w:val="462546B6"/>
    <w:multiLevelType w:val="multilevel"/>
    <w:tmpl w:val="462546B6"/>
    <w:lvl w:ilvl="0" w:tentative="0">
      <w:start w:val="1"/>
      <w:numFmt w:val="decimal"/>
      <w:lvlText w:val="%1."/>
      <w:lvlJc w:val="left"/>
      <w:pPr>
        <w:ind w:left="425" w:hanging="425"/>
      </w:pPr>
      <w:rPr>
        <w:rFonts w:hint="default"/>
      </w:rPr>
    </w:lvl>
    <w:lvl w:ilvl="1" w:tentative="0">
      <w:start w:val="1"/>
      <w:numFmt w:val="decimal"/>
      <w:pStyle w:val="3"/>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ODdhNGFjMTQ2NmNkNjdiMTkxYzQ2ODI5MmM0MTMifQ=="/>
  </w:docVars>
  <w:rsids>
    <w:rsidRoot w:val="00AE603D"/>
    <w:rsid w:val="00122587"/>
    <w:rsid w:val="001C78F9"/>
    <w:rsid w:val="002D5A21"/>
    <w:rsid w:val="002E7ED7"/>
    <w:rsid w:val="00614AB1"/>
    <w:rsid w:val="0075785C"/>
    <w:rsid w:val="0096300D"/>
    <w:rsid w:val="00A120A7"/>
    <w:rsid w:val="00AE603D"/>
    <w:rsid w:val="00D74728"/>
    <w:rsid w:val="00F4196A"/>
    <w:rsid w:val="02A736BE"/>
    <w:rsid w:val="08367CC1"/>
    <w:rsid w:val="0A3B10A0"/>
    <w:rsid w:val="0F624D60"/>
    <w:rsid w:val="1617755A"/>
    <w:rsid w:val="166E1BA6"/>
    <w:rsid w:val="16BA36CD"/>
    <w:rsid w:val="1B05537F"/>
    <w:rsid w:val="20FA1D59"/>
    <w:rsid w:val="231426D6"/>
    <w:rsid w:val="24AC5E66"/>
    <w:rsid w:val="2511069B"/>
    <w:rsid w:val="2608008F"/>
    <w:rsid w:val="26CF120C"/>
    <w:rsid w:val="2E0777D8"/>
    <w:rsid w:val="377F16C3"/>
    <w:rsid w:val="39006B30"/>
    <w:rsid w:val="395F3ABF"/>
    <w:rsid w:val="3A111A8C"/>
    <w:rsid w:val="3C4B6EC3"/>
    <w:rsid w:val="3FDF4BE3"/>
    <w:rsid w:val="45344037"/>
    <w:rsid w:val="455B4974"/>
    <w:rsid w:val="46EB783F"/>
    <w:rsid w:val="47A0694B"/>
    <w:rsid w:val="499A72FA"/>
    <w:rsid w:val="49AE2A07"/>
    <w:rsid w:val="508B5BEF"/>
    <w:rsid w:val="52FE4D9E"/>
    <w:rsid w:val="5CA6628A"/>
    <w:rsid w:val="5E183C9A"/>
    <w:rsid w:val="67BE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2">
    <w:name w:val="heading 1"/>
    <w:basedOn w:val="1"/>
    <w:next w:val="1"/>
    <w:link w:val="16"/>
    <w:qFormat/>
    <w:uiPriority w:val="0"/>
    <w:pPr>
      <w:keepNext/>
      <w:numPr>
        <w:ilvl w:val="0"/>
        <w:numId w:val="1"/>
      </w:numPr>
      <w:ind w:firstLine="0"/>
      <w:outlineLvl w:val="0"/>
    </w:pPr>
    <w:rPr>
      <w:b/>
      <w:sz w:val="32"/>
    </w:rPr>
  </w:style>
  <w:style w:type="paragraph" w:styleId="3">
    <w:name w:val="heading 2"/>
    <w:next w:val="1"/>
    <w:link w:val="17"/>
    <w:semiHidden/>
    <w:unhideWhenUsed/>
    <w:qFormat/>
    <w:uiPriority w:val="0"/>
    <w:pPr>
      <w:keepNext/>
      <w:keepLines/>
      <w:numPr>
        <w:ilvl w:val="1"/>
        <w:numId w:val="2"/>
      </w:numPr>
      <w:tabs>
        <w:tab w:val="left" w:pos="0"/>
      </w:tabs>
      <w:ind w:firstLine="0"/>
      <w:outlineLvl w:val="1"/>
    </w:pPr>
    <w:rPr>
      <w:rFonts w:ascii="Arial" w:hAnsi="Arial" w:eastAsia="宋体" w:cstheme="minorBidi"/>
      <w:b/>
      <w:sz w:val="28"/>
      <w:lang w:val="en-US" w:eastAsia="zh-CN" w:bidi="ar-SA"/>
    </w:rPr>
  </w:style>
  <w:style w:type="paragraph" w:styleId="4">
    <w:name w:val="heading 3"/>
    <w:basedOn w:val="1"/>
    <w:next w:val="1"/>
    <w:semiHidden/>
    <w:unhideWhenUsed/>
    <w:qFormat/>
    <w:uiPriority w:val="0"/>
    <w:pPr>
      <w:keepNext/>
      <w:keepLines/>
      <w:numPr>
        <w:ilvl w:val="2"/>
        <w:numId w:val="3"/>
      </w:numPr>
      <w:spacing w:before="260" w:after="260" w:line="413" w:lineRule="auto"/>
      <w:outlineLvl w:val="2"/>
    </w:pPr>
    <w:rPr>
      <w:rFonts w:ascii="宋体" w:hAnsi="宋体" w:cs="宋体"/>
      <w:b/>
      <w:sz w:val="28"/>
      <w:szCs w:val="22"/>
      <w:lang w:val="zh-CN" w:bidi="zh-CN"/>
    </w:rPr>
  </w:style>
  <w:style w:type="paragraph" w:styleId="5">
    <w:name w:val="heading 4"/>
    <w:basedOn w:val="1"/>
    <w:next w:val="1"/>
    <w:semiHidden/>
    <w:unhideWhenUsed/>
    <w:qFormat/>
    <w:uiPriority w:val="0"/>
    <w:pPr>
      <w:keepNext/>
      <w:keepLines/>
      <w:numPr>
        <w:ilvl w:val="3"/>
        <w:numId w:val="3"/>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3"/>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3"/>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0"/>
    <w:rPr>
      <w:rFonts w:ascii="Arial" w:hAnsi="Arial" w:eastAsia="黑体"/>
      <w:sz w:val="20"/>
    </w:rPr>
  </w:style>
  <w:style w:type="paragraph" w:styleId="12">
    <w:name w:val="Body Text"/>
    <w:basedOn w:val="1"/>
    <w:qFormat/>
    <w:uiPriority w:val="0"/>
    <w:pPr>
      <w:spacing w:after="120"/>
    </w:pPr>
  </w:style>
  <w:style w:type="paragraph" w:styleId="13">
    <w:name w:val="Body Text First Indent"/>
    <w:basedOn w:val="12"/>
    <w:qFormat/>
    <w:uiPriority w:val="0"/>
    <w:pPr>
      <w:ind w:firstLine="420" w:firstLineChars="100"/>
    </w:pPr>
  </w:style>
  <w:style w:type="character" w:customStyle="1" w:styleId="16">
    <w:name w:val="标题 1 字符"/>
    <w:link w:val="2"/>
    <w:qFormat/>
    <w:uiPriority w:val="1"/>
    <w:rPr>
      <w:rFonts w:ascii="Times New Roman" w:hAnsi="Times New Roman" w:eastAsia="宋体" w:cs="宋体"/>
      <w:b/>
      <w:bCs/>
      <w:kern w:val="2"/>
      <w:sz w:val="32"/>
      <w:szCs w:val="38"/>
      <w:lang w:val="en-US" w:bidi="ar-SA"/>
    </w:rPr>
  </w:style>
  <w:style w:type="character" w:customStyle="1" w:styleId="17">
    <w:name w:val="标题 2 字符"/>
    <w:link w:val="3"/>
    <w:qFormat/>
    <w:uiPriority w:val="9"/>
    <w:rPr>
      <w:rFonts w:ascii="Arial" w:hAnsi="Arial" w:eastAsia="宋体"/>
      <w:b/>
      <w:kern w:val="2"/>
      <w:sz w:val="28"/>
      <w:szCs w:val="24"/>
    </w:rPr>
  </w:style>
  <w:style w:type="character" w:customStyle="1" w:styleId="18">
    <w:name w:val="font11"/>
    <w:basedOn w:val="15"/>
    <w:qFormat/>
    <w:uiPriority w:val="0"/>
    <w:rPr>
      <w:rFonts w:hint="eastAsia" w:ascii="宋体" w:hAnsi="宋体" w:eastAsia="宋体" w:cs="宋体"/>
      <w:color w:val="000000"/>
      <w:sz w:val="20"/>
      <w:szCs w:val="20"/>
      <w:u w:val="none"/>
    </w:rPr>
  </w:style>
  <w:style w:type="paragraph" w:customStyle="1" w:styleId="1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1158</Words>
  <Characters>6604</Characters>
  <Lines>55</Lines>
  <Paragraphs>15</Paragraphs>
  <TotalTime>8</TotalTime>
  <ScaleCrop>false</ScaleCrop>
  <LinksUpToDate>false</LinksUpToDate>
  <CharactersWithSpaces>7747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2024-07-13T06:09:00Z</dcterms:created>
  <dc:creator>Administrator</dc:creator>
  <cp:lastModifiedBy>duan</cp:lastModifiedBy>
  <dcterms:modified xsi:type="dcterms:W3CDTF">2024-07-17T01:09:50Z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424AE269FF7544859A6F19F3433C2672</vt:lpwstr>
  </property>
</Properties>
</file>