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color w:val="auto"/>
          <w:sz w:val="32"/>
          <w:szCs w:val="32"/>
          <w:lang w:val="en-US" w:eastAsia="zh-CN"/>
        </w:rPr>
      </w:pPr>
      <w:r>
        <w:rPr>
          <w:rFonts w:hint="eastAsia"/>
          <w:color w:val="auto"/>
          <w:sz w:val="32"/>
          <w:szCs w:val="32"/>
          <w:lang w:val="en-US" w:eastAsia="zh-CN"/>
        </w:rPr>
        <w:t>2023年幼儿园室内玩具采购项目澄清</w:t>
      </w:r>
    </w:p>
    <w:p>
      <w:pPr>
        <w:bidi w:val="0"/>
        <w:rPr>
          <w:rFonts w:hint="eastAsia"/>
          <w:color w:val="auto"/>
          <w:lang w:val="en-US" w:eastAsia="zh-CN"/>
        </w:rPr>
      </w:pP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eastAsia="zh-CN"/>
        </w:rPr>
      </w:pPr>
      <w:r>
        <w:rPr>
          <w:rFonts w:hint="eastAsia"/>
          <w:color w:val="auto"/>
          <w:sz w:val="24"/>
          <w:szCs w:val="24"/>
          <w:lang w:val="en-US" w:eastAsia="zh-CN"/>
        </w:rPr>
        <w:t>1、卡普乐积木</w:t>
      </w:r>
      <w:r>
        <w:rPr>
          <w:rFonts w:hint="default"/>
          <w:color w:val="auto"/>
          <w:sz w:val="24"/>
          <w:szCs w:val="24"/>
          <w:lang w:val="en-US" w:eastAsia="zh-CN"/>
        </w:rPr>
        <w:t>★</w:t>
      </w:r>
      <w:r>
        <w:rPr>
          <w:rFonts w:hint="eastAsia"/>
          <w:color w:val="auto"/>
          <w:sz w:val="24"/>
          <w:szCs w:val="24"/>
        </w:rPr>
        <w:t>提供检测报告</w:t>
      </w:r>
      <w:r>
        <w:rPr>
          <w:rFonts w:hint="eastAsia"/>
          <w:color w:val="auto"/>
          <w:sz w:val="24"/>
          <w:szCs w:val="24"/>
          <w:lang w:eastAsia="zh-CN"/>
        </w:rPr>
        <w:t>（</w:t>
      </w:r>
      <w:r>
        <w:rPr>
          <w:rFonts w:hint="eastAsia"/>
          <w:color w:val="auto"/>
          <w:sz w:val="24"/>
          <w:szCs w:val="24"/>
          <w:lang w:val="en-US" w:eastAsia="zh-CN"/>
        </w:rPr>
        <w:t>检验依据</w:t>
      </w:r>
      <w:r>
        <w:rPr>
          <w:rFonts w:hint="eastAsia"/>
          <w:color w:val="auto"/>
          <w:sz w:val="24"/>
          <w:szCs w:val="24"/>
        </w:rPr>
        <w:t>GB6675.1-2014《玩具安全 第1部分：基本规范》、GB6675.2-2014《玩具安全 第2部分：机械与物理性能》、GB6675.3-2014《玩具安全 第3部分：易燃性能》、GB6675.4-2014《玩具安全 第4部分：特定元素的迁移》</w:t>
      </w:r>
      <w:r>
        <w:rPr>
          <w:rFonts w:hint="eastAsia"/>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bookmarkStart w:id="0" w:name="_Toc4363"/>
      <w:r>
        <w:rPr>
          <w:rFonts w:hint="eastAsia"/>
          <w:color w:val="auto"/>
          <w:sz w:val="24"/>
          <w:szCs w:val="24"/>
          <w:lang w:val="en-US" w:eastAsia="zh-CN"/>
        </w:rPr>
        <w:t>2、软式练习跨栏架 ★开标时须提供符合GB/T 18204.2-2014标准的检测报告（复印件加盖厂家公章）</w:t>
      </w:r>
      <w:bookmarkEnd w:id="0"/>
      <w:bookmarkStart w:id="1" w:name="_Toc8068"/>
      <w:r>
        <w:rPr>
          <w:rFonts w:hint="eastAsia"/>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3、软式练习接力环</w:t>
      </w:r>
      <w:bookmarkEnd w:id="1"/>
      <w:bookmarkStart w:id="2" w:name="_Toc7213"/>
      <w:r>
        <w:rPr>
          <w:rFonts w:hint="eastAsia"/>
          <w:color w:val="auto"/>
          <w:sz w:val="24"/>
          <w:szCs w:val="24"/>
          <w:lang w:val="en-US" w:eastAsia="zh-CN"/>
        </w:rPr>
        <w:t>★开标时须提供符合GB/T 18204.2-2014标准的检测报告（复印件加盖厂家公章）；</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 xml:space="preserve">4、软式壶铃 </w:t>
      </w:r>
      <w:bookmarkEnd w:id="2"/>
      <w:r>
        <w:rPr>
          <w:rFonts w:hint="eastAsia"/>
          <w:color w:val="auto"/>
          <w:sz w:val="24"/>
          <w:szCs w:val="24"/>
          <w:lang w:val="en-US" w:eastAsia="zh-CN"/>
        </w:rPr>
        <w:t>★开标时须提供符合GB/T 18204.2-2014标准的检测报告（复印件加盖厂家公章）</w:t>
      </w:r>
      <w:bookmarkStart w:id="3" w:name="_Toc18856"/>
      <w:r>
        <w:rPr>
          <w:rFonts w:hint="eastAsia"/>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5、掷准练习标枪开标时须提供符合GB/T 18204.2-2014标准的检测报告（复印件加盖厂家公章）</w:t>
      </w:r>
      <w:bookmarkEnd w:id="3"/>
      <w:bookmarkStart w:id="4" w:name="_Toc17347"/>
      <w:r>
        <w:rPr>
          <w:rFonts w:hint="eastAsia"/>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6、红色积木★产品提供中国国家强制性产品认证证书复印件、提供原材料或产品符合《玩具安全》（GB 6675-2014）国家标准1-4部分的检测报告复印件</w:t>
      </w:r>
      <w:bookmarkEnd w:id="4"/>
      <w:bookmarkStart w:id="5" w:name="_Toc18173"/>
      <w:r>
        <w:rPr>
          <w:rFonts w:hint="eastAsia"/>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7、幼儿园砖筑大师大型积木★</w:t>
      </w:r>
      <w:bookmarkEnd w:id="5"/>
      <w:bookmarkStart w:id="6" w:name="_Toc15648"/>
      <w:r>
        <w:rPr>
          <w:rFonts w:hint="eastAsia"/>
          <w:color w:val="auto"/>
          <w:sz w:val="24"/>
          <w:szCs w:val="24"/>
          <w:lang w:val="en-US" w:eastAsia="zh-CN"/>
        </w:rPr>
        <w:t>产品提供中国国家强制性产品认证证书复印件、提供原材料或产品符合《玩具安全》（GB 6675-2014）国家标准1-4部分的检测报告复印件；</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8、中级建筑师</w:t>
      </w:r>
      <w:bookmarkEnd w:id="6"/>
      <w:bookmarkStart w:id="7" w:name="_Toc7668"/>
      <w:r>
        <w:rPr>
          <w:rFonts w:hint="eastAsia"/>
          <w:color w:val="auto"/>
          <w:sz w:val="24"/>
          <w:szCs w:val="24"/>
          <w:lang w:val="en-US" w:eastAsia="zh-CN"/>
        </w:rPr>
        <w:t>★产品提供中国国家强制性产品认证证书复印件、提供原材料或产品符合《玩具安全》（GB 6675-2014）国家标准1-4部分的检测报告复印件；</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9、小小建筑师</w:t>
      </w:r>
      <w:bookmarkEnd w:id="7"/>
      <w:bookmarkStart w:id="8" w:name="_Toc10671"/>
      <w:r>
        <w:rPr>
          <w:rFonts w:hint="eastAsia"/>
          <w:color w:val="auto"/>
          <w:sz w:val="24"/>
          <w:szCs w:val="24"/>
          <w:lang w:val="en-US" w:eastAsia="zh-CN"/>
        </w:rPr>
        <w:t>★产品提供中国国家强制性产品认证证书复印件、提供原材料或产品符合《玩具安全》（GB 6675-2014）国家标准1-4部分的检测报告复印件；</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10、中级长方砖、中级长方砖</w:t>
      </w:r>
      <w:bookmarkEnd w:id="8"/>
      <w:r>
        <w:rPr>
          <w:rFonts w:hint="eastAsia"/>
          <w:color w:val="auto"/>
          <w:sz w:val="24"/>
          <w:szCs w:val="24"/>
          <w:lang w:val="en-US" w:eastAsia="zh-CN"/>
        </w:rPr>
        <w:t>★产品提供中国国家强制性产品认证证书复印件、提供原材料或产品符合《玩具安全》（GB 6675-2014）国家标准1-4部分的检测报告复印件；</w:t>
      </w:r>
    </w:p>
    <w:p>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bookmarkStart w:id="9" w:name="_Toc21511"/>
      <w:r>
        <w:rPr>
          <w:rFonts w:hint="eastAsia"/>
          <w:color w:val="auto"/>
          <w:sz w:val="24"/>
          <w:szCs w:val="24"/>
          <w:lang w:val="en-US" w:eastAsia="zh-CN"/>
        </w:rPr>
        <w:t>11、EVA建筑大师1508件</w:t>
      </w:r>
      <w:bookmarkEnd w:id="9"/>
      <w:r>
        <w:rPr>
          <w:rFonts w:hint="eastAsia"/>
          <w:color w:val="auto"/>
          <w:sz w:val="24"/>
          <w:szCs w:val="24"/>
          <w:lang w:val="en-US" w:eastAsia="zh-CN"/>
        </w:rPr>
        <w:t>★产品提供中国国家强制性产品认证证书复印件、提供原材料或产品符合《玩具安全》（GB 6675-2014）国家标准1-4部分的检测报告复印件。</w:t>
      </w:r>
    </w:p>
    <w:p>
      <w:pPr>
        <w:pStyle w:val="2"/>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sz w:val="24"/>
          <w:szCs w:val="24"/>
          <w:lang w:val="en-US" w:eastAsia="zh-CN"/>
        </w:rPr>
      </w:pPr>
      <w:r>
        <w:rPr>
          <w:rFonts w:hint="eastAsia"/>
          <w:color w:val="auto"/>
          <w:sz w:val="24"/>
          <w:szCs w:val="24"/>
          <w:lang w:val="en-US" w:eastAsia="zh-CN"/>
        </w:rPr>
        <w:t>注：1、成交供应商在与采购人签订合时携带以上检测报告复印件加盖生产厂家公章，以便采购人核实。</w:t>
      </w:r>
    </w:p>
    <w:p>
      <w:pPr>
        <w:pStyle w:val="2"/>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color w:val="auto"/>
          <w:lang w:val="en-US" w:eastAsia="zh-CN"/>
        </w:rPr>
      </w:pPr>
      <w:r>
        <w:rPr>
          <w:rFonts w:hint="eastAsia"/>
          <w:color w:val="auto"/>
          <w:sz w:val="24"/>
          <w:szCs w:val="24"/>
          <w:lang w:val="en-US" w:eastAsia="zh-CN"/>
        </w:rPr>
        <w:t>2、响应文件中提供虚假材料的响应无效，并移交财政部门依法处理。</w:t>
      </w:r>
    </w:p>
    <w:p>
      <w:pPr>
        <w:bidi w:val="0"/>
        <w:rPr>
          <w:rFonts w:hint="eastAsia"/>
          <w:color w:val="auto"/>
          <w:lang w:eastAsia="zh-CN"/>
        </w:rPr>
      </w:pPr>
    </w:p>
    <w:p>
      <w:pPr>
        <w:bidi w:val="0"/>
        <w:rPr>
          <w:color w:val="auto"/>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40"/>
      </w:pPr>
      <w:r>
        <w:separator/>
      </w:r>
    </w:p>
  </w:footnote>
  <w:footnote w:type="continuationSeparator" w:id="1">
    <w:p>
      <w:pPr>
        <w:spacing w:before="0" w:after="0" w:line="240" w:lineRule="auto"/>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052C"/>
    <w:multiLevelType w:val="multilevel"/>
    <w:tmpl w:val="B609052C"/>
    <w:lvl w:ilvl="0" w:tentative="0">
      <w:start w:val="1"/>
      <w:numFmt w:val="chineseCounting"/>
      <w:lvlText w:val="第%1章"/>
      <w:lvlJc w:val="left"/>
      <w:pPr>
        <w:tabs>
          <w:tab w:val="left" w:pos="-420"/>
        </w:tabs>
        <w:ind w:left="2698" w:hanging="425"/>
      </w:pPr>
      <w:rPr>
        <w:rFonts w:hint="eastAsia" w:ascii="宋体" w:hAnsi="宋体" w:eastAsia="宋体" w:cs="宋体"/>
        <w:b/>
        <w:i w:val="0"/>
        <w:sz w:val="32"/>
        <w:szCs w:val="32"/>
      </w:rPr>
    </w:lvl>
    <w:lvl w:ilvl="1" w:tentative="0">
      <w:start w:val="1"/>
      <w:numFmt w:val="decimal"/>
      <w:isLgl/>
      <w:suff w:val="nothing"/>
      <w:lvlText w:val="%1.%2"/>
      <w:lvlJc w:val="left"/>
      <w:pPr>
        <w:tabs>
          <w:tab w:val="left" w:pos="420"/>
        </w:tabs>
        <w:ind w:left="147" w:hanging="567"/>
      </w:pPr>
      <w:rPr>
        <w:rFonts w:hint="eastAsia" w:ascii="宋体" w:hAnsi="宋体" w:eastAsia="宋体" w:cs="宋体"/>
        <w:b/>
        <w:i w:val="0"/>
        <w:color w:val="auto"/>
        <w:sz w:val="28"/>
        <w:szCs w:val="28"/>
      </w:rPr>
    </w:lvl>
    <w:lvl w:ilvl="2" w:tentative="0">
      <w:start w:val="1"/>
      <w:numFmt w:val="decimal"/>
      <w:isLgl/>
      <w:suff w:val="space"/>
      <w:lvlText w:val="%1.%2.%3"/>
      <w:lvlJc w:val="left"/>
      <w:pPr>
        <w:tabs>
          <w:tab w:val="left" w:pos="420"/>
        </w:tabs>
        <w:ind w:left="147" w:hanging="567"/>
      </w:pPr>
      <w:rPr>
        <w:rFonts w:hint="eastAsia" w:ascii="宋体" w:hAnsi="宋体" w:eastAsia="宋体" w:cs="宋体"/>
        <w:b/>
        <w:i w:val="0"/>
        <w:sz w:val="28"/>
      </w:rPr>
    </w:lvl>
    <w:lvl w:ilvl="3" w:tentative="0">
      <w:start w:val="1"/>
      <w:numFmt w:val="decimal"/>
      <w:pStyle w:val="6"/>
      <w:isLgl/>
      <w:suff w:val="nothing"/>
      <w:lvlText w:val="%1.%2.%3.%4"/>
      <w:lvlJc w:val="left"/>
      <w:pPr>
        <w:tabs>
          <w:tab w:val="left" w:pos="420"/>
        </w:tabs>
        <w:ind w:left="288" w:hanging="708"/>
      </w:pPr>
      <w:rPr>
        <w:rFonts w:hint="eastAsia" w:ascii="宋体" w:hAnsi="宋体" w:eastAsia="宋体" w:cs="宋体"/>
        <w:b/>
        <w:i w:val="0"/>
        <w:sz w:val="28"/>
      </w:rPr>
    </w:lvl>
    <w:lvl w:ilvl="4" w:tentative="0">
      <w:start w:val="1"/>
      <w:numFmt w:val="decimal"/>
      <w:isLgl/>
      <w:lvlText w:val="%1.%2.%3.%4.%5"/>
      <w:lvlJc w:val="left"/>
      <w:pPr>
        <w:tabs>
          <w:tab w:val="left" w:pos="0"/>
        </w:tabs>
        <w:ind w:left="1989" w:hanging="850"/>
      </w:pPr>
      <w:rPr>
        <w:rFonts w:hint="eastAsia" w:ascii="宋体" w:hAnsi="宋体" w:eastAsia="宋体" w:cs="宋体"/>
      </w:rPr>
    </w:lvl>
    <w:lvl w:ilvl="5" w:tentative="0">
      <w:start w:val="1"/>
      <w:numFmt w:val="decimal"/>
      <w:isLgl/>
      <w:lvlText w:val="%1.%2.%3.%4.%5.%6"/>
      <w:lvlJc w:val="left"/>
      <w:pPr>
        <w:tabs>
          <w:tab w:val="left" w:pos="-420"/>
        </w:tabs>
        <w:ind w:left="2698" w:hanging="1134"/>
      </w:pPr>
      <w:rPr>
        <w:rFonts w:hint="eastAsia" w:ascii="宋体" w:hAnsi="宋体" w:eastAsia="宋体" w:cs="宋体"/>
      </w:rPr>
    </w:lvl>
    <w:lvl w:ilvl="6" w:tentative="0">
      <w:start w:val="1"/>
      <w:numFmt w:val="decimal"/>
      <w:lvlText w:val="%1.%2.%3.%4.%5.%6.%7"/>
      <w:lvlJc w:val="left"/>
      <w:pPr>
        <w:tabs>
          <w:tab w:val="left" w:pos="-420"/>
        </w:tabs>
        <w:ind w:left="3265" w:hanging="1276"/>
      </w:pPr>
      <w:rPr>
        <w:rFonts w:hint="eastAsia"/>
      </w:rPr>
    </w:lvl>
    <w:lvl w:ilvl="7" w:tentative="0">
      <w:start w:val="1"/>
      <w:numFmt w:val="decimal"/>
      <w:lvlText w:val="%1.%2.%3.%4.%5.%6.%7.%8"/>
      <w:lvlJc w:val="left"/>
      <w:pPr>
        <w:tabs>
          <w:tab w:val="left" w:pos="-420"/>
        </w:tabs>
        <w:ind w:left="3832" w:hanging="1418"/>
      </w:pPr>
      <w:rPr>
        <w:rFonts w:hint="eastAsia"/>
      </w:rPr>
    </w:lvl>
    <w:lvl w:ilvl="8" w:tentative="0">
      <w:start w:val="1"/>
      <w:numFmt w:val="decimal"/>
      <w:lvlText w:val="%1.%2.%3.%4.%5.%6.%7.%8.%9"/>
      <w:lvlJc w:val="left"/>
      <w:pPr>
        <w:tabs>
          <w:tab w:val="left" w:pos="-420"/>
        </w:tabs>
        <w:ind w:left="454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Y2MyZGYyNDM1ZWVhODgyOWUyM2FiZWQwOTVlODEifQ=="/>
  </w:docVars>
  <w:rsids>
    <w:rsidRoot w:val="739B378C"/>
    <w:rsid w:val="01E84861"/>
    <w:rsid w:val="043645C2"/>
    <w:rsid w:val="047600EE"/>
    <w:rsid w:val="04B9141E"/>
    <w:rsid w:val="05A902FB"/>
    <w:rsid w:val="05CA321C"/>
    <w:rsid w:val="070F0FFB"/>
    <w:rsid w:val="0B896BF3"/>
    <w:rsid w:val="0F475B2B"/>
    <w:rsid w:val="0FDB4BB6"/>
    <w:rsid w:val="10D92D17"/>
    <w:rsid w:val="10E12F54"/>
    <w:rsid w:val="10F442DE"/>
    <w:rsid w:val="12675DD6"/>
    <w:rsid w:val="12A4415C"/>
    <w:rsid w:val="14402484"/>
    <w:rsid w:val="16567B91"/>
    <w:rsid w:val="16A0258B"/>
    <w:rsid w:val="18AA18D2"/>
    <w:rsid w:val="18B31384"/>
    <w:rsid w:val="1B2E552E"/>
    <w:rsid w:val="1B391D8F"/>
    <w:rsid w:val="1BB27A73"/>
    <w:rsid w:val="1ED1100C"/>
    <w:rsid w:val="216E68F2"/>
    <w:rsid w:val="21F66CA1"/>
    <w:rsid w:val="236028BA"/>
    <w:rsid w:val="24B9311A"/>
    <w:rsid w:val="2527202B"/>
    <w:rsid w:val="297F3BC9"/>
    <w:rsid w:val="298244EE"/>
    <w:rsid w:val="298E36C3"/>
    <w:rsid w:val="2ABE49DC"/>
    <w:rsid w:val="2B225B3D"/>
    <w:rsid w:val="2BA83AA9"/>
    <w:rsid w:val="2BE92E2E"/>
    <w:rsid w:val="2C4604CA"/>
    <w:rsid w:val="2D436EFD"/>
    <w:rsid w:val="2F2F6B3A"/>
    <w:rsid w:val="31FF233D"/>
    <w:rsid w:val="323646E5"/>
    <w:rsid w:val="32457131"/>
    <w:rsid w:val="326F1A90"/>
    <w:rsid w:val="336A28D6"/>
    <w:rsid w:val="35900D82"/>
    <w:rsid w:val="35CE7F0D"/>
    <w:rsid w:val="3619279E"/>
    <w:rsid w:val="3808152F"/>
    <w:rsid w:val="39071350"/>
    <w:rsid w:val="390C3285"/>
    <w:rsid w:val="39D61D14"/>
    <w:rsid w:val="3B577F71"/>
    <w:rsid w:val="3B5D1DB3"/>
    <w:rsid w:val="3DDC404C"/>
    <w:rsid w:val="4167554E"/>
    <w:rsid w:val="419E3806"/>
    <w:rsid w:val="44313ABB"/>
    <w:rsid w:val="448D536F"/>
    <w:rsid w:val="46375854"/>
    <w:rsid w:val="48554935"/>
    <w:rsid w:val="48B17E92"/>
    <w:rsid w:val="4C0032B9"/>
    <w:rsid w:val="4C0C01FF"/>
    <w:rsid w:val="4C7E7565"/>
    <w:rsid w:val="4C8534EC"/>
    <w:rsid w:val="4D0C27E7"/>
    <w:rsid w:val="4D7564C8"/>
    <w:rsid w:val="4EB57EE0"/>
    <w:rsid w:val="4F010436"/>
    <w:rsid w:val="50A16817"/>
    <w:rsid w:val="54345F35"/>
    <w:rsid w:val="555539B7"/>
    <w:rsid w:val="55AB5D77"/>
    <w:rsid w:val="5602713F"/>
    <w:rsid w:val="57BF0C29"/>
    <w:rsid w:val="5D0033EB"/>
    <w:rsid w:val="5D3C0667"/>
    <w:rsid w:val="5E2F21EE"/>
    <w:rsid w:val="5F5A7D0C"/>
    <w:rsid w:val="60CA4419"/>
    <w:rsid w:val="61896540"/>
    <w:rsid w:val="65CA13F5"/>
    <w:rsid w:val="65D17B48"/>
    <w:rsid w:val="65E01864"/>
    <w:rsid w:val="66994E6C"/>
    <w:rsid w:val="674A1F08"/>
    <w:rsid w:val="67883ADF"/>
    <w:rsid w:val="67E700AD"/>
    <w:rsid w:val="6A123CB0"/>
    <w:rsid w:val="6B224C9E"/>
    <w:rsid w:val="6C4D741E"/>
    <w:rsid w:val="6D7762A4"/>
    <w:rsid w:val="6E093496"/>
    <w:rsid w:val="6EF32E85"/>
    <w:rsid w:val="6F0E7481"/>
    <w:rsid w:val="6FF708DD"/>
    <w:rsid w:val="70481C24"/>
    <w:rsid w:val="70DF7B9E"/>
    <w:rsid w:val="7121301A"/>
    <w:rsid w:val="739B378C"/>
    <w:rsid w:val="744F5510"/>
    <w:rsid w:val="74F219D6"/>
    <w:rsid w:val="753164B5"/>
    <w:rsid w:val="765766C2"/>
    <w:rsid w:val="7875067A"/>
    <w:rsid w:val="78AB796C"/>
    <w:rsid w:val="792F0BFB"/>
    <w:rsid w:val="7B1442E1"/>
    <w:rsid w:val="7B7D7095"/>
    <w:rsid w:val="7C3250F3"/>
    <w:rsid w:val="7CC857B8"/>
    <w:rsid w:val="7EC03B55"/>
    <w:rsid w:val="7EC07453"/>
    <w:rsid w:val="7EED048C"/>
    <w:rsid w:val="7F75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firstLine="440" w:firstLineChars="200"/>
      <w:jc w:val="left"/>
    </w:pPr>
    <w:rPr>
      <w:rFonts w:ascii="宋体" w:hAnsi="宋体" w:eastAsia="宋体" w:cs="宋体"/>
      <w:sz w:val="22"/>
      <w:szCs w:val="22"/>
      <w:lang w:val="en-US" w:eastAsia="en-US" w:bidi="ar-SA"/>
    </w:rPr>
  </w:style>
  <w:style w:type="paragraph" w:styleId="3">
    <w:name w:val="heading 1"/>
    <w:basedOn w:val="1"/>
    <w:next w:val="1"/>
    <w:link w:val="11"/>
    <w:autoRedefine/>
    <w:qFormat/>
    <w:uiPriority w:val="0"/>
    <w:pPr>
      <w:keepNext/>
      <w:keepLines/>
      <w:widowControl w:val="0"/>
      <w:spacing w:before="340" w:after="330" w:line="400" w:lineRule="exact"/>
      <w:jc w:val="left"/>
      <w:outlineLvl w:val="0"/>
    </w:pPr>
    <w:rPr>
      <w:rFonts w:ascii="宋体" w:hAnsi="宋体" w:eastAsia="宋体" w:cs="宋体"/>
      <w:b/>
      <w:bCs/>
      <w:spacing w:val="-20"/>
      <w:kern w:val="44"/>
      <w:sz w:val="32"/>
      <w:szCs w:val="32"/>
    </w:rPr>
  </w:style>
  <w:style w:type="paragraph" w:styleId="4">
    <w:name w:val="heading 2"/>
    <w:basedOn w:val="1"/>
    <w:next w:val="1"/>
    <w:autoRedefine/>
    <w:semiHidden/>
    <w:unhideWhenUsed/>
    <w:qFormat/>
    <w:uiPriority w:val="0"/>
    <w:pPr>
      <w:keepNext/>
      <w:keepLines/>
      <w:tabs>
        <w:tab w:val="left" w:pos="420"/>
      </w:tabs>
      <w:spacing w:beforeLines="0" w:beforeAutospacing="0" w:afterLines="0" w:afterAutospacing="0" w:line="240" w:lineRule="auto"/>
      <w:ind w:left="147" w:hanging="567"/>
      <w:outlineLvl w:val="1"/>
    </w:pPr>
    <w:rPr>
      <w:rFonts w:ascii="Arial" w:hAnsi="Arial" w:eastAsia="宋体"/>
      <w:b/>
      <w:sz w:val="36"/>
    </w:rPr>
  </w:style>
  <w:style w:type="paragraph" w:styleId="5">
    <w:name w:val="heading 3"/>
    <w:basedOn w:val="1"/>
    <w:next w:val="1"/>
    <w:autoRedefine/>
    <w:semiHidden/>
    <w:unhideWhenUsed/>
    <w:qFormat/>
    <w:uiPriority w:val="0"/>
    <w:pPr>
      <w:keepNext/>
      <w:keepLines/>
      <w:tabs>
        <w:tab w:val="left" w:pos="420"/>
      </w:tabs>
      <w:spacing w:beforeLines="0" w:beforeAutospacing="0" w:afterLines="0" w:afterAutospacing="0" w:line="240" w:lineRule="auto"/>
      <w:ind w:left="147" w:hanging="567"/>
      <w:outlineLvl w:val="2"/>
    </w:pPr>
    <w:rPr>
      <w:rFonts w:ascii="Times New Roman" w:hAnsi="Times New Roman" w:eastAsia="宋体" w:cs="Times New Roman"/>
      <w:b/>
      <w:sz w:val="32"/>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240" w:lineRule="auto"/>
      <w:ind w:left="288" w:hanging="708"/>
      <w:outlineLvl w:val="3"/>
    </w:pPr>
    <w:rPr>
      <w:rFonts w:ascii="Arial" w:hAnsi="Arial" w:eastAsia="宋体"/>
      <w:b/>
      <w:sz w:val="30"/>
    </w:rPr>
  </w:style>
  <w:style w:type="paragraph" w:styleId="7">
    <w:name w:val="heading 5"/>
    <w:basedOn w:val="1"/>
    <w:next w:val="1"/>
    <w:autoRedefine/>
    <w:semiHidden/>
    <w:unhideWhenUsed/>
    <w:qFormat/>
    <w:uiPriority w:val="0"/>
    <w:pPr>
      <w:keepNext/>
      <w:keepLines/>
      <w:spacing w:beforeLines="0" w:beforeAutospacing="0" w:afterLines="0" w:afterAutospacing="0" w:line="360" w:lineRule="auto"/>
      <w:outlineLvl w:val="4"/>
    </w:pPr>
    <w:rPr>
      <w:b/>
      <w:sz w:val="28"/>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customStyle="1" w:styleId="10">
    <w:name w:val="目录"/>
    <w:basedOn w:val="1"/>
    <w:autoRedefine/>
    <w:qFormat/>
    <w:uiPriority w:val="0"/>
    <w:pPr>
      <w:tabs>
        <w:tab w:val="left" w:pos="1704"/>
        <w:tab w:val="left" w:pos="3408"/>
        <w:tab w:val="left" w:pos="5112"/>
        <w:tab w:val="left" w:pos="6817"/>
      </w:tabs>
    </w:pPr>
    <w:rPr>
      <w:rFonts w:asciiTheme="minorAscii" w:hAnsiTheme="minorAscii"/>
    </w:rPr>
  </w:style>
  <w:style w:type="character" w:customStyle="1" w:styleId="11">
    <w:name w:val="标题 1 字符"/>
    <w:basedOn w:val="9"/>
    <w:link w:val="3"/>
    <w:autoRedefine/>
    <w:qFormat/>
    <w:uiPriority w:val="0"/>
    <w:rPr>
      <w:rFonts w:ascii="宋体" w:hAnsi="宋体" w:eastAsia="宋体" w:cs="宋体"/>
      <w:b/>
      <w:bCs/>
      <w:spacing w:val="-20"/>
      <w:kern w:val="44"/>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2024-01-09T07:21:00Z</dcterms:created>
  <dc:creator>张美芳</dc:creator>
  <cp:lastModifiedBy>WPS_1178443495</cp:lastModifiedBy>
  <dcterms:modified xsi:type="dcterms:W3CDTF">2024-01-09T08:44:55Z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71A8773C9E024E949DE02C5B211D85CE_11</vt:lpwstr>
  </property>
</Properties>
</file>