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宋体"/>
          <w:color w:val="222222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齐齐哈尔市（富裕）生物基新材料循环经济产业园认定化工园区第三方全过程服务</w:t>
      </w:r>
    </w:p>
    <w:p>
      <w:pPr>
        <w:jc w:val="center"/>
        <w:rPr>
          <w:rFonts w:hint="eastAsia" w:ascii="楷体" w:hAnsi="楷体" w:eastAsia="楷体" w:cs="宋体"/>
          <w:color w:val="222222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222222"/>
          <w:kern w:val="0"/>
          <w:sz w:val="32"/>
          <w:szCs w:val="32"/>
        </w:rPr>
        <w:t>采购需求及技术参数</w:t>
      </w:r>
    </w:p>
    <w:p>
      <w:pPr>
        <w:jc w:val="left"/>
        <w:rPr>
          <w:rFonts w:ascii="黑体" w:hAnsi="黑体" w:eastAsia="黑体" w:cs="宋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22222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、项目需求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为响应参照《GB/T39217-2020化工园区综合评定导则》、《黑龙江省化工园区建设标准和认定管理办法》（试行）（以下简称：试行办法）以及国家相关法律法规，园区通过寻求第三方服务机构可辅助园区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按照前述标准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善管理体系嵌入第三方智慧化工园区云平台软件中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辅助园区通过省内化工园区认定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在后续服务中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园区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实现专业的化工园区智慧化管理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。所有服务标准参照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前述相应管理办法及国家相关法律法规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作为指导依据，项目内容如下：</w:t>
      </w:r>
    </w:p>
    <w:p>
      <w:pPr>
        <w:numPr>
          <w:ilvl w:val="0"/>
          <w:numId w:val="1"/>
        </w:numPr>
        <w:spacing w:line="360" w:lineRule="auto"/>
        <w:ind w:left="-60" w:leftChars="0" w:firstLine="48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智慧化工园区第三方服务，服务期限为3年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根据《GB/T39217-2020化工园区综合评定导则》、《黑龙江省化工园区建设标准和认定管理办法》（试行）及国家相关法律法规完成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相应的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体系编制、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认证所需材料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文件的梳理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起草等工作，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且将其嵌入至第三方自有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云平台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软件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第三方云平台软件应包含但不限于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园区介绍、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应急指挥中心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安全监管、环保监管、智慧管理等模块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，具有3年使用权限）。</w:t>
      </w:r>
    </w:p>
    <w:p>
      <w:pPr>
        <w:numPr>
          <w:ilvl w:val="0"/>
          <w:numId w:val="1"/>
        </w:numPr>
        <w:spacing w:line="360" w:lineRule="auto"/>
        <w:ind w:left="-60" w:leftChars="0" w:firstLine="48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辅助园区起草</w:t>
      </w: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eastAsia="zh-CN" w:bidi="ar"/>
        </w:rPr>
        <w:t>、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Hans" w:bidi="ar"/>
        </w:rPr>
        <w:t>编制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所需的文件包含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Hans" w:bidi="ar"/>
        </w:rPr>
        <w:t>不限于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安全风险监控体系、责任关怀体系、职业健康安全管理机制、安全生产应急救援体系、突发环境事件应急体系、自然灾害应急救援体系、环保监测监控体系。</w:t>
      </w:r>
    </w:p>
    <w:p>
      <w:pPr>
        <w:numPr>
          <w:ilvl w:val="0"/>
          <w:numId w:val="1"/>
        </w:numPr>
        <w:spacing w:line="360" w:lineRule="auto"/>
        <w:ind w:left="-60" w:leftChars="0" w:firstLine="48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指导、培训园区工作人员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园区企业相关人员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使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用云平台的智慧化工园区系统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整个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云平台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系统是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物联网硬件、云计算平台、SaaS应用等功能模块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有机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组成。其中物联网硬件部署于化工园区，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智慧化工园区第三方服务方对云平台软件具有法定无瑕疵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所有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，园区具有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需求范围内的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使用权。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所有数据均可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通过4G/5G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或有线方式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传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云平台；平台利用相关的算法模型，对实时数据及历史数据进行分析处理，并将结果反馈至用户界面；用户通过电脑、手机的浏览器登录使用，查看园区整体情况。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用户系统：为用户提供可视化的界面及应用功能。可以使用手机，电脑，平板随时随地查看园区的工作情况，直观展现园区整体情况。同时还可以微信消息的方式推送给相关管理人员方便统一管理。</w:t>
      </w:r>
    </w:p>
    <w:p>
      <w:pPr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第三方云平台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用于存储现场采集回来的数据,并根据实际应用情况进行分块管理，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数据可在使用期限范围内长期存储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Hans"/>
        </w:rPr>
        <w:t>并支持数据导出和下载功能</w:t>
      </w:r>
      <w:r>
        <w:rPr>
          <w:rFonts w:hint="default"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方便企业和管理人员随时调取和查看。</w:t>
      </w:r>
    </w:p>
    <w:p>
      <w:pPr>
        <w:pStyle w:val="2"/>
      </w:pPr>
    </w:p>
    <w:p>
      <w:pPr>
        <w:jc w:val="left"/>
        <w:rPr>
          <w:rFonts w:hint="default" w:ascii="黑体" w:hAnsi="黑体" w:eastAsia="黑体" w:cs="宋体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222222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技术</w:t>
      </w:r>
      <w:r>
        <w:rPr>
          <w:rFonts w:hint="eastAsia" w:ascii="黑体" w:hAnsi="黑体" w:eastAsia="黑体" w:cs="宋体"/>
          <w:color w:val="222222"/>
          <w:kern w:val="0"/>
          <w:sz w:val="32"/>
          <w:szCs w:val="32"/>
          <w:lang w:val="en-US" w:eastAsia="zh-CN"/>
        </w:rPr>
        <w:t>参数</w:t>
      </w:r>
    </w:p>
    <w:p>
      <w:pPr>
        <w:pStyle w:val="2"/>
      </w:pPr>
    </w:p>
    <w:tbl>
      <w:tblPr>
        <w:tblStyle w:val="6"/>
        <w:tblW w:w="9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599"/>
        <w:gridCol w:w="689"/>
        <w:gridCol w:w="1442"/>
        <w:gridCol w:w="4288"/>
        <w:gridCol w:w="2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lang w:bidi="ar"/>
              </w:rPr>
              <w:t>齐齐哈尔市（富裕）生物基新材料循环经济产业园认定化工园区第三方全过程服务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系统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模块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子模块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Hans" w:bidi="ar"/>
              </w:rPr>
              <w:t>具体内容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辅助园区编制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Hans" w:bidi="ar"/>
              </w:rPr>
              <w:t>管理体系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智慧化工园区第三方服务平台(3年）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一、园区介绍模块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简介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按照园区总规，形成系统中园区总体介绍。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园区选址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根据规划、环评，安全评价等文件，系统中展示园区选址。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Hans"/>
              </w:rPr>
              <w:t>选址说明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服务机构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系统中可展示园区内所有机构及部门设置。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规划布局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根据园区总体规划、产业规划进行相应展示。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专业评价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系统中可展示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园区和企业的安评、环评等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动态业务到期自动提醒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项目准入和退出机制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将园区项目准入和退出机制嵌入软件中，在系统中展示。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责任关怀体系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将园区责任关怀体系嵌入软件中，在系统中展示。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责任关怀体系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职业健康安全管理机制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将园区职业健康安全管理机制嵌入软件中，在系统中展示。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职业健康安全管理机制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二、应急指挥中心模块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生产安全事故应急救援指挥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将园区生产安全事故应急救援指挥体系嵌入软件中，在系统中展示。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安全生产应急救援体系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环境污染事件应急救援指挥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将园区突发环境事件应急救援指挥体系嵌入软件中，在系统展示。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突发环境事件应急体系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自然灾害应急救援指挥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将园区自然灾害应急救援指挥体系嵌入软件中，在系统展示。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自然灾害应急救援体系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三、安全监管模块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封闭化设施管理办法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根据相应标准规划摄像头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将园区摄像头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平台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中，在系统中展示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记录危险化学品车辆行程轨迹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并能进行系统管理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封闭化管理制度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eastAsia="zh-Hans" w:bidi="ar"/>
              </w:rPr>
              <w:t>封闭化建设方案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重大危险源监控覆盖率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预留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园区危险源信号的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接口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可随时接入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并可设置相应阈值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报警提示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有毒有害及可燃气体监控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预留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园区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有毒有害及可燃气体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接口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可随时接入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并可设置相应阈值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报警提示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安全风险监控体系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提供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安装数据采集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仪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台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240"/>
              <w:jc w:val="center"/>
              <w:textAlignment w:val="baseline"/>
              <w:rPr>
                <w:rFonts w:ascii="仿宋" w:hAnsi="仿宋" w:eastAsia="宋体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bidi="ar"/>
              </w:rPr>
              <w:t>针对园区企业安装信息采集硬件设施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eastAsia="zh-Hans" w:bidi="ar"/>
              </w:rPr>
              <w:t>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bidi="ar"/>
              </w:rPr>
              <w:t>，可实现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eastAsia="zh-Hans" w:bidi="ar"/>
              </w:rPr>
              <w:t>现场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bidi="ar"/>
              </w:rPr>
              <w:t>数据的采集。（数据采集仪技术参数：</w:t>
            </w:r>
            <w:r>
              <w:rPr>
                <w:rFonts w:hint="eastAsia" w:ascii="仿宋" w:hAnsi="仿宋" w:eastAsia="仿宋" w:cs="仿宋"/>
                <w:color w:val="000000"/>
                <w:lang w:bidi="ar"/>
              </w:rPr>
              <w:t>a.工作电压：220VAC，50HZ；b.额定功率：20W；c.工作温度：-20至70℃；d.保护等级：IP20；e.通讯方式：以太网/GPRS/CDMA/3G/4G，433M射频信号。；f.显示单元：5.7寸显示屏。）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四、环保监管模块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废水收集处理系统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预留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可接入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的远程切断阀门功能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的接口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即新增企业后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做到数字化“一企一管”功能，在系统中展示。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危废处理处置系统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将危废处置及备案管理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体系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嵌入软件中，在系统中展示。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环保监测监控体系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将园区环保监测监控体系嵌入软件中，在系统中展示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预留在线仪表接口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环保监测监控体系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 w:colFirst="4" w:colLast="4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综合质量数据系统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</w:pP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1）综合环保质量【大气、水、土壤达标率（饼状图、柱状图等）】，指标可曲线形式展现，设定超标值等；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（2）环境实时数据（大气、水、土壤）异常数据报警；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（3）统计报表，所有数据导出等功能；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（4）支持数据手工录入及现场采集功能。</w:t>
            </w:r>
          </w:p>
          <w:p>
            <w:pPr>
              <w:widowControl/>
              <w:jc w:val="left"/>
              <w:textAlignment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（5）大气监测站2个，数据接入园区平台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五、智慧管理模块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分析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根据企业端口采集，系统自动分析园区内企业能源产出率、水资源产出率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投资强度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亩均产值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亩均税收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化工产业占比等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并进行展示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便于园区管理。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第三方服务智能监管</w:t>
            </w:r>
          </w:p>
        </w:tc>
        <w:tc>
          <w:tcPr>
            <w:tcW w:w="4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通过第三方服务端口采集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园区可以通过系统对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基础设施第三方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服务机构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，环保、安全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三方服务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等进行监管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eastAsia="zh-Hans" w:bidi="ar"/>
              </w:rPr>
              <w:t>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Hans"/>
              </w:rPr>
              <w:t>第三方服务机制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评级工作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文件编制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Hans" w:bidi="ar"/>
              </w:rPr>
              <w:t>编织一园一策方案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化工园区选址安全评估报告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化工园区安全事故废水分析报告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化工园区安全风险分布“一张图一张表”（四色图） 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制定安全风险分级管控制度，对化工园区内企业进行安全风险分级，加强对红色、橙色安全风险的分析、评估报告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化工园区安全风险评级认定全程辅导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eastAsia="zh-Hans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sectPr>
      <w:footerReference r:id="rId3" w:type="default"/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01081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5F489"/>
    <w:multiLevelType w:val="singleLevel"/>
    <w:tmpl w:val="97B5F489"/>
    <w:lvl w:ilvl="0" w:tentative="0">
      <w:start w:val="1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5NmQ3Y2I0YTNjMzU4ODhjM2Y2MTA2MzBjMjFkMzkifQ=="/>
  </w:docVars>
  <w:rsids>
    <w:rsidRoot w:val="66EA2F32"/>
    <w:rsid w:val="00003B59"/>
    <w:rsid w:val="00027A49"/>
    <w:rsid w:val="00030957"/>
    <w:rsid w:val="00030C54"/>
    <w:rsid w:val="00044C44"/>
    <w:rsid w:val="00177C16"/>
    <w:rsid w:val="002318EA"/>
    <w:rsid w:val="00234FC8"/>
    <w:rsid w:val="00245A59"/>
    <w:rsid w:val="002712E8"/>
    <w:rsid w:val="00283A04"/>
    <w:rsid w:val="002D21AC"/>
    <w:rsid w:val="002E1E53"/>
    <w:rsid w:val="002E513F"/>
    <w:rsid w:val="00350591"/>
    <w:rsid w:val="00381BB4"/>
    <w:rsid w:val="003825DA"/>
    <w:rsid w:val="003F1AC6"/>
    <w:rsid w:val="004C2BD6"/>
    <w:rsid w:val="00520075"/>
    <w:rsid w:val="005408AC"/>
    <w:rsid w:val="00550583"/>
    <w:rsid w:val="00580AA2"/>
    <w:rsid w:val="005F6CA0"/>
    <w:rsid w:val="00615D32"/>
    <w:rsid w:val="00630F0F"/>
    <w:rsid w:val="006A1212"/>
    <w:rsid w:val="0071000F"/>
    <w:rsid w:val="00752C43"/>
    <w:rsid w:val="00763337"/>
    <w:rsid w:val="007A5736"/>
    <w:rsid w:val="007B4326"/>
    <w:rsid w:val="008233DB"/>
    <w:rsid w:val="00834190"/>
    <w:rsid w:val="00850222"/>
    <w:rsid w:val="008806A6"/>
    <w:rsid w:val="008E28CC"/>
    <w:rsid w:val="00936B37"/>
    <w:rsid w:val="009A19AC"/>
    <w:rsid w:val="009B2915"/>
    <w:rsid w:val="009E21F3"/>
    <w:rsid w:val="00A066E9"/>
    <w:rsid w:val="00A14160"/>
    <w:rsid w:val="00AA57D6"/>
    <w:rsid w:val="00B10CA7"/>
    <w:rsid w:val="00B36F1C"/>
    <w:rsid w:val="00B5062A"/>
    <w:rsid w:val="00BC4640"/>
    <w:rsid w:val="00C427A0"/>
    <w:rsid w:val="00C752EC"/>
    <w:rsid w:val="00C754C1"/>
    <w:rsid w:val="00CC7806"/>
    <w:rsid w:val="00CD1FD9"/>
    <w:rsid w:val="00CE6DC7"/>
    <w:rsid w:val="00DC6B15"/>
    <w:rsid w:val="00E273AE"/>
    <w:rsid w:val="00EC0D56"/>
    <w:rsid w:val="00EF25F9"/>
    <w:rsid w:val="00F71C1A"/>
    <w:rsid w:val="014A4B87"/>
    <w:rsid w:val="0B4E5C52"/>
    <w:rsid w:val="0C05252C"/>
    <w:rsid w:val="12B83105"/>
    <w:rsid w:val="13A6537E"/>
    <w:rsid w:val="1B334486"/>
    <w:rsid w:val="1DB83DBE"/>
    <w:rsid w:val="1E4053BF"/>
    <w:rsid w:val="1FB33080"/>
    <w:rsid w:val="20A4374E"/>
    <w:rsid w:val="20C718F8"/>
    <w:rsid w:val="24E04AD6"/>
    <w:rsid w:val="26FA4354"/>
    <w:rsid w:val="27BC4849"/>
    <w:rsid w:val="29D60BBA"/>
    <w:rsid w:val="2BBB0FE6"/>
    <w:rsid w:val="2DBE22D5"/>
    <w:rsid w:val="31A13AFD"/>
    <w:rsid w:val="340E30B5"/>
    <w:rsid w:val="3E984D65"/>
    <w:rsid w:val="411E6EBB"/>
    <w:rsid w:val="42C73896"/>
    <w:rsid w:val="43B14016"/>
    <w:rsid w:val="45740C49"/>
    <w:rsid w:val="47EA2738"/>
    <w:rsid w:val="48877A3B"/>
    <w:rsid w:val="4FBD3D43"/>
    <w:rsid w:val="54BA4BF8"/>
    <w:rsid w:val="562543F0"/>
    <w:rsid w:val="58683912"/>
    <w:rsid w:val="58CB2776"/>
    <w:rsid w:val="66EA2F32"/>
    <w:rsid w:val="6E9D7B34"/>
    <w:rsid w:val="70C41A87"/>
    <w:rsid w:val="7253735E"/>
    <w:rsid w:val="72777820"/>
    <w:rsid w:val="73EE276A"/>
    <w:rsid w:val="747800B5"/>
    <w:rsid w:val="76AA651F"/>
    <w:rsid w:val="78A82F99"/>
    <w:rsid w:val="7BA66C91"/>
    <w:rsid w:val="BDDF1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color w:val="993300"/>
      <w:sz w:val="24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wang正文"/>
    <w:basedOn w:val="1"/>
    <w:qFormat/>
    <w:uiPriority w:val="0"/>
    <w:pPr>
      <w:tabs>
        <w:tab w:val="left" w:pos="6840"/>
      </w:tabs>
      <w:topLinePunct/>
      <w:ind w:firstLine="420"/>
    </w:pPr>
    <w:rPr>
      <w:kern w:val="0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表段落1"/>
    <w:basedOn w:val="1"/>
    <w:qFormat/>
    <w:uiPriority w:val="1"/>
    <w:pPr>
      <w:ind w:left="1040" w:hanging="3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2286</Words>
  <Characters>2380</Characters>
  <Lines>32</Lines>
  <Paragraphs>9</Paragraphs>
  <TotalTime>1</TotalTime>
  <ScaleCrop>false</ScaleCrop>
  <LinksUpToDate>false</LinksUpToDate>
  <CharactersWithSpaces>2381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2022-06-01T06:17:00Z</dcterms:created>
  <dc:creator>甜豆</dc:creator>
  <cp:lastModifiedBy>apple</cp:lastModifiedBy>
  <cp:lastPrinted>2022-04-01T04:20:00Z</cp:lastPrinted>
  <dcterms:modified xsi:type="dcterms:W3CDTF">2023-01-13T07:48:59Z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929947F8775B41A3BF6F0BAC0F4128F8</vt:lpwstr>
  </property>
</Properties>
</file>