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富裕县交通管理大队新华街、朝阳街、宁年街</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新建电子警察、交通信号灯项目清单</w:t>
      </w: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bookmarkStart w:id="0" w:name="_GoBack"/>
      <w:bookmarkEnd w:id="0"/>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技术参数：</w:t>
      </w: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一、新华街-南三道街（富运西区路口）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379</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pStyle w:val="2"/>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二、新华街-步行街路口（西）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三、新华街-广播局路口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pStyle w:val="2"/>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四、新华街-北二道街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rPr>
          <w:rFonts w:hint="eastAsia"/>
          <w:lang w:val="en-US" w:eastAsia="zh-CN"/>
        </w:rPr>
      </w:pPr>
    </w:p>
    <w:p>
      <w:pPr>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五、朝阳街-公安街路口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pStyle w:val="2"/>
        <w:rPr>
          <w:rFonts w:hint="eastAsia"/>
          <w:lang w:val="en-US" w:eastAsia="zh-CN"/>
        </w:rPr>
      </w:pPr>
    </w:p>
    <w:tbl>
      <w:tblPr>
        <w:tblStyle w:val="5"/>
        <w:tblpPr w:leftFromText="180" w:rightFromText="180" w:vertAnchor="text" w:horzAnchor="page" w:tblpXSpec="center" w:tblpY="927"/>
        <w:tblOverlap w:val="never"/>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704"/>
        <w:gridCol w:w="1371"/>
        <w:gridCol w:w="141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六、宁年街-三中路口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详见后附表参数</w:t>
            </w:r>
          </w:p>
        </w:tc>
      </w:tr>
    </w:tbl>
    <w:p>
      <w:pPr>
        <w:rPr>
          <w:rFonts w:hint="eastAsia"/>
          <w:lang w:val="en-US" w:eastAsia="zh-CN"/>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参数表：</w:t>
      </w:r>
    </w:p>
    <w:tbl>
      <w:tblPr>
        <w:tblStyle w:val="5"/>
        <w:tblpPr w:leftFromText="180" w:rightFromText="180" w:vertAnchor="text" w:horzAnchor="page" w:tblpXSpec="center" w:tblpY="927"/>
        <w:tblOverlap w:val="never"/>
        <w:tblW w:w="9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575"/>
        <w:gridCol w:w="6343"/>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名称</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规格参数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交通信号灯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1.包含：灯具、帽檐、装饰边、背杆支架、U型抱箍（直径：≥170mm）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2.面罩规格：φ400mm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3.面罩材质：玻璃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4.外壳材质：铝压铸</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5.表面处理：黑色喷塑哑光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6.LED数量（如选择满屏灯）：红：至少156颗，黄：至少156颗，绿：至少156颗</w:t>
            </w:r>
          </w:p>
          <w:p>
            <w:pPr>
              <w:keepNext w:val="0"/>
              <w:keepLines w:val="0"/>
              <w:widowControl/>
              <w:suppressLineNumbers w:val="0"/>
              <w:jc w:val="left"/>
              <w:textAlignment w:val="center"/>
              <w:rPr>
                <w:rFonts w:hint="eastAsia"/>
                <w:color w:val="auto"/>
                <w:lang w:val="en-US" w:eastAsia="zh-CN"/>
              </w:rPr>
            </w:pPr>
            <w:r>
              <w:rPr>
                <w:rFonts w:hint="eastAsia" w:ascii="宋体" w:hAnsi="宋体" w:eastAsia="宋体" w:cs="宋体"/>
                <w:b w:val="0"/>
                <w:bCs w:val="0"/>
                <w:i w:val="0"/>
                <w:iCs w:val="0"/>
                <w:color w:val="auto"/>
                <w:kern w:val="0"/>
                <w:sz w:val="24"/>
                <w:szCs w:val="24"/>
                <w:u w:val="none"/>
                <w:lang w:val="en-US" w:eastAsia="zh-CN" w:bidi="ar"/>
              </w:rPr>
              <w:t>7.LED数量（如选择箭头灯）：红：至少90颗，黄：至少90颗，绿：至少90颗</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8.LED波长：红：625nm；黄：590nm；绿：505nm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9.LED直径：≤φ5mm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10.单管电流：＜18mA</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11.LED寿命：≥70000小时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12.绝缘电阻：≥500MΩ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13.介电强度：≥1440V</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14.可视距离：＞450m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15.可视角度：＞30°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16.工作电压：AC 220V±44V，50HZ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17.功率：功率≤20W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18.工作温度：-40 ~ +80℃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19.相对湿度：≤93%</w:t>
            </w:r>
          </w:p>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20.防护等级：IP53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倒计时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1.包含：灯具、帽檐、装饰边、横连杆抱箍（直径：≥140mm）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2.数字尺寸：≤500×260mm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3.计时方式：跟随/触发/RS485通信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4.显示数值：红99~1；绿99~1；黄9~1</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5.面罩材质：PC</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6.外壳材质：铝、黑色喷塑</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7.LED数量：红420，黄210，绿420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8.LED波长：红：625nm；黄：590nm；绿：505nm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9.LED直径：≤φ5mm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10.单管电流：＜18mA</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11.LED寿命：≥70000小时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12.中心亮度：红＞5000 cd/m2；黄＞5000 cd/m2；绿＞5000 cd/m2</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13.可视距离：＞500m</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14.可视角度：＞30°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15.工作电压：AC 220V±44V，50HZ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16.功率：≤25W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17.工作温度：-40 ~ +80℃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18.相对湿度：≤93%</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19.防护等级：IP53</w:t>
            </w:r>
          </w:p>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20.重量：≤13kg</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LED频闪灯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1.最佳补光距离16m～25m；支持5V电平量触发(可选开关量)，平均功率应不高于36W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2.接口：≥1路RS485接口【选配】、≥1路频闪输入接口、≥1路爆闪输入接口【选配】、≥1路同步输出接口【选配】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3.补光灯自带光敏控制，在低照度下自动开启，低照度阀值可设【选配】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4.支持自闪、跟随、自动频闪（外部摄像机触发）模式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5.频率0-250HZ可调；支持通过调整占空比1%~39%进行亮度调节</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6.支持频率及占空比保护功能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7.支持爆闪功能，爆闪持续时间、延迟时间及最小间隔时间可设</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8.支持通过同步输出端口级联</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9.支持通过RS485远程控制补光灯的亮度、开启/关闭</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10.支持通过RS485对补光灯升级程序</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11.支持远程显示补光灯故障、正常、开启、关闭等工作状态</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12.支持倍频设置功能检查，支持倍频1~15可调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频闪响应时间≤20微秒</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13.当设备占空比设置≤5%时，功耗≤10W</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14.工作环境-40℃~85℃</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15.电源电压在AC80V~264V范围内变化时，能正常工作</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16.防护等级IP66</w:t>
            </w:r>
          </w:p>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17.可外配光栅可有效减少周边光污染</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电警抓拍单元</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2.图像传感器：采用1英寸GMOS</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3.支持主码流同时输出不少于30路4096×2160、2Mbps的25帧/s图像以提供客户端浏览</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4.最大图像尺寸：≥4096×2160像素（900万）；5.字符叠加时最大可支持4096×2800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6.视频帧率：在1～25fps可调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7.视频压缩支持H.265、H.264、M-JPEG</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8.外壳防护等级应不低于IP66</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9.支持机动车、二轮车（摩托车、自行车、电动二轮车）、三轮车和行人分类检测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10.支持车辆捕获抓拍功能，在天气晴朗无雾，号牌无遮挡、无污损，白天环境光照度不低于200lx，晚上辅助光照度不高于30lx的条件下测试，白天和晚上的捕获率均≥99%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11.支持车牌识别功能，在天气晴朗无雾，号牌无遮挡、无污损，白天环境光照度不低于200lx，晚上辅助光照度不高于30lx的条件下测试，白天和晚上的识别准确率均≥99%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12.支持异常车牌检测功能，可对故意遮挡及污损车牌进行判断和识别</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支持对不按导向行驶的车辆进行违法检测抓拍，在天气晴朗无雾，号牌无遮挡、无污损，白天环境光照度不低于200lx，晚上辅助光照度不高于30lx的条件下测试，白天和晚上的捕获率准确均≥98%，白天和晚上的识别准确率均≥98%</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14.支持闯红灯抓拍功能，在天气晴朗无雾，号牌无遮挡、无污损，白天环境光照度不低于200lx，晚上辅助光照度不高于30lx的条件下测试，白天和晚上闯红灯的捕获率均≥99%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15.支持民用车牌，警用车牌，军牌和武警车牌及2002式新车民用车双行尾牌、使馆车牌、农用车牌；民航、SPIA等特殊车牌；福鼎电动车牌等车牌进行识别</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16.支持禁左、禁右、禁止掉头违章抓拍；支持禁货、禁拖拉机、禁农用车、禁大客车、禁拖/挂车通行等违章抓拍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17.支持非机动车不戴头盔，载人，逆行，闯红灯，越线停车等检测抓拍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18.支持摩托车闯红灯、不按导向、闯禁令等违法行为抓拍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19.支持压线（压实线、压单黄线、压双黄线）、逆行、占用应急车道、黄网格违停、加塞等违章检测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20.在环形路口内，支持对不礼让已在路口的机动车先行的行为进行检测并抓拍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21.在无灯控路口，支持对机动车不礼让右方道路来车先行的行为进行检测并抓拍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22.支持对机动车从匝道驶入主路时未让行的行为进行检测并抓拍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23.支持车辆子品牌识别功能，通过车头可识别不少于7100种，通过车尾可识别不少于3800种，全天识别准确率不低于99%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支持识别不少于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25.宽动态能力≥120dB</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26.支持车标识别功能，数据库中包含不少于410种车标信息，白天和晚上的识别率均不低于99%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27.支持景深扩展模式设置功能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28.★支持至少14种车身颜色识别，其中包括黑、白、灰、红、绿、蓝、黄、粉、紫、棕、青、金、橙、银灰等。</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29.支持抓图叠加OSD黑边，最大分辨率可达：4096×4296</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30.支持直流5V-24V电源输入，支持交流20V-320V电源同步</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31.支持大型货车闯红灯抓拍功能，包括拖车、挂车、罐车、平板货车、集装箱牵引车、渣土车等货车类型</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32.支持根据现场违章抓拍需求通过web界面设置事件优先度，事件优先度1-12可设，设置后可按事件优先度进行违章抓拍及图片存储。</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33.抓拍单元支持车牌黑/白名单设置，最大可设置80万条黑/ 白名单</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34.支持对非机动车占用机动车道的违法进行检测和抓拍，白天和晚上的识别准确率均不低于99%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支持对斑马线不礼让行人的违法行为进行检测和抓拍，白天和晚上的识别准确率均不低于99%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35.★支持是否危化品车辆识别功能，白天车辆捕获率不低于99%，危化品车识别准确率不低于99%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终端服务器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1.设备具有不少于8个10M/100M/1000M自适应RJ45接口(其中P1~P8与G1处于同一网段、G2处于另一网段)、且不少于2个1000M SFP光口(分别于G1、G2处于同一网段)。</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2.设备网口支持手动开启/关闭的功能</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3.可设置图片的存储空间，在规定的空间内自动循环覆盖，剩余空间为录像存储空间。</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5.内置的系统软件支持通过WEB方式访问</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6.访问的终端可以锁定为某固定地址的终端</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7.★对于在记录过程中出现的系统死机或意外故障，设备能够在规定的时间内自动恢复其正常工作状态并使故障前的信息不丢失。</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8.可以通过应急授权码在其他终端内访问</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9.其它未授权终端试图连接终端服务器三次失败后，提供将会发出告警，并提示已经授权的终端</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数据具有防盗窃功能</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10.★设备内的录像、图片文件无法直接删除或者修改，只能通过循环覆盖和硬盘格式化操作。</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11.可实时显示接入的摄像机、线圈、车检器、红绿灯检测器等前端设备的工作状态、样机内部温度、工作时间等信息；外接机柜门时具有机柜门状态实时显示与查询功能。</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12.支持查看内置硬盘工作状态</w:t>
            </w:r>
          </w:p>
          <w:p>
            <w:pPr>
              <w:keepNext w:val="0"/>
              <w:keepLines w:val="0"/>
              <w:widowControl/>
              <w:suppressLineNumbers w:val="0"/>
              <w:tabs>
                <w:tab w:val="left" w:pos="762"/>
              </w:tabs>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联网信号机</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1.信号机应符合《道路交通信号控制机》GB25280-2016要求，产品类别为C类，耐温等级为A级；</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2.信号机通信协议应符合GB 25280-2016《道路交通信号控制机》中附录A的要求；</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3.信号机应满足NTCIP通讯协议的体系结构，对NTCIP协议通讯方式的主要协议提供支持；</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4.信号机软件应符合国家标准GB/T 20999-2017《交通信号控制机与上位机间的数据通信协议》的体系结构，支持标准所定义的通讯方式及相关对象；</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5.支持接入电子警察，实时接收电子警察采集到的到达离开时间、车型、车牌、统计车道级和转向级交通流量数据，并应用于信号机协调控制；</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6.支持接入视频车检器并接收数据，可按固定间隔或信控周期获取每个车道的流量、平均车速、平均车头时距、时间占有率、排队长度数据；</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7.支持无缆线绿波协调控制功能，可利用信号机自身的时钟、通过设定相位差实现不同路口之间的离线协调，且支持自动按照时间段切换协调方案；</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8.支持公交车辆优先功能，可接入RFID设备并检测相应的公交车辆，当公交车接近路口时信号机通过红灯早断、绿灯延长、插入相位的方式执行公交优先，支持用户自定义优先方式；</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9.支持自适应感应控制，在自适应感应控制方案中，动态调整最大绿时长；</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10.支持潮汐车道控制功能，可按参数配置（执行时段、潮汐车道通行方向、清空时间）完成潮汐车道方向定时切换，支持人工实时切换方案，支持进行潮汐车道状态监控；</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11.★支持通过平台软件图形化配置路口方案、检测器、信号灯连接关系、配时方案与时段信息等；</w:t>
            </w:r>
          </w:p>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支持行人过街自适应控制，可接入行人检测器，根据行人检测器的数据动态调整行人等待时间，支持配置过街人数及对应的通行时间；</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交通灯信号检测器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1.具有不少于6路RS485和不少于16路AC220V信号灯输入接口、≥16路信号状态指示灯，≥1路RS485数据收发状态指示灯、≥1个5位拨码开关、≥1路5V电源输出接口</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2.检测信号灯电压范围AC110V~274V；信号灯输入端口有信号输入时，RS485端口会上传该端口的状态信息</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3.当有电压信号输入时，对应通道的状态指示灯点亮</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4.设备功耗应不超过3W</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5.工作温度－40℃～80℃</w:t>
            </w:r>
          </w:p>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6.设备在正常工作条件下，连续工作不少于168h不应出现电、机械或操作系统的故障</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交通红绿灯（人行灯）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1.【一体化不锈钢铝制303双8静态人行灯】</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2.包含：一体化灯具</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3.面罩规格：φ300mm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4.面罩材质：玻璃</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5.信号灯：RX300-3-3910</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6.外壳材质：铝槽、不锈钢板、底座镀锌钢板</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7.计时方式：学习/触发/RS485通信</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8.LED数量：人行灯：红：至少60颗，绿：至少56颗；倒计时：红：至少140颗，绿：至少140颗</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9.LED波长：红：625nm；绿：505nm</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10.LED直径：≤φ5mm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11.单管电流：＜18mA</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12.LED寿命：≥70000小时</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13.绝缘电阻：≥500MΩ</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14.介电强度：≥1440V</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15.中心光强：150~400 cd</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16.可视距离：＞300m</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17.可视角度：＞30°</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18.工作电压：AC 220V±44V，50HZ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19.功率：功率≤15W</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20.工作温度：-40 ~ +80℃ </w:t>
            </w:r>
          </w:p>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21.相对湿度：≤93%</w:t>
            </w:r>
          </w:p>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22.防护等级：IP53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塑料管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1.PE2.5寸</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1.绝缘护套，纯铜4*0.75㎜2/pc规格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控制电缆</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1.绝缘护套，纯铜8*0.75㎜2/pc规格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电源线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1.绝缘护套，纯铜2*2.5mm</w:t>
            </w:r>
            <w:r>
              <w:rPr>
                <w:rStyle w:val="8"/>
                <w:rFonts w:hint="eastAsia" w:ascii="宋体" w:hAnsi="宋体" w:eastAsia="宋体" w:cs="宋体"/>
                <w:b w:val="0"/>
                <w:bCs w:val="0"/>
                <w:color w:val="auto"/>
                <w:sz w:val="24"/>
                <w:szCs w:val="24"/>
                <w:lang w:val="en-US" w:eastAsia="zh-CN" w:bidi="ar"/>
              </w:rPr>
              <w:t>²</w:t>
            </w:r>
            <w:r>
              <w:rPr>
                <w:rStyle w:val="9"/>
                <w:rFonts w:hint="eastAsia" w:ascii="宋体" w:hAnsi="宋体" w:eastAsia="宋体" w:cs="宋体"/>
                <w:b w:val="0"/>
                <w:bCs w:val="0"/>
                <w:color w:val="auto"/>
                <w:sz w:val="24"/>
                <w:szCs w:val="24"/>
                <w:lang w:val="en-US" w:eastAsia="zh-CN" w:bidi="ar"/>
              </w:rPr>
              <w:t>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网线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1.国标超6类室外专用网线</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485控制线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1.绝缘护套，纯铜JKV－2*2.5规格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L型信号灯杆</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lang w:eastAsia="zh-CN"/>
              </w:rPr>
            </w:pPr>
            <w:r>
              <w:rPr>
                <w:rFonts w:hint="eastAsia" w:ascii="宋体" w:hAnsi="宋体" w:eastAsia="宋体" w:cs="宋体"/>
                <w:b w:val="0"/>
                <w:bCs w:val="0"/>
                <w:i w:val="0"/>
                <w:iCs w:val="0"/>
                <w:color w:val="auto"/>
                <w:sz w:val="24"/>
                <w:szCs w:val="24"/>
                <w:u w:val="none"/>
                <w:lang w:val="en-US" w:eastAsia="zh-CN"/>
              </w:rPr>
              <w:t>1.尺寸：</w:t>
            </w:r>
            <w:r>
              <w:rPr>
                <w:rFonts w:hint="eastAsia" w:ascii="宋体" w:hAnsi="宋体" w:eastAsia="宋体" w:cs="宋体"/>
                <w:b w:val="0"/>
                <w:bCs w:val="0"/>
                <w:i w:val="0"/>
                <w:iCs w:val="0"/>
                <w:color w:val="auto"/>
                <w:sz w:val="24"/>
                <w:szCs w:val="24"/>
                <w:u w:val="none"/>
              </w:rPr>
              <w:t>6.8m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h</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*4-10m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l</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（根据车道数、路面宽度调整），壁厚</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8mm,直径320-240（底-顶）mm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lang w:val="en-US" w:eastAsia="zh-CN"/>
              </w:rPr>
              <w:t>±10</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，上法兰</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φ550，厚</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20mm</w:t>
            </w:r>
            <w:r>
              <w:rPr>
                <w:rFonts w:hint="eastAsia" w:ascii="宋体" w:hAnsi="宋体" w:eastAsia="宋体" w:cs="宋体"/>
                <w:b w:val="0"/>
                <w:bCs w:val="0"/>
                <w:i w:val="0"/>
                <w:iCs w:val="0"/>
                <w:color w:val="auto"/>
                <w:sz w:val="24"/>
                <w:szCs w:val="24"/>
                <w:u w:val="none"/>
                <w:lang w:eastAsia="zh-CN"/>
              </w:rPr>
              <w:t>，</w:t>
            </w:r>
            <w:r>
              <w:rPr>
                <w:rFonts w:hint="eastAsia" w:ascii="宋体" w:hAnsi="宋体" w:eastAsia="宋体" w:cs="宋体"/>
                <w:b w:val="0"/>
                <w:bCs w:val="0"/>
                <w:i w:val="0"/>
                <w:iCs w:val="0"/>
                <w:color w:val="auto"/>
                <w:sz w:val="24"/>
                <w:szCs w:val="24"/>
                <w:u w:val="none"/>
              </w:rPr>
              <w:t>支臂口径（常规）支臂厚度</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sz w:val="24"/>
                <w:szCs w:val="24"/>
                <w:u w:val="none"/>
              </w:rPr>
              <w:t>6mm，整体采用热镀工艺，杆体表面喷涂防腐蚀底漆和颜色面漆，其中立柱底部1.4米处以下喷涂蓝色面漆，立柱底部1.4米以上处和横臂喷涂白色面漆。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预埋件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1.φ550*1700mm（±10，根据L型信号灯杆上法兰调整），法兰厚度</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kern w:val="0"/>
                <w:sz w:val="24"/>
                <w:szCs w:val="24"/>
                <w:u w:val="none"/>
                <w:lang w:val="en-US" w:eastAsia="zh-CN" w:bidi="ar"/>
              </w:rPr>
              <w:t>18mm，钢筋采用</w:t>
            </w:r>
            <w:r>
              <w:rPr>
                <w:rFonts w:hint="eastAsia" w:ascii="宋体" w:hAnsi="宋体" w:eastAsia="宋体" w:cs="宋体"/>
                <w:b w:val="0"/>
                <w:bCs w:val="0"/>
                <w:i w:val="0"/>
                <w:iCs w:val="0"/>
                <w:color w:val="auto"/>
                <w:sz w:val="24"/>
                <w:szCs w:val="24"/>
                <w:u w:val="none"/>
                <w:lang w:eastAsia="zh-CN"/>
              </w:rPr>
              <w:t>不少于</w:t>
            </w:r>
            <w:r>
              <w:rPr>
                <w:rFonts w:hint="eastAsia" w:ascii="宋体" w:hAnsi="宋体" w:eastAsia="宋体" w:cs="宋体"/>
                <w:b w:val="0"/>
                <w:bCs w:val="0"/>
                <w:i w:val="0"/>
                <w:iCs w:val="0"/>
                <w:color w:val="auto"/>
                <w:kern w:val="0"/>
                <w:sz w:val="24"/>
                <w:szCs w:val="24"/>
                <w:u w:val="none"/>
                <w:lang w:val="en-US" w:eastAsia="zh-CN" w:bidi="ar"/>
              </w:rPr>
              <w:t>φ22*8条*1700mm（最下处弯折100mm），法兰上端100-120mm套扣</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防雷扁钢</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1.￠16㎜×260㎝×5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岗地名称标志牌（岗地具体名称按相关部门要求）。1.采用2.0mm后铝板和IV类反光膜，应符合GB/T 18833-2012的规定标准；标牌尺寸：1000*660mm（标准尺寸）；反光膜无明显的划痕、条纹、气泡、颜色及逆反射无不均匀等缺陷。各颜色逆反射系数均达到IV等级且合格。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货车禁行/禁停标志牌（禁停、禁行方向视实际情况而定）。</w:t>
            </w:r>
          </w:p>
          <w:p>
            <w:pPr>
              <w:keepNext w:val="0"/>
              <w:keepLines w:val="0"/>
              <w:widowControl/>
              <w:numPr>
                <w:ilvl w:val="0"/>
                <w:numId w:val="0"/>
              </w:numPr>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1.采用≥2.0mm后铝板和IV类反光膜，应符合GB/T 18833-2012的规定标准；标牌尺寸：φ1000mm+1000*600mm（标准尺寸）；反光膜无明显的划痕、条纹、气泡、颜色及逆反射无不均匀等缺陷。各颜色逆反射系数均达到IV等级且合格。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交通热熔标线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热熔标线：1.道路停止线、斑马线、导向箭头等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顶管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1.车行路面地下顶管，深度不低于600mm。</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L型杆基础人力施工费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1.基坑尺寸：不小于1500*1500*1800mm，2.考虑县城道路下的热网管线、排水管线、通信线缆等，采用人工挖掘的方式。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人行灯杆基础人力施工费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1.基坑尺寸：不小于600*400*800mm，2.考虑县城道路下的热网管线、排水管线、通信线缆等，采用人工挖掘的方式。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信号机基础人力施工费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1.基坑尺寸：不小于800*800*500mm，地表砌筑600*600*300mm±50mm基座。2.考虑县城道路下的热网管线、排水管线、通信线缆等，采用人工挖掘的方式。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汇线井人力施工费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1.尺寸：600*600*800㎜（内径），单行砖砌筑。</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井盖</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1.尺寸：600*600*600mm，球墨铸铁材质。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破路软土带挖掘回填人力施工费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1.线缆沟尺寸：300mm宽*400mm深，管线铺设完毕后负责回填，包括人行步道砖恢复、植被恢复等一切原有设施。</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商砼灌注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1.商砼规格标准不低于C30，含运输、灌注、振捣等所有费用。</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吊装费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1.负责吊装监控杆安装。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重型货物运输费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1.负责运送监控杆、预埋件、信号机等重型货物。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杂费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1.包含施工使用的轻辅材料等。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default" w:ascii="宋体" w:hAnsi="宋体" w:eastAsia="宋体" w:cs="宋体"/>
                <w:b w:val="0"/>
                <w:bCs w:val="0"/>
                <w:i w:val="0"/>
                <w:iCs w:val="0"/>
                <w:color w:val="auto"/>
                <w:kern w:val="0"/>
                <w:sz w:val="24"/>
                <w:szCs w:val="24"/>
                <w:u w:val="none"/>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安全文明施工设施费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1.包含人员保险、道路安全警戒设施、人员安全防护设施等。</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批</w:t>
            </w:r>
          </w:p>
        </w:tc>
      </w:tr>
    </w:tbl>
    <w:p>
      <w:pPr>
        <w:pStyle w:val="4"/>
        <w:ind w:left="0" w:leftChars="0" w:firstLine="0" w:firstLineChars="0"/>
        <w:rPr>
          <w:color w:val="auto"/>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p>
    <w:p>
      <w:pPr>
        <w:pageBreakBefore w:val="0"/>
        <w:kinsoku/>
        <w:wordWrap/>
        <w:overflowPunct/>
        <w:topLinePunct w:val="0"/>
        <w:autoSpaceDE/>
        <w:autoSpaceDN/>
        <w:bidi w:val="0"/>
        <w:adjustRightInd/>
        <w:snapToGrid/>
        <w:spacing w:line="240" w:lineRule="auto"/>
        <w:jc w:val="left"/>
        <w:outlineLvl w:val="9"/>
        <w:rPr>
          <w:rFonts w:hint="eastAsia" w:ascii="宋体" w:hAnsi="宋体" w:eastAsia="宋体" w:cs="宋体"/>
          <w:b/>
          <w:bCs/>
          <w:i w:val="0"/>
          <w:iCs w:val="0"/>
          <w:color w:val="auto"/>
          <w:kern w:val="0"/>
          <w:sz w:val="28"/>
          <w:szCs w:val="28"/>
          <w:u w:val="none"/>
          <w:lang w:val="en-US" w:eastAsia="zh-CN" w:bidi="ar"/>
        </w:rPr>
      </w:pPr>
    </w:p>
    <w:p>
      <w:pPr>
        <w:pStyle w:val="4"/>
        <w:ind w:left="0" w:leftChars="0" w:firstLine="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ZGJlODAyZThmYTVjMWFjMTMxZDZiYzQzMzk3ZDUifQ=="/>
  </w:docVars>
  <w:rsids>
    <w:rsidRoot w:val="76340476"/>
    <w:rsid w:val="00EE6E5A"/>
    <w:rsid w:val="04601DD8"/>
    <w:rsid w:val="08CD3EE6"/>
    <w:rsid w:val="09A05F9E"/>
    <w:rsid w:val="0C0C555E"/>
    <w:rsid w:val="0C9A4651"/>
    <w:rsid w:val="0F2771A7"/>
    <w:rsid w:val="110C6E12"/>
    <w:rsid w:val="11B57302"/>
    <w:rsid w:val="128F1899"/>
    <w:rsid w:val="1326430C"/>
    <w:rsid w:val="155D0ED5"/>
    <w:rsid w:val="158318C3"/>
    <w:rsid w:val="1C5836C6"/>
    <w:rsid w:val="1E273E15"/>
    <w:rsid w:val="1EA84B9E"/>
    <w:rsid w:val="230668CE"/>
    <w:rsid w:val="2372380C"/>
    <w:rsid w:val="2A5C067D"/>
    <w:rsid w:val="2B47382E"/>
    <w:rsid w:val="2F0772BD"/>
    <w:rsid w:val="2F5922B5"/>
    <w:rsid w:val="3094370E"/>
    <w:rsid w:val="30FE10D5"/>
    <w:rsid w:val="31847802"/>
    <w:rsid w:val="32005031"/>
    <w:rsid w:val="3409582D"/>
    <w:rsid w:val="3419665A"/>
    <w:rsid w:val="35603807"/>
    <w:rsid w:val="37751C56"/>
    <w:rsid w:val="386F3228"/>
    <w:rsid w:val="39516EB9"/>
    <w:rsid w:val="39F53A49"/>
    <w:rsid w:val="3A1A28F5"/>
    <w:rsid w:val="3ACE53D1"/>
    <w:rsid w:val="3C6C1F05"/>
    <w:rsid w:val="3C7315B8"/>
    <w:rsid w:val="3CD13725"/>
    <w:rsid w:val="4070198B"/>
    <w:rsid w:val="40EE4802"/>
    <w:rsid w:val="40F551C3"/>
    <w:rsid w:val="422E69AD"/>
    <w:rsid w:val="454935FD"/>
    <w:rsid w:val="48006FE7"/>
    <w:rsid w:val="48702615"/>
    <w:rsid w:val="48755375"/>
    <w:rsid w:val="4A24678D"/>
    <w:rsid w:val="4A352D62"/>
    <w:rsid w:val="4B967C92"/>
    <w:rsid w:val="4C12099A"/>
    <w:rsid w:val="50271410"/>
    <w:rsid w:val="50D853E1"/>
    <w:rsid w:val="512040CD"/>
    <w:rsid w:val="53297995"/>
    <w:rsid w:val="5527265F"/>
    <w:rsid w:val="581028ED"/>
    <w:rsid w:val="58703FC1"/>
    <w:rsid w:val="5A554A51"/>
    <w:rsid w:val="5A594D9B"/>
    <w:rsid w:val="5CB42489"/>
    <w:rsid w:val="5E801B23"/>
    <w:rsid w:val="5F5D3193"/>
    <w:rsid w:val="615C3CFB"/>
    <w:rsid w:val="63D05B9F"/>
    <w:rsid w:val="64362A83"/>
    <w:rsid w:val="646F6014"/>
    <w:rsid w:val="64D216E3"/>
    <w:rsid w:val="678E0047"/>
    <w:rsid w:val="6A2B3516"/>
    <w:rsid w:val="6B3366D7"/>
    <w:rsid w:val="6B4830C4"/>
    <w:rsid w:val="6CA51767"/>
    <w:rsid w:val="6CED6EE6"/>
    <w:rsid w:val="6E374BB0"/>
    <w:rsid w:val="6E577828"/>
    <w:rsid w:val="6ED32ACF"/>
    <w:rsid w:val="6FFD2BC2"/>
    <w:rsid w:val="71375715"/>
    <w:rsid w:val="717169A5"/>
    <w:rsid w:val="721407F7"/>
    <w:rsid w:val="75AD27F4"/>
    <w:rsid w:val="76340476"/>
    <w:rsid w:val="78B05AC3"/>
    <w:rsid w:val="78B310DB"/>
    <w:rsid w:val="7BA201E9"/>
    <w:rsid w:val="7FA1624F"/>
    <w:rsid w:val="7FCA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600" w:firstLineChars="200"/>
    </w:pPr>
    <w:rPr>
      <w:kern w:val="0"/>
    </w:r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21"/>
    <w:basedOn w:val="7"/>
    <w:qFormat/>
    <w:uiPriority w:val="0"/>
    <w:rPr>
      <w:rFonts w:hint="eastAsia" w:ascii="宋体" w:hAnsi="宋体" w:eastAsia="宋体" w:cs="宋体"/>
      <w:color w:val="000000"/>
      <w:sz w:val="24"/>
      <w:szCs w:val="24"/>
      <w:u w:val="none"/>
    </w:rPr>
  </w:style>
  <w:style w:type="character" w:customStyle="1" w:styleId="9">
    <w:name w:val="font4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10568</Words>
  <Characters>12045</Characters>
  <Lines>0</Lines>
  <Paragraphs>0</Paragraphs>
  <TotalTime>37</TotalTime>
  <ScaleCrop>false</ScaleCrop>
  <LinksUpToDate>false</LinksUpToDate>
  <CharactersWithSpaces>12085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2022-05-23T04:58:00Z</dcterms:created>
  <dc:creator>简简单单</dc:creator>
  <cp:lastModifiedBy>李红林</cp:lastModifiedBy>
  <dcterms:modified xsi:type="dcterms:W3CDTF">2022-09-05T08:31:01Z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53C79D1D8BBC417292CF2D7445B196B6</vt:lpwstr>
  </property>
</Properties>
</file>