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r>
        <w:rPr>
          <w:rFonts w:hint="eastAsia"/>
          <w:b/>
          <w:bCs/>
          <w:sz w:val="44"/>
          <w:szCs w:val="44"/>
        </w:rPr>
        <w:t>说  明  书</w:t>
      </w:r>
    </w:p>
    <w:p>
      <w:pPr>
        <w:jc w:val="center"/>
        <w:rPr>
          <w:rFonts w:hint="eastAsia" w:ascii="宋体" w:hAnsi="宋体" w:eastAsia="宋体" w:cs="宋体"/>
          <w:b/>
          <w:bCs/>
          <w:sz w:val="32"/>
          <w:szCs w:val="32"/>
        </w:rPr>
      </w:pPr>
      <w:r>
        <w:rPr>
          <w:rFonts w:hint="eastAsia" w:ascii="宋体" w:hAnsi="宋体" w:eastAsia="宋体" w:cs="宋体"/>
          <w:b/>
          <w:bCs/>
          <w:sz w:val="32"/>
          <w:szCs w:val="32"/>
        </w:rPr>
        <w:t>第一篇总体设计</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lang w:val="en-US" w:eastAsia="zh-CN"/>
        </w:rPr>
        <w:t xml:space="preserve">    1、</w:t>
      </w:r>
      <w:r>
        <w:rPr>
          <w:rFonts w:hint="eastAsia" w:ascii="宋体" w:hAnsi="宋体" w:eastAsia="宋体" w:cs="宋体"/>
          <w:b/>
          <w:bCs/>
          <w:sz w:val="30"/>
          <w:szCs w:val="30"/>
        </w:rPr>
        <w:t>依据及测设过程</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1.1</w:t>
      </w:r>
      <w:r>
        <w:rPr>
          <w:rFonts w:hint="eastAsia" w:ascii="宋体" w:hAnsi="宋体" w:eastAsia="宋体" w:cs="宋体"/>
          <w:sz w:val="28"/>
          <w:szCs w:val="28"/>
        </w:rPr>
        <w:t>任务依据</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山泉镇</w:t>
      </w:r>
      <w:r>
        <w:rPr>
          <w:rFonts w:hint="eastAsia" w:ascii="宋体" w:hAnsi="宋体" w:eastAsia="宋体" w:cs="宋体"/>
          <w:color w:val="auto"/>
          <w:sz w:val="28"/>
          <w:szCs w:val="28"/>
          <w:lang w:eastAsia="zh-CN"/>
        </w:rPr>
        <w:t>人民政府</w:t>
      </w:r>
      <w:r>
        <w:rPr>
          <w:rFonts w:hint="eastAsia" w:ascii="宋体" w:hAnsi="宋体" w:eastAsia="宋体" w:cs="宋体"/>
          <w:color w:val="auto"/>
          <w:sz w:val="28"/>
          <w:szCs w:val="28"/>
        </w:rPr>
        <w:t>与</w:t>
      </w:r>
      <w:r>
        <w:rPr>
          <w:rFonts w:hint="eastAsia" w:ascii="宋体" w:hAnsi="宋体" w:eastAsia="宋体" w:cs="宋体"/>
          <w:color w:val="auto"/>
          <w:sz w:val="28"/>
          <w:szCs w:val="28"/>
          <w:lang w:eastAsia="zh-CN"/>
        </w:rPr>
        <w:t>我公司签订的设计合同。</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1.2</w:t>
      </w:r>
      <w:r>
        <w:rPr>
          <w:rFonts w:hint="eastAsia" w:ascii="宋体" w:hAnsi="宋体" w:eastAsia="宋体" w:cs="宋体"/>
          <w:sz w:val="28"/>
          <w:szCs w:val="28"/>
        </w:rPr>
        <w:t>测设过程</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sz w:val="28"/>
          <w:szCs w:val="28"/>
        </w:rPr>
        <w:t xml:space="preserve"> </w:t>
      </w:r>
      <w:r>
        <w:rPr>
          <w:rFonts w:hint="eastAsia" w:ascii="宋体" w:hAnsi="宋体" w:eastAsia="宋体" w:cs="宋体"/>
          <w:color w:val="FF0000"/>
          <w:sz w:val="28"/>
          <w:szCs w:val="28"/>
        </w:rPr>
        <w:t xml:space="preserve">   </w:t>
      </w:r>
      <w:r>
        <w:rPr>
          <w:rFonts w:hint="eastAsia" w:ascii="宋体" w:hAnsi="宋体" w:eastAsia="宋体" w:cs="宋体"/>
          <w:color w:val="auto"/>
          <w:sz w:val="28"/>
          <w:szCs w:val="28"/>
          <w:lang w:eastAsia="zh-CN"/>
        </w:rPr>
        <w:t>项目组于20</w:t>
      </w:r>
      <w:r>
        <w:rPr>
          <w:rFonts w:hint="eastAsia" w:ascii="宋体" w:hAnsi="宋体" w:eastAsia="宋体" w:cs="宋体"/>
          <w:color w:val="auto"/>
          <w:sz w:val="28"/>
          <w:szCs w:val="28"/>
          <w:lang w:val="en-US" w:eastAsia="zh-CN"/>
        </w:rPr>
        <w:t>23</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日进入现场。在实地查看现场后，关于路线起终点及线位走向与龙江镇人民政府及</w:t>
      </w:r>
      <w:r>
        <w:rPr>
          <w:rFonts w:hint="eastAsia" w:ascii="宋体" w:hAnsi="宋体" w:eastAsia="宋体" w:cs="宋体"/>
          <w:color w:val="auto"/>
          <w:sz w:val="28"/>
          <w:szCs w:val="28"/>
          <w:lang w:val="en-US" w:eastAsia="zh-CN"/>
        </w:rPr>
        <w:t>平安村前、太平村</w:t>
      </w:r>
      <w:r>
        <w:rPr>
          <w:rFonts w:hint="eastAsia" w:ascii="宋体" w:hAnsi="宋体" w:eastAsia="宋体" w:cs="宋体"/>
          <w:color w:val="auto"/>
          <w:sz w:val="28"/>
          <w:szCs w:val="28"/>
          <w:lang w:eastAsia="zh-CN"/>
        </w:rPr>
        <w:t>相关人员进行了现场确定，并充分征求了沿线居民的意见。于20</w:t>
      </w:r>
      <w:r>
        <w:rPr>
          <w:rFonts w:hint="eastAsia" w:ascii="宋体" w:hAnsi="宋体" w:eastAsia="宋体" w:cs="宋体"/>
          <w:color w:val="auto"/>
          <w:sz w:val="28"/>
          <w:szCs w:val="28"/>
          <w:lang w:val="en-US" w:eastAsia="zh-CN"/>
        </w:rPr>
        <w:t>23</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lang w:eastAsia="zh-CN"/>
        </w:rPr>
        <w:t>日完成外业勘测与资料的收集工作。内业设计组于</w:t>
      </w: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lang w:eastAsia="zh-CN"/>
        </w:rPr>
        <w:t>日前完成本项目的一阶段施工图设计。</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 xml:space="preserve">    2</w:t>
      </w:r>
      <w:r>
        <w:rPr>
          <w:rFonts w:hint="eastAsia" w:ascii="宋体" w:hAnsi="宋体" w:eastAsia="宋体" w:cs="宋体"/>
          <w:b/>
          <w:bCs/>
          <w:color w:val="auto"/>
          <w:sz w:val="30"/>
          <w:szCs w:val="30"/>
          <w:lang w:eastAsia="zh-CN"/>
        </w:rPr>
        <w:t>、</w:t>
      </w:r>
      <w:r>
        <w:rPr>
          <w:rFonts w:hint="eastAsia" w:ascii="宋体" w:hAnsi="宋体" w:eastAsia="宋体" w:cs="宋体"/>
          <w:b/>
          <w:bCs/>
          <w:color w:val="auto"/>
          <w:sz w:val="30"/>
          <w:szCs w:val="30"/>
        </w:rPr>
        <w:t>项目概</w:t>
      </w:r>
      <w:r>
        <w:rPr>
          <w:rFonts w:hint="eastAsia" w:ascii="宋体" w:hAnsi="宋体" w:eastAsia="宋体" w:cs="宋体"/>
          <w:b/>
          <w:bCs/>
          <w:color w:val="auto"/>
          <w:sz w:val="30"/>
          <w:szCs w:val="30"/>
          <w:lang w:eastAsia="zh-CN"/>
        </w:rPr>
        <w:t>述</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b w:val="0"/>
          <w:bCs w:val="0"/>
          <w:color w:val="auto"/>
          <w:sz w:val="28"/>
          <w:szCs w:val="28"/>
        </w:rPr>
        <w:t>2</w:t>
      </w:r>
      <w:r>
        <w:rPr>
          <w:rFonts w:hint="eastAsia" w:ascii="宋体" w:hAnsi="宋体" w:eastAsia="宋体" w:cs="宋体"/>
          <w:b w:val="0"/>
          <w:bCs w:val="0"/>
          <w:color w:val="auto"/>
          <w:sz w:val="28"/>
          <w:szCs w:val="28"/>
          <w:lang w:val="en-US" w:eastAsia="zh-CN"/>
        </w:rPr>
        <w:t>.</w:t>
      </w:r>
      <w:r>
        <w:rPr>
          <w:rFonts w:hint="eastAsia" w:ascii="宋体" w:hAnsi="宋体" w:eastAsia="宋体" w:cs="宋体"/>
          <w:b w:val="0"/>
          <w:bCs w:val="0"/>
          <w:color w:val="auto"/>
          <w:sz w:val="28"/>
          <w:szCs w:val="28"/>
        </w:rPr>
        <w:t>1路线起讫点、中间控制点</w:t>
      </w:r>
    </w:p>
    <w:p>
      <w:pPr>
        <w:snapToGrid w:val="0"/>
        <w:spacing w:line="440" w:lineRule="exact"/>
        <w:rPr>
          <w:rFonts w:hint="eastAsia" w:ascii="宋体" w:hAnsi="宋体"/>
          <w:color w:val="auto"/>
          <w:sz w:val="24"/>
        </w:rPr>
      </w:pPr>
      <w:r>
        <w:rPr>
          <w:rFonts w:hint="eastAsia" w:ascii="宋体" w:hAnsi="宋体" w:eastAsia="宋体" w:cs="宋体"/>
          <w:color w:val="auto"/>
          <w:sz w:val="28"/>
          <w:szCs w:val="28"/>
          <w:lang w:val="en-US" w:eastAsia="zh-CN"/>
        </w:rPr>
        <w:t xml:space="preserve">   山泉镇平安村、前太平村巷道项目，</w:t>
      </w:r>
      <w:r>
        <w:rPr>
          <w:rFonts w:hint="eastAsia" w:ascii="宋体" w:hAnsi="宋体" w:eastAsia="宋体" w:cs="宋体"/>
          <w:color w:val="auto"/>
          <w:sz w:val="28"/>
          <w:szCs w:val="28"/>
        </w:rPr>
        <w:t>全线沿原有</w:t>
      </w:r>
      <w:r>
        <w:rPr>
          <w:rFonts w:hint="eastAsia" w:ascii="宋体" w:hAnsi="宋体" w:eastAsia="宋体" w:cs="宋体"/>
          <w:color w:val="auto"/>
          <w:sz w:val="28"/>
          <w:szCs w:val="28"/>
          <w:lang w:eastAsia="zh-CN"/>
        </w:rPr>
        <w:t>土</w:t>
      </w:r>
      <w:r>
        <w:rPr>
          <w:rFonts w:hint="eastAsia" w:ascii="宋体" w:hAnsi="宋体" w:eastAsia="宋体" w:cs="宋体"/>
          <w:color w:val="auto"/>
          <w:sz w:val="28"/>
          <w:szCs w:val="28"/>
        </w:rPr>
        <w:t>路布线</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累计长度3.276Km。</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2</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2主要技术指标</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 xml:space="preserve">    (1)公路等级：四级公路；</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 xml:space="preserve">    (2)设计速度：20Km／h：</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rPr>
        <w:t xml:space="preserve">    (3)路基宽度</w:t>
      </w:r>
      <w:r>
        <w:rPr>
          <w:rFonts w:hint="eastAsia" w:ascii="宋体" w:hAnsi="宋体" w:eastAsia="宋体" w:cs="宋体"/>
          <w:color w:val="auto"/>
          <w:sz w:val="28"/>
          <w:szCs w:val="28"/>
          <w:lang w:eastAsia="zh-CN"/>
        </w:rPr>
        <w:t>5.0（</w:t>
      </w:r>
      <w:r>
        <w:rPr>
          <w:rFonts w:hint="eastAsia" w:ascii="宋体" w:hAnsi="宋体" w:eastAsia="宋体" w:cs="宋体"/>
          <w:color w:val="auto"/>
          <w:sz w:val="28"/>
          <w:szCs w:val="28"/>
          <w:lang w:val="en-US" w:eastAsia="zh-CN"/>
        </w:rPr>
        <w:t>5.5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m，路面宽度</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5</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4.0</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m，土路肩宽度2</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lang w:eastAsia="zh-CN"/>
        </w:rPr>
        <w:t>0.75</w:t>
      </w:r>
      <w:r>
        <w:rPr>
          <w:rFonts w:hint="eastAsia" w:ascii="宋体" w:hAnsi="宋体" w:eastAsia="宋体" w:cs="宋体"/>
          <w:color w:val="auto"/>
          <w:sz w:val="28"/>
          <w:szCs w:val="28"/>
        </w:rPr>
        <w:t>m</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(4)汽车荷载等级：公路—</w:t>
      </w:r>
      <w:r>
        <w:rPr>
          <w:rFonts w:hint="eastAsia" w:ascii="宋体" w:hAnsi="宋体" w:eastAsia="宋体" w:cs="宋体"/>
          <w:color w:val="auto"/>
          <w:sz w:val="28"/>
          <w:szCs w:val="28"/>
          <w:lang w:eastAsia="zh-CN"/>
        </w:rPr>
        <w:t>Ⅱ</w:t>
      </w:r>
      <w:r>
        <w:rPr>
          <w:rFonts w:hint="eastAsia" w:ascii="宋体" w:hAnsi="宋体" w:eastAsia="宋体" w:cs="宋体"/>
          <w:color w:val="auto"/>
          <w:sz w:val="28"/>
          <w:szCs w:val="28"/>
        </w:rPr>
        <w:t>级。</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2</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3设计依据：主要采用的标准、规范</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(1)《工程建设标准强制性条文》(公路工程部分)；</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(2)《公路工程技术标准》(JTG B01-2014)；</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(3)《公路路线设计规范》(JTG D20-20</w:t>
      </w:r>
      <w:r>
        <w:rPr>
          <w:rFonts w:hint="eastAsia" w:ascii="宋体" w:hAnsi="宋体" w:eastAsia="宋体" w:cs="宋体"/>
          <w:color w:val="auto"/>
          <w:sz w:val="28"/>
          <w:szCs w:val="28"/>
          <w:lang w:val="en-US" w:eastAsia="zh-CN"/>
        </w:rPr>
        <w:t>17</w:t>
      </w:r>
      <w:r>
        <w:rPr>
          <w:rFonts w:hint="eastAsia" w:ascii="宋体" w:hAnsi="宋体" w:eastAsia="宋体" w:cs="宋体"/>
          <w:color w:val="auto"/>
          <w:sz w:val="28"/>
          <w:szCs w:val="28"/>
        </w:rPr>
        <w:t>)；</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(4)《公路路基设计规范》(</w:t>
      </w:r>
      <w:r>
        <w:rPr>
          <w:rFonts w:hint="eastAsia" w:ascii="宋体" w:hAnsi="宋体" w:eastAsia="宋体" w:cs="宋体"/>
          <w:sz w:val="28"/>
          <w:szCs w:val="28"/>
          <w:lang w:val="en-US" w:eastAsia="zh-CN"/>
        </w:rPr>
        <w:t>JTG</w:t>
      </w:r>
      <w:r>
        <w:rPr>
          <w:rFonts w:hint="eastAsia" w:ascii="宋体" w:hAnsi="宋体" w:eastAsia="宋体" w:cs="宋体"/>
          <w:sz w:val="28"/>
          <w:szCs w:val="28"/>
        </w:rPr>
        <w:t>30—2015)；</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(5)《公路水泥混凝土路面设计规范》(JTG D40-2011)</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(6)《公路工程抗震规范》  (</w:t>
      </w:r>
      <w:r>
        <w:rPr>
          <w:rFonts w:hint="eastAsia" w:ascii="宋体" w:hAnsi="宋体" w:eastAsia="宋体" w:cs="宋体"/>
          <w:sz w:val="28"/>
          <w:szCs w:val="28"/>
          <w:lang w:val="en-US" w:eastAsia="zh-CN"/>
        </w:rPr>
        <w:t>JTG</w:t>
      </w:r>
      <w:r>
        <w:rPr>
          <w:rFonts w:hint="eastAsia" w:ascii="宋体" w:hAnsi="宋体" w:eastAsia="宋体" w:cs="宋体"/>
          <w:sz w:val="28"/>
          <w:szCs w:val="28"/>
        </w:rPr>
        <w:t xml:space="preserve"> B02-2013)；</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(7)《公路环境保护设计规范》(JTG B04—2010)；</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(8)《公路交通安全设施设计规范》(JTG D81-2006)；</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(9)《公路交通安全设施施工技术规范》(JTG F71-2006)；</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(10)《道路交通标志和标线》(GB5768—2009)；</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(11)《公路安全生命防护工程实施技术指南》(试行)；</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(12)《公路工程地质勘察规范》(</w:t>
      </w:r>
      <w:r>
        <w:rPr>
          <w:rFonts w:hint="eastAsia" w:ascii="宋体" w:hAnsi="宋体" w:eastAsia="宋体" w:cs="宋体"/>
          <w:sz w:val="28"/>
          <w:szCs w:val="28"/>
          <w:lang w:val="en-US" w:eastAsia="zh-CN"/>
        </w:rPr>
        <w:t>JT</w:t>
      </w:r>
      <w:r>
        <w:rPr>
          <w:rFonts w:hint="eastAsia" w:ascii="宋体" w:hAnsi="宋体" w:eastAsia="宋体" w:cs="宋体"/>
          <w:sz w:val="28"/>
          <w:szCs w:val="28"/>
        </w:rPr>
        <w:t>G C20—2011)</w:t>
      </w:r>
      <w:r>
        <w:rPr>
          <w:rFonts w:hint="eastAsia" w:ascii="宋体" w:hAnsi="宋体" w:eastAsia="宋体" w:cs="宋体"/>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设计文件组成和内容依照交通运输部颁《公路工程基本建设项目设计文件编制办法》和《公路工程基本建设项目设计文件图表示例》规定执行。</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b/>
          <w:bCs/>
          <w:sz w:val="30"/>
          <w:szCs w:val="30"/>
        </w:rPr>
      </w:pPr>
      <w:r>
        <w:rPr>
          <w:rFonts w:hint="eastAsia" w:ascii="宋体" w:hAnsi="宋体" w:eastAsia="宋体" w:cs="宋体"/>
          <w:b/>
          <w:bCs/>
          <w:sz w:val="30"/>
          <w:szCs w:val="30"/>
        </w:rPr>
        <w:t>3</w:t>
      </w:r>
      <w:r>
        <w:rPr>
          <w:rFonts w:hint="eastAsia" w:ascii="宋体" w:hAnsi="宋体" w:eastAsia="宋体" w:cs="宋体"/>
          <w:b/>
          <w:bCs/>
          <w:sz w:val="30"/>
          <w:szCs w:val="30"/>
          <w:lang w:eastAsia="zh-CN"/>
        </w:rPr>
        <w:t>、</w:t>
      </w:r>
      <w:r>
        <w:rPr>
          <w:rFonts w:hint="eastAsia" w:ascii="宋体" w:hAnsi="宋体" w:eastAsia="宋体" w:cs="宋体"/>
          <w:b/>
          <w:bCs/>
          <w:sz w:val="30"/>
          <w:szCs w:val="30"/>
        </w:rPr>
        <w:t>沿线地质、地震、气候、水文等自然地理特征及其与公路建设的关系</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3.1 地形、地貌</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560" w:firstLineChars="20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该项目位于黑龙江省西部，地理位置为东经122°24′-123°37′，北纬46°43′-47°40′之间，公路自然区划Ⅱ3区，全线处于大兴安岭与松嫩平原的过渡地带，地势东低西高，属丘陵地区，构成地貌为山丘，漫岗和平原，地貌单元属于第四系高河漫滩地。</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3.2 地质构造</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560" w:firstLineChars="20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测区位于一级大地构造单元东北断块区内，本项目处松嫩平原,基底为北东向槽地,两侧均发育有断裂带.基底岩性由古生界变质岩和燕山晚期花岗岩组成.覆盖层有侏罗系、白垩系、第三系以及较厚的第四系。本区新构造运动比较强烈，控制着地貌形态分布规律，使中部嫩江平原以下沉为主，东西两侧山地以上升为主。该地区最大震级为三级，对工程影响不大。</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3.3 水文地质</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测区地下水类型为第四系孔隙潜水，含水层岩性为细砂，主要接受大气降水的渗入补给，以蒸发及地下径流的方式排泄。地下水稳定水位埋深1.70m~1.90m，地下水位年变幅1.0m~1.5m，年最高水位出现在8月份，最低水位出现在3月下旬至4月上旬。根据临近地区水质分析资料可知，测区地下水对钢筋混凝土基础无腐蚀性。</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3.4 气候、气象</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属中温带亚湿润季风性气候，风力较大，多西北风，全年平均风速3.6米/秒；平均降水量446mm，无霜期120～135天，日照2700～2800小时，年平均蒸发量1652.1毫米，年太阳辐射量在110～130千卡/㎡。冬季漫长而严寒干燥，夏季温热而多雨。年平均气温：3.5℃、最冷月平均气温：-18.9℃、最热月平均气温：23.9℃、极端最低气温：-38.1℃、极端电高气温：27℃、年平均降水量：450mm、日最大降水量：82.6mm、年平均日照时数：2867h、年平均无霜期：144d、最大冻土深度：2.15m、年平均风速：3.4m/s、主导风向：西北风。</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3.5 地震</w:t>
      </w:r>
    </w:p>
    <w:p>
      <w:pPr>
        <w:keepNext w:val="0"/>
        <w:keepLines w:val="0"/>
        <w:pageBreakBefore w:val="0"/>
        <w:widowControl w:val="0"/>
        <w:kinsoku/>
        <w:wordWrap/>
        <w:overflowPunct/>
        <w:topLinePunct w:val="0"/>
        <w:autoSpaceDE/>
        <w:autoSpaceDN/>
        <w:bidi w:val="0"/>
        <w:adjustRightInd/>
        <w:snapToGrid/>
        <w:spacing w:line="460" w:lineRule="exact"/>
        <w:ind w:right="0" w:rightChars="0" w:firstLine="560" w:firstLineChars="20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项目经过地带的地质构造为新生第四纪地层，为细砂及砂砾等，地基承载力较好。该地区最大震级为三级，地震烈度为5—6度，对工程建设影响不大，根据该项目所处地理位置及地质构造情况，依据交通部颁发的《公路工程抗震设计规范》及《区域地震动峰值加速度图》，路线所经区域地震动峰值加速度为0.05g，依据交通部颁发的《公路工程技术标准》（JTG B01-2014）的规定，桥梁构造物不需进行专门的抗震设计。</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4、利用原有公路情况</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原有公路为</w:t>
      </w:r>
      <w:r>
        <w:rPr>
          <w:rFonts w:hint="eastAsia" w:ascii="宋体" w:hAnsi="宋体" w:eastAsia="宋体" w:cs="宋体"/>
          <w:sz w:val="28"/>
          <w:szCs w:val="28"/>
          <w:lang w:eastAsia="zh-CN"/>
        </w:rPr>
        <w:t>土</w:t>
      </w:r>
      <w:r>
        <w:rPr>
          <w:rFonts w:hint="eastAsia" w:ascii="宋体" w:hAnsi="宋体" w:eastAsia="宋体" w:cs="宋体"/>
          <w:sz w:val="28"/>
          <w:szCs w:val="28"/>
        </w:rPr>
        <w:t>路</w:t>
      </w:r>
      <w:r>
        <w:rPr>
          <w:rFonts w:hint="eastAsia" w:ascii="宋体" w:hAnsi="宋体" w:eastAsia="宋体" w:cs="宋体"/>
          <w:sz w:val="28"/>
          <w:szCs w:val="28"/>
          <w:lang w:eastAsia="zh-CN"/>
        </w:rPr>
        <w:t>，</w:t>
      </w:r>
      <w:r>
        <w:rPr>
          <w:rFonts w:hint="eastAsia" w:ascii="宋体" w:hAnsi="宋体" w:eastAsia="宋体" w:cs="宋体"/>
          <w:color w:val="auto"/>
          <w:sz w:val="28"/>
          <w:szCs w:val="28"/>
        </w:rPr>
        <w:t>大部分路面密实、平整。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原有公路平面线形指标基本满足四级路标准，个别路段指标不高，本次设计路基宽度</w:t>
      </w:r>
      <w:r>
        <w:rPr>
          <w:rFonts w:hint="eastAsia" w:ascii="宋体" w:hAnsi="宋体" w:eastAsia="宋体" w:cs="宋体"/>
          <w:color w:val="auto"/>
          <w:sz w:val="28"/>
          <w:szCs w:val="28"/>
          <w:lang w:eastAsia="zh-CN"/>
        </w:rPr>
        <w:t>5.0</w:t>
      </w:r>
      <w:r>
        <w:rPr>
          <w:rFonts w:hint="eastAsia" w:ascii="宋体" w:hAnsi="宋体" w:eastAsia="宋体" w:cs="宋体"/>
          <w:color w:val="auto"/>
          <w:sz w:val="28"/>
          <w:szCs w:val="28"/>
        </w:rPr>
        <w:t>m，小于旧路基宽度，因此布线时尽量在旧路基宽度范围内调整线型，尽量不产生新增占耕地</w:t>
      </w:r>
      <w:r>
        <w:rPr>
          <w:rFonts w:hint="eastAsia" w:ascii="宋体" w:hAnsi="宋体" w:eastAsia="宋体" w:cs="宋体"/>
          <w:color w:val="auto"/>
          <w:sz w:val="28"/>
          <w:szCs w:val="28"/>
          <w:lang w:eastAsia="zh-CN"/>
        </w:rPr>
        <w:t>和拆迁</w:t>
      </w:r>
      <w:r>
        <w:rPr>
          <w:rFonts w:hint="eastAsia" w:ascii="宋体" w:hAnsi="宋体" w:eastAsia="宋体" w:cs="宋体"/>
          <w:color w:val="auto"/>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 xml:space="preserve">原有公路纵断线形随地面起伏不大，纵断面走势基本满足本设计标准的纵断设计指标，设计中，将局部不满足指标段进行调整，使其更加顺势，满足路基排水要求。 </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原有旧路排水设施完备，本次设计不做专项设计。</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5、沿线筑路材料、水、电等建设条件及与公路建设的关系</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本项目位于嫩江沿岸，砂石等材料丰富。路基处理、排水防护工程、路面工程、桥涵工程等所需砂石材料，在项目所在地便可运购。</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本着就近取材、减少工程造价的原则，对周边筑路材料进行了认真的调查，根据材质、储量、运输情况，选设砂石场</w:t>
      </w: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lang w:eastAsia="zh-CN"/>
        </w:rPr>
        <w:t>处。对外购水泥及水源情况也做了充分的调查。</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 xml:space="preserve">1 </w:t>
      </w:r>
      <w:r>
        <w:rPr>
          <w:rFonts w:hint="eastAsia" w:ascii="宋体" w:hAnsi="宋体" w:eastAsia="宋体" w:cs="宋体"/>
          <w:color w:val="auto"/>
          <w:sz w:val="28"/>
          <w:szCs w:val="28"/>
          <w:lang w:eastAsia="zh-CN"/>
        </w:rPr>
        <w:t>砂场、石场</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距本项目工程最近的对宝砂场所生产的砂砾及砾石，砂质纯净，磨园性好，能够满足路基、路面等工程需要；对宝砂场所生产的中粗砂砂质纯净，含泥量小，能够满足路面等工程需要。</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 xml:space="preserve">2 </w:t>
      </w:r>
      <w:r>
        <w:rPr>
          <w:rFonts w:hint="eastAsia" w:ascii="宋体" w:hAnsi="宋体" w:eastAsia="宋体" w:cs="宋体"/>
          <w:color w:val="auto"/>
          <w:sz w:val="28"/>
          <w:szCs w:val="28"/>
          <w:lang w:eastAsia="zh-CN"/>
        </w:rPr>
        <w:t>水泥</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路面面层用水泥采用龙江水泥厂生产的水泥，汽车倒运至现场。</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 xml:space="preserve">3 </w:t>
      </w:r>
      <w:r>
        <w:rPr>
          <w:rFonts w:hint="eastAsia" w:ascii="宋体" w:hAnsi="宋体" w:eastAsia="宋体" w:cs="宋体"/>
          <w:color w:val="auto"/>
          <w:sz w:val="28"/>
          <w:szCs w:val="28"/>
          <w:lang w:eastAsia="zh-CN"/>
        </w:rPr>
        <w:t>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沿线地下水埋藏较深，但储量丰富，水质满足路基、路面、桥涵工程用水要求。但要注意不要造成地下水资源的浪费，除拌和站、生活用水等必须使用地下水外，其它工程可就近沟渠取水。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 xml:space="preserve">4 </w:t>
      </w:r>
      <w:r>
        <w:rPr>
          <w:rFonts w:hint="eastAsia" w:ascii="宋体" w:hAnsi="宋体" w:eastAsia="宋体" w:cs="宋体"/>
          <w:color w:val="auto"/>
          <w:sz w:val="28"/>
          <w:szCs w:val="28"/>
          <w:lang w:eastAsia="zh-CN"/>
        </w:rPr>
        <w:t>其它材料</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eastAsia="zh-CN"/>
        </w:rPr>
        <w:t>钢筋、木材、及铁件等其它建筑材料均由龙江县或齐市建材市场供应，汽油、柴油由附</w:t>
      </w:r>
      <w:r>
        <w:rPr>
          <w:rFonts w:hint="eastAsia" w:ascii="宋体" w:hAnsi="宋体" w:eastAsia="宋体" w:cs="宋体"/>
          <w:color w:val="auto"/>
          <w:sz w:val="28"/>
          <w:szCs w:val="28"/>
        </w:rPr>
        <w:t>近加油站购买。</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b/>
          <w:bCs/>
          <w:color w:val="auto"/>
          <w:sz w:val="28"/>
          <w:szCs w:val="28"/>
        </w:rPr>
      </w:pPr>
      <w:r>
        <w:rPr>
          <w:rFonts w:hint="eastAsia" w:ascii="宋体" w:hAnsi="宋体" w:eastAsia="宋体" w:cs="宋体"/>
          <w:b/>
          <w:bCs/>
          <w:color w:val="auto"/>
          <w:sz w:val="28"/>
          <w:szCs w:val="28"/>
        </w:rPr>
        <w:t>6、与周围环境和自然景观相协调情况</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公路环境保护坚持“以防为主、以治为辅、综合治理”的原则。本项目沿现有</w:t>
      </w:r>
      <w:r>
        <w:rPr>
          <w:rFonts w:hint="eastAsia" w:ascii="宋体" w:hAnsi="宋体" w:eastAsia="宋体" w:cs="宋体"/>
          <w:color w:val="auto"/>
          <w:sz w:val="28"/>
          <w:szCs w:val="28"/>
          <w:lang w:eastAsia="zh-CN"/>
        </w:rPr>
        <w:t>土</w:t>
      </w:r>
      <w:r>
        <w:rPr>
          <w:rFonts w:hint="eastAsia" w:ascii="宋体" w:hAnsi="宋体" w:eastAsia="宋体" w:cs="宋体"/>
          <w:color w:val="auto"/>
          <w:sz w:val="28"/>
          <w:szCs w:val="28"/>
        </w:rPr>
        <w:t>路进行布线，无大填大挖路段，整个工程对环境影响不大。但为减少环境破坏，美化路容，协调环境景观，拟采取以下措施：</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(1)保护地表径流的原有状态，采取有组织的保护措施。</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(2)尽量利用原有旧路，不占耕地，减少地表破坏，与周围景观及环境融为一体。</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(3)在确定取土、弃土位置时，尽量避开公路行车视线，采取集中取、弃土，减少对环境的破坏。对取土场、弃土场及施工场地等进行整平恢复植被，减少水土流失，美化环境。</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center"/>
        <w:textAlignment w:val="auto"/>
        <w:outlineLvl w:val="9"/>
        <w:rPr>
          <w:rFonts w:hint="eastAsia" w:ascii="宋体" w:hAnsi="宋体" w:eastAsia="宋体" w:cs="宋体"/>
          <w:color w:val="auto"/>
          <w:sz w:val="28"/>
          <w:szCs w:val="28"/>
        </w:rPr>
      </w:pPr>
      <w:r>
        <w:rPr>
          <w:rFonts w:hint="eastAsia" w:ascii="宋体" w:hAnsi="宋体" w:eastAsia="宋体" w:cs="宋体"/>
          <w:b/>
          <w:bCs/>
          <w:color w:val="auto"/>
          <w:sz w:val="32"/>
          <w:szCs w:val="32"/>
        </w:rPr>
        <w:t>第二篇</w:t>
      </w:r>
      <w:r>
        <w:rPr>
          <w:rFonts w:hint="eastAsia" w:ascii="宋体" w:hAnsi="宋体" w:eastAsia="宋体" w:cs="宋体"/>
          <w:b/>
          <w:bCs/>
          <w:color w:val="auto"/>
          <w:sz w:val="32"/>
          <w:szCs w:val="32"/>
          <w:lang w:val="en-US" w:eastAsia="zh-CN"/>
        </w:rPr>
        <w:t xml:space="preserve">  </w:t>
      </w:r>
      <w:r>
        <w:rPr>
          <w:rFonts w:hint="eastAsia" w:ascii="宋体" w:hAnsi="宋体" w:eastAsia="宋体" w:cs="宋体"/>
          <w:b/>
          <w:bCs/>
          <w:color w:val="auto"/>
          <w:sz w:val="32"/>
          <w:szCs w:val="32"/>
        </w:rPr>
        <w:t>路线</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left"/>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1、布线原则</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(1)平面线形设计结合现有道路线位、沿线地形、地物、工程地质、水文地质以及水利设施和环境保护等诸多因素，综合考虑优化线位，尽量使线形与地形、地物相协调，少拆迁建筑物，避让不良地质区域，不占耕地。</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(2)尽力做到平面顺适，保持线形的连续性、线形指标大小均衡，避免突变，以满足汽车行驶安全和驾驶人员视觉和心理反应的要求，并充分注意路线与自然景观相协调。</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(3)纵面设计力求做到指标均衡，并与平面线形相协调，在满足技术标准和设计规范要求的前提下，合理设计纵坡，减少对生态环境的破坏。</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(4)本项目原有道路为旧有</w:t>
      </w:r>
      <w:r>
        <w:rPr>
          <w:rFonts w:hint="eastAsia" w:ascii="宋体" w:hAnsi="宋体" w:eastAsia="宋体" w:cs="宋体"/>
          <w:color w:val="auto"/>
          <w:sz w:val="28"/>
          <w:szCs w:val="28"/>
          <w:lang w:eastAsia="zh-CN"/>
        </w:rPr>
        <w:t>土</w:t>
      </w:r>
      <w:r>
        <w:rPr>
          <w:rFonts w:hint="eastAsia" w:ascii="宋体" w:hAnsi="宋体" w:eastAsia="宋体" w:cs="宋体"/>
          <w:color w:val="auto"/>
          <w:sz w:val="28"/>
          <w:szCs w:val="28"/>
        </w:rPr>
        <w:t>路，路况良好，平面线形指标基本满足四级公路的设计标准，本次设计平面线位均利用此</w:t>
      </w:r>
      <w:r>
        <w:rPr>
          <w:rFonts w:hint="eastAsia" w:ascii="宋体" w:hAnsi="宋体" w:eastAsia="宋体" w:cs="宋体"/>
          <w:color w:val="auto"/>
          <w:sz w:val="28"/>
          <w:szCs w:val="28"/>
          <w:lang w:eastAsia="zh-CN"/>
        </w:rPr>
        <w:t>土</w:t>
      </w:r>
      <w:r>
        <w:rPr>
          <w:rFonts w:hint="eastAsia" w:ascii="宋体" w:hAnsi="宋体" w:eastAsia="宋体" w:cs="宋体"/>
          <w:color w:val="auto"/>
          <w:sz w:val="28"/>
          <w:szCs w:val="28"/>
        </w:rPr>
        <w:t>路线位进行布设。</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2、</w:t>
      </w:r>
      <w:r>
        <w:rPr>
          <w:rFonts w:hint="eastAsia" w:ascii="宋体" w:hAnsi="宋体" w:eastAsia="宋体" w:cs="宋体"/>
          <w:b/>
          <w:bCs/>
          <w:color w:val="auto"/>
          <w:sz w:val="30"/>
          <w:szCs w:val="30"/>
          <w:lang w:eastAsia="zh-CN"/>
        </w:rPr>
        <w:t>平</w:t>
      </w:r>
      <w:r>
        <w:rPr>
          <w:rFonts w:hint="eastAsia" w:ascii="宋体" w:hAnsi="宋体" w:eastAsia="宋体" w:cs="宋体"/>
          <w:b/>
          <w:bCs/>
          <w:color w:val="auto"/>
          <w:sz w:val="30"/>
          <w:szCs w:val="30"/>
        </w:rPr>
        <w:t>面设计</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本工程路线累计全长</w:t>
      </w:r>
      <w:r>
        <w:rPr>
          <w:rFonts w:hint="eastAsia" w:ascii="宋体" w:hAnsi="宋体" w:eastAsia="宋体" w:cs="宋体"/>
          <w:color w:val="auto"/>
          <w:sz w:val="28"/>
          <w:szCs w:val="28"/>
          <w:lang w:val="en-US" w:eastAsia="zh-CN"/>
        </w:rPr>
        <w:t>3.276Km</w:t>
      </w:r>
      <w:r>
        <w:rPr>
          <w:rFonts w:hint="eastAsia" w:ascii="宋体" w:hAnsi="宋体" w:eastAsia="宋体" w:cs="宋体"/>
          <w:color w:val="auto"/>
          <w:sz w:val="28"/>
          <w:szCs w:val="28"/>
          <w:lang w:eastAsia="zh-CN"/>
        </w:rPr>
        <w:t>，共计</w:t>
      </w:r>
      <w:r>
        <w:rPr>
          <w:rFonts w:hint="eastAsia" w:ascii="宋体" w:hAnsi="宋体" w:eastAsia="宋体" w:cs="宋体"/>
          <w:color w:val="auto"/>
          <w:sz w:val="28"/>
          <w:szCs w:val="28"/>
          <w:lang w:val="en-US" w:eastAsia="zh-CN"/>
        </w:rPr>
        <w:t>6段</w:t>
      </w:r>
      <w:r>
        <w:rPr>
          <w:rFonts w:hint="eastAsia" w:ascii="宋体" w:hAnsi="宋体" w:eastAsia="宋体" w:cs="宋体"/>
          <w:color w:val="auto"/>
          <w:sz w:val="28"/>
          <w:szCs w:val="28"/>
        </w:rPr>
        <w:t>。</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3、纵断面设计</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纵断面线形设计，是在平面线形确定下进行的，设计高程为新设计路面中心高程，在保证路基强度和稳定性的前提下，尽量减少路基高度，以减少土石方数量。</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纵断面地面标高为设计中心线处地面或旧路顶面标高，设计高为路中心线标高。其他标高以此推算。</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b/>
          <w:bCs/>
          <w:sz w:val="30"/>
          <w:szCs w:val="30"/>
        </w:rPr>
        <w:t>4、施</w:t>
      </w:r>
      <w:r>
        <w:rPr>
          <w:rFonts w:hint="eastAsia" w:ascii="宋体" w:hAnsi="宋体" w:eastAsia="宋体" w:cs="宋体"/>
          <w:b/>
          <w:bCs/>
          <w:sz w:val="30"/>
          <w:szCs w:val="30"/>
          <w:lang w:eastAsia="zh-CN"/>
        </w:rPr>
        <w:t>工</w:t>
      </w:r>
      <w:r>
        <w:rPr>
          <w:rFonts w:hint="eastAsia" w:ascii="宋体" w:hAnsi="宋体" w:eastAsia="宋体" w:cs="宋体"/>
          <w:b/>
          <w:bCs/>
          <w:sz w:val="30"/>
          <w:szCs w:val="30"/>
        </w:rPr>
        <w:t>要点及注意事项</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(1)施工开工前，施工单位应在全面熟悉设计文件和设计交底的基础上，进行现场核对和施工调查，发现问题应及时根据有关程序提出修改意见报请变更设计。</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(2)考虑到可能存在的地面沉降和人为破坏等因素，施工单位在施工前必须对沿线控制点进行校核，确认无误后方可使用。</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原有控制点不能满足施工要求时，应进行加密，保证在道路施工全过程中相邻导线点间能互相通视；</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导线起讫点应与设计单位测定结果比较，测量精度应满足要求。</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(3)如建设单位、监理或施工单位在施工中需修改平纵面线形时，被修改路段的各项技术指标必须与主线相协调，保持均衡，在无重大特殊理由的情况下，不应降低平纵面线形各项技术指标。</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(4)对于公路用地范围内的既有道路、通讯、电力设施及其他建筑物，均应协助有关部门事先拆迁或改移。</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(5)未列事项请施工单位严格按照部颁有关施工技术规范和规程进行。</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center"/>
        <w:textAlignment w:val="auto"/>
        <w:outlineLvl w:val="9"/>
        <w:rPr>
          <w:rFonts w:hint="eastAsia" w:ascii="宋体" w:hAnsi="宋体" w:eastAsia="宋体" w:cs="宋体"/>
          <w:b/>
          <w:bCs/>
          <w:sz w:val="30"/>
          <w:szCs w:val="30"/>
        </w:rPr>
      </w:pPr>
      <w:r>
        <w:rPr>
          <w:rFonts w:hint="eastAsia" w:ascii="宋体" w:hAnsi="宋体" w:eastAsia="宋体" w:cs="宋体"/>
          <w:b/>
          <w:bCs/>
          <w:sz w:val="30"/>
          <w:szCs w:val="30"/>
        </w:rPr>
        <w:t>第三篇</w:t>
      </w:r>
      <w:r>
        <w:rPr>
          <w:rFonts w:hint="eastAsia" w:ascii="宋体" w:hAnsi="宋体" w:eastAsia="宋体" w:cs="宋体"/>
          <w:b/>
          <w:bCs/>
          <w:sz w:val="30"/>
          <w:szCs w:val="30"/>
          <w:lang w:val="en-US" w:eastAsia="zh-CN"/>
        </w:rPr>
        <w:t xml:space="preserve"> </w:t>
      </w:r>
      <w:r>
        <w:rPr>
          <w:rFonts w:hint="eastAsia" w:ascii="宋体" w:hAnsi="宋体" w:eastAsia="宋体" w:cs="宋体"/>
          <w:b/>
          <w:bCs/>
          <w:sz w:val="30"/>
          <w:szCs w:val="30"/>
        </w:rPr>
        <w:t>路基、路面</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1、施工图标段(合同段)划分情况</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由于本项目里程较短，施</w:t>
      </w:r>
      <w:r>
        <w:rPr>
          <w:rFonts w:hint="eastAsia" w:ascii="宋体" w:hAnsi="宋体" w:eastAsia="宋体" w:cs="宋体"/>
          <w:sz w:val="28"/>
          <w:szCs w:val="28"/>
          <w:lang w:eastAsia="zh-CN"/>
        </w:rPr>
        <w:t>工工</w:t>
      </w:r>
      <w:r>
        <w:rPr>
          <w:rFonts w:hint="eastAsia" w:ascii="宋体" w:hAnsi="宋体" w:eastAsia="宋体" w:cs="宋体"/>
          <w:sz w:val="28"/>
          <w:szCs w:val="28"/>
        </w:rPr>
        <w:t>艺常规，与建设单位确认后采用</w:t>
      </w:r>
      <w:r>
        <w:rPr>
          <w:rFonts w:hint="eastAsia" w:ascii="宋体" w:hAnsi="宋体" w:eastAsia="宋体" w:cs="宋体"/>
          <w:sz w:val="28"/>
          <w:szCs w:val="28"/>
          <w:lang w:eastAsia="zh-CN"/>
        </w:rPr>
        <w:t>一个标段进行设计。</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2、原有公路技术状况及现状描述、旧路病害情况</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sz w:val="28"/>
          <w:szCs w:val="28"/>
        </w:rPr>
        <w:t>1原有道路技术状况及现状的描述</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原有公路为</w:t>
      </w:r>
      <w:r>
        <w:rPr>
          <w:rFonts w:hint="eastAsia" w:ascii="宋体" w:hAnsi="宋体" w:eastAsia="宋体" w:cs="宋体"/>
          <w:color w:val="auto"/>
          <w:sz w:val="28"/>
          <w:szCs w:val="28"/>
          <w:lang w:eastAsia="zh-CN"/>
        </w:rPr>
        <w:t>土</w:t>
      </w:r>
      <w:r>
        <w:rPr>
          <w:rFonts w:hint="eastAsia" w:ascii="宋体" w:hAnsi="宋体" w:eastAsia="宋体" w:cs="宋体"/>
          <w:color w:val="auto"/>
          <w:sz w:val="28"/>
          <w:szCs w:val="28"/>
        </w:rPr>
        <w:t>路，平面线形指标基本满足四级路标准。纵断线形随地面起伏不大，大部分路面密实、平整。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b/>
          <w:bCs/>
          <w:sz w:val="28"/>
          <w:szCs w:val="28"/>
        </w:rPr>
      </w:pPr>
      <w:r>
        <w:rPr>
          <w:rFonts w:hint="eastAsia" w:ascii="宋体" w:hAnsi="宋体" w:eastAsia="宋体" w:cs="宋体"/>
          <w:b/>
          <w:bCs/>
          <w:sz w:val="28"/>
          <w:szCs w:val="28"/>
        </w:rPr>
        <w:t>3、路基设计原则、路基横断面布置</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1设计原则</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在充分利用旧路总体原则下，根据当地自然条件和工程地质条件，选择适当的路基横断面形式和边坡坡度。设计中考虑到原有路面具有较好的强度，因此在充分利用原有道路的基础上，对旧路路面病害处理完毕后，在原有道路上</w:t>
      </w:r>
      <w:r>
        <w:rPr>
          <w:rFonts w:hint="eastAsia" w:ascii="宋体" w:hAnsi="宋体" w:eastAsia="宋体" w:cs="宋体"/>
          <w:sz w:val="28"/>
          <w:szCs w:val="28"/>
        </w:rPr>
        <w:t>铺设</w:t>
      </w:r>
      <w:r>
        <w:rPr>
          <w:rFonts w:hint="eastAsia" w:ascii="宋体" w:hAnsi="宋体" w:eastAsia="宋体" w:cs="宋体"/>
          <w:sz w:val="28"/>
          <w:szCs w:val="28"/>
          <w:lang w:val="en-US" w:eastAsia="zh-CN"/>
        </w:rPr>
        <w:t>18</w:t>
      </w:r>
      <w:r>
        <w:rPr>
          <w:rFonts w:hint="eastAsia" w:ascii="宋体" w:hAnsi="宋体" w:eastAsia="宋体" w:cs="宋体"/>
          <w:sz w:val="28"/>
          <w:szCs w:val="28"/>
        </w:rPr>
        <w:t>cm水泥混凝土路面。</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3</w:t>
      </w:r>
      <w:r>
        <w:rPr>
          <w:rFonts w:hint="eastAsia" w:ascii="宋体" w:hAnsi="宋体" w:eastAsia="宋体" w:cs="宋体"/>
          <w:sz w:val="28"/>
          <w:szCs w:val="28"/>
          <w:lang w:val="en-US" w:eastAsia="zh-CN"/>
        </w:rPr>
        <w:t>.</w:t>
      </w:r>
      <w:r>
        <w:rPr>
          <w:rFonts w:hint="eastAsia" w:ascii="宋体" w:hAnsi="宋体" w:eastAsia="宋体" w:cs="宋体"/>
          <w:sz w:val="28"/>
          <w:szCs w:val="28"/>
        </w:rPr>
        <w:t>2路基横断面布置</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(1)路基横断面</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路基宽度</w:t>
      </w:r>
      <w:r>
        <w:rPr>
          <w:rFonts w:hint="eastAsia" w:ascii="宋体" w:hAnsi="宋体" w:eastAsia="宋体" w:cs="宋体"/>
          <w:color w:val="auto"/>
          <w:sz w:val="28"/>
          <w:szCs w:val="28"/>
          <w:lang w:eastAsia="zh-CN"/>
        </w:rPr>
        <w:t>5.0</w:t>
      </w:r>
      <w:r>
        <w:rPr>
          <w:rFonts w:hint="eastAsia" w:ascii="宋体" w:hAnsi="宋体" w:eastAsia="宋体" w:cs="宋体"/>
          <w:color w:val="auto"/>
          <w:sz w:val="28"/>
          <w:szCs w:val="28"/>
        </w:rPr>
        <w:t>m，行车道宽度</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5m，土路肩宽度2</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lang w:eastAsia="zh-CN"/>
        </w:rPr>
        <w:t>0.75</w:t>
      </w:r>
      <w:r>
        <w:rPr>
          <w:rFonts w:hint="eastAsia" w:ascii="宋体" w:hAnsi="宋体" w:eastAsia="宋体" w:cs="宋体"/>
          <w:color w:val="auto"/>
          <w:sz w:val="28"/>
          <w:szCs w:val="28"/>
        </w:rPr>
        <w:t>m；</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路拱横坡：无超高路段路面横坡度为0％，土路肩为3</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0％。</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(2)路基边坡</w:t>
      </w:r>
    </w:p>
    <w:p>
      <w:pPr>
        <w:keepNext w:val="0"/>
        <w:keepLines w:val="0"/>
        <w:pageBreakBefore w:val="0"/>
        <w:widowControl w:val="0"/>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填方路堤：边坡坡率采用1</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1</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5。</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挖方路堑：边坡坡率采用l：1</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0。</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0"/>
        <w:jc w:val="both"/>
        <w:textAlignment w:val="auto"/>
        <w:outlineLvl w:val="9"/>
        <w:rPr>
          <w:rFonts w:hint="eastAsia" w:ascii="宋体" w:hAnsi="宋体" w:eastAsia="宋体" w:cs="宋体"/>
          <w:b/>
          <w:bCs/>
          <w:color w:val="auto"/>
          <w:sz w:val="30"/>
          <w:szCs w:val="30"/>
          <w:lang w:val="en-US" w:eastAsia="zh-CN"/>
        </w:rPr>
      </w:pPr>
      <w:r>
        <w:rPr>
          <w:rFonts w:hint="eastAsia" w:ascii="宋体" w:hAnsi="宋体" w:eastAsia="宋体" w:cs="宋体"/>
          <w:b/>
          <w:bCs/>
          <w:color w:val="auto"/>
          <w:sz w:val="30"/>
          <w:szCs w:val="30"/>
          <w:lang w:val="en-US" w:eastAsia="zh-CN"/>
        </w:rPr>
        <w:t>4、路基设计</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根据原有道路的调查情况，旧路路基高度虽然不高，但强度较好，</w:t>
      </w:r>
      <w:r>
        <w:rPr>
          <w:rFonts w:hint="eastAsia" w:ascii="宋体" w:hAnsi="宋体" w:eastAsia="宋体" w:cs="宋体"/>
          <w:color w:val="auto"/>
          <w:sz w:val="28"/>
          <w:szCs w:val="28"/>
          <w:lang w:eastAsia="zh-CN"/>
        </w:rPr>
        <w:t>因此在旧路</w:t>
      </w:r>
      <w:r>
        <w:rPr>
          <w:rFonts w:hint="eastAsia" w:ascii="宋体" w:hAnsi="宋体" w:eastAsia="宋体" w:cs="宋体"/>
          <w:color w:val="auto"/>
          <w:sz w:val="28"/>
          <w:szCs w:val="28"/>
        </w:rPr>
        <w:t>面上</w:t>
      </w:r>
      <w:r>
        <w:rPr>
          <w:rFonts w:hint="eastAsia" w:ascii="宋体" w:hAnsi="宋体" w:eastAsia="宋体" w:cs="宋体"/>
          <w:sz w:val="28"/>
          <w:szCs w:val="28"/>
        </w:rPr>
        <w:t>统一铺设</w:t>
      </w:r>
      <w:r>
        <w:rPr>
          <w:rFonts w:hint="eastAsia" w:ascii="宋体" w:hAnsi="宋体" w:eastAsia="宋体" w:cs="宋体"/>
          <w:sz w:val="28"/>
          <w:szCs w:val="28"/>
          <w:lang w:val="en-US" w:eastAsia="zh-CN"/>
        </w:rPr>
        <w:t>18</w:t>
      </w:r>
      <w:r>
        <w:rPr>
          <w:rFonts w:hint="eastAsia" w:ascii="宋体" w:hAnsi="宋体" w:eastAsia="宋体" w:cs="宋体"/>
          <w:sz w:val="28"/>
          <w:szCs w:val="28"/>
        </w:rPr>
        <w:t>cm水泥混凝土路面。</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0"/>
        <w:jc w:val="both"/>
        <w:textAlignment w:val="auto"/>
        <w:outlineLvl w:val="9"/>
        <w:rPr>
          <w:rFonts w:hint="eastAsia" w:ascii="宋体" w:hAnsi="宋体" w:eastAsia="宋体" w:cs="宋体"/>
          <w:b/>
          <w:bCs/>
          <w:color w:val="auto"/>
          <w:sz w:val="30"/>
          <w:szCs w:val="30"/>
        </w:rPr>
      </w:pPr>
      <w:r>
        <w:rPr>
          <w:rFonts w:hint="eastAsia" w:ascii="宋体" w:hAnsi="宋体" w:eastAsia="宋体" w:cs="宋体"/>
          <w:b/>
          <w:bCs/>
          <w:color w:val="auto"/>
          <w:sz w:val="30"/>
          <w:szCs w:val="30"/>
        </w:rPr>
        <w:t>5</w:t>
      </w:r>
      <w:r>
        <w:rPr>
          <w:rFonts w:hint="eastAsia" w:ascii="宋体" w:hAnsi="宋体" w:eastAsia="宋体" w:cs="宋体"/>
          <w:b/>
          <w:bCs/>
          <w:color w:val="auto"/>
          <w:sz w:val="30"/>
          <w:szCs w:val="30"/>
          <w:lang w:eastAsia="zh-CN"/>
        </w:rPr>
        <w:t>、</w:t>
      </w:r>
      <w:r>
        <w:rPr>
          <w:rFonts w:hint="eastAsia" w:ascii="宋体" w:hAnsi="宋体" w:eastAsia="宋体" w:cs="宋体"/>
          <w:b/>
          <w:bCs/>
          <w:color w:val="auto"/>
          <w:sz w:val="30"/>
          <w:szCs w:val="30"/>
        </w:rPr>
        <w:t>路基压实标准与压实度及填料强度要求</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路基填土分层压实，路基压实采用重型击实标准，压实度、填料最小强度要求如下：</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(1)路基填料应均匀、密实。</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(2)填方路基应优先选用级配较好的砾石土、砂类土等作为填料。</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rPr>
        <w:t>(3)路床顶面横坡应与路拱横坡一致。</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(4)液限大于50%、塑性指数大于26的细粒土不得直接作为路基填料。</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表3-1 路基填料及压实度</w:t>
      </w:r>
    </w:p>
    <w:tbl>
      <w:tblPr>
        <w:tblStyle w:val="5"/>
        <w:tblW w:w="10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2025"/>
        <w:gridCol w:w="2026"/>
        <w:gridCol w:w="2026"/>
        <w:gridCol w:w="2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路基部位</w:t>
            </w:r>
          </w:p>
        </w:tc>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路面底面以下深度（m）</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填料最小强度</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（CBR）（%）</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填料最大粒径</w:t>
            </w:r>
          </w:p>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（cm）</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路基压实度（%）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上路床</w:t>
            </w:r>
          </w:p>
        </w:tc>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0-0.3</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6</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下路床</w:t>
            </w:r>
          </w:p>
        </w:tc>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0.3-0.8</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4</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上路堤</w:t>
            </w:r>
          </w:p>
        </w:tc>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0.8-1.5</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15</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下路堤</w:t>
            </w:r>
          </w:p>
        </w:tc>
        <w:tc>
          <w:tcPr>
            <w:tcW w:w="2025"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1.5以下</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15</w:t>
            </w:r>
          </w:p>
        </w:tc>
        <w:tc>
          <w:tcPr>
            <w:tcW w:w="2026" w:type="dxa"/>
          </w:tcPr>
          <w:p>
            <w:pPr>
              <w:keepNext w:val="0"/>
              <w:keepLines w:val="0"/>
              <w:pageBreakBefore w:val="0"/>
              <w:widowControl w:val="0"/>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≥92</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 xml:space="preserve">   6、路基、路面排水系统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56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6.1路基排水</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both"/>
        <w:textAlignment w:val="auto"/>
        <w:outlineLvl w:val="9"/>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路基排水是根据地形、地势、沿线土质、地面纵坡、横坡等因素进行综合水设计。</w:t>
      </w:r>
      <w:r>
        <w:rPr>
          <w:rFonts w:hint="eastAsia" w:ascii="宋体" w:hAnsi="宋体" w:eastAsia="宋体" w:cs="宋体"/>
          <w:color w:val="auto"/>
          <w:sz w:val="28"/>
          <w:szCs w:val="28"/>
        </w:rPr>
        <w:t>原有旧路排水设施完备，本次设计不做专项设计。</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560"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6.2路面排水</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本项目为单车道四级公路，路面窄，路表面雨水可通过路肩、路面横坡自然散排。</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560" w:leftChars="0" w:right="0" w:rightChars="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7、取土、弃土设计方案、环保及节约用地措施</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1)全线路基土方除利用部分挖方进行纵向调配外，其余均采用外运集中取土方案填筑路基，取土场优先选用旧土场，全线选取了2处取土场，均为砾石土。</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56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2)取土时要有计划，防止乱掘，并注重环境保护，用后及时恢复植被。</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3)为了保护环境，防止水土流失，少占土地，将取土场作为弃土场，取土场用完推平后，将挖余土方弃于取土场，以利于植被恢复。</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560" w:leftChars="0" w:right="0" w:rightChars="0"/>
        <w:jc w:val="both"/>
        <w:textAlignment w:val="auto"/>
        <w:outlineLvl w:val="9"/>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8、路面结构设计，材料要求、混合料要求、级配组成及施工要求，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56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8.1设计原则</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路面设计本着因地制宜、合理选材、降低造价、便于施工及养护的原则，根据路面的使用要求，结合当地自然条件、沿线筑路材料情况和实践经验，进行路面综合设计。本设计采用水泥混凝土路面。</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8.2技术标准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路面设计标准轴载采用BZZ—100，按轻交通等级设计，水泥混凝土路面设计基准期lOa。</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8.3路面结构设计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根据当地沿线的筑路材料和种类储量情况</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结合地区经验确定如下路面结构：</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路面结构（一）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18cm水泥混凝土面层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路面结构（二）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18cm水泥混凝土面层+15cm 5%水泥稳定砂砾基层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水泥混凝土强度以28d龄期的弯拉强度控制，以弯拉强度4.OMPa为设计标准。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8.4材料要求、混合料要求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(1)面层</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56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水泥混凝土集料公称最大粒径不应大于26.5mm，砂的细度模数不宜小于2.5。粗集料应质地坚硬、耐久、洁净。水泥用量不得少于320kg／m</w:t>
      </w:r>
      <w:r>
        <w:rPr>
          <w:rFonts w:hint="eastAsia" w:ascii="宋体" w:hAnsi="宋体" w:eastAsia="宋体" w:cs="宋体"/>
          <w:color w:val="auto"/>
          <w:sz w:val="28"/>
          <w:szCs w:val="28"/>
          <w:vertAlign w:val="superscript"/>
          <w:lang w:val="en-US" w:eastAsia="zh-CN"/>
        </w:rPr>
        <w:t>3</w:t>
      </w:r>
      <w:r>
        <w:rPr>
          <w:rFonts w:hint="eastAsia" w:ascii="宋体" w:hAnsi="宋体" w:eastAsia="宋体" w:cs="宋体"/>
          <w:color w:val="auto"/>
          <w:sz w:val="28"/>
          <w:szCs w:val="28"/>
          <w:lang w:val="en-US" w:eastAsia="zh-CN"/>
        </w:rPr>
        <w:t xml:space="preserve">。水泥混凝土中须掺入水泥剂量的1.5％引气减水剂。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firstLine="280" w:firstLineChars="10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(2)基层</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基层水泥采用42.5级普通硅酸盐水泥，初凝时间大于3h，终凝时间大于6h且小于10h；</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420" w:firstLineChars="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基层砂砾压碎值不大于35％。砂砾含泥量小于5％。级配稳定，塑性指数应小于5。</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color w:val="auto"/>
          <w:sz w:val="28"/>
          <w:szCs w:val="28"/>
          <w:lang w:val="en-US" w:eastAsia="zh-CN"/>
        </w:rPr>
        <w:t xml:space="preserve">  基层水泥稳定砂砾7天无侧限抗压强度为2.5Mpa，压实度不小于97％。</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280" w:firstLineChars="10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(3)水泥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水泥采用42.5级普通硅酸盐水泥，物化指标应符合现行国家标准。3d水泥抗折强度≥4.0MPa，抗压强度≥17.0MPa;28d水泥抗折强度≥7.0MPa，抗压强度≥42.5MPa</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表3-2路面用水泥的化学成分和物理指标</w:t>
      </w:r>
    </w:p>
    <w:tbl>
      <w:tblPr>
        <w:tblStyle w:val="5"/>
        <w:tblW w:w="10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7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水泥性能</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中、轻交通荷载等级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熟料游离氧化钙</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氧化镁</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铁铝酸四钙</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12～20%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铝酸三钙</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三氧化硫</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碱含量</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Na</w:t>
            </w:r>
            <w:r>
              <w:rPr>
                <w:rFonts w:hint="eastAsia" w:ascii="宋体" w:hAnsi="宋体" w:eastAsia="宋体" w:cs="宋体"/>
                <w:sz w:val="28"/>
                <w:szCs w:val="28"/>
                <w:vertAlign w:val="subscript"/>
                <w:lang w:val="en-US" w:eastAsia="zh-CN"/>
              </w:rPr>
              <w:t>2</w:t>
            </w:r>
            <w:r>
              <w:rPr>
                <w:rFonts w:hint="eastAsia" w:ascii="宋体" w:hAnsi="宋体" w:eastAsia="宋体" w:cs="宋体"/>
                <w:sz w:val="28"/>
                <w:szCs w:val="28"/>
                <w:vertAlign w:val="baseline"/>
                <w:lang w:val="en-US" w:eastAsia="zh-CN"/>
              </w:rPr>
              <w:t>O+0.658K</w:t>
            </w:r>
            <w:r>
              <w:rPr>
                <w:rFonts w:hint="eastAsia" w:ascii="宋体" w:hAnsi="宋体" w:eastAsia="宋体" w:cs="宋体"/>
                <w:sz w:val="28"/>
                <w:szCs w:val="28"/>
                <w:vertAlign w:val="subscript"/>
                <w:lang w:val="en-US" w:eastAsia="zh-CN"/>
              </w:rPr>
              <w:t>2</w:t>
            </w:r>
            <w:r>
              <w:rPr>
                <w:rFonts w:hint="eastAsia" w:ascii="宋体" w:hAnsi="宋体" w:eastAsia="宋体" w:cs="宋体"/>
                <w:sz w:val="28"/>
                <w:szCs w:val="28"/>
                <w:vertAlign w:val="baseline"/>
                <w:lang w:val="en-US" w:eastAsia="zh-CN"/>
              </w:rPr>
              <w:t>O≤0.6%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氯离子含量</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auto"/>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混合材种类</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不得掺窑灰、煤矸石、火山灰、烧粘土、煤渣，有抗盐冻要求时不得掺石灰岩粉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出磨时安定性</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蒸煮法检验必须合格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 xml:space="preserve">初凝时间 </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≥0.75h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终凝时间</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标准稠度需水量</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比表面积</w:t>
            </w:r>
          </w:p>
        </w:tc>
        <w:tc>
          <w:tcPr>
            <w:tcW w:w="733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300～450m</w:t>
            </w:r>
            <w:r>
              <w:rPr>
                <w:rFonts w:hint="eastAsia" w:ascii="宋体" w:hAnsi="宋体" w:eastAsia="宋体" w:cs="宋体"/>
                <w:sz w:val="28"/>
                <w:szCs w:val="28"/>
                <w:vertAlign w:val="superscript"/>
                <w:lang w:val="en-US" w:eastAsia="zh-CN"/>
              </w:rPr>
              <w:t>2</w:t>
            </w:r>
            <w:r>
              <w:rPr>
                <w:rFonts w:hint="eastAsia" w:ascii="宋体" w:hAnsi="宋体" w:eastAsia="宋体" w:cs="宋体"/>
                <w:sz w:val="28"/>
                <w:szCs w:val="28"/>
                <w:vertAlign w:val="baseline"/>
                <w:lang w:val="en-US" w:eastAsia="zh-CN"/>
              </w:rPr>
              <w:t>/kg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细度（80μm筛余）</w:t>
            </w:r>
          </w:p>
        </w:tc>
        <w:tc>
          <w:tcPr>
            <w:tcW w:w="733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28d干缩率</w:t>
            </w:r>
          </w:p>
        </w:tc>
        <w:tc>
          <w:tcPr>
            <w:tcW w:w="733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耐磨性</w:t>
            </w:r>
          </w:p>
        </w:tc>
        <w:tc>
          <w:tcPr>
            <w:tcW w:w="7338"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≤3.0kg/m</w:t>
            </w:r>
            <w:r>
              <w:rPr>
                <w:rFonts w:hint="eastAsia" w:ascii="宋体" w:hAnsi="宋体" w:eastAsia="宋体" w:cs="宋体"/>
                <w:sz w:val="28"/>
                <w:szCs w:val="28"/>
                <w:vertAlign w:val="superscript"/>
                <w:lang w:val="en-US" w:eastAsia="zh-CN"/>
              </w:rPr>
              <w:t>2</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(4)粗集料</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firstLine="56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lang w:val="en-US" w:eastAsia="zh-CN"/>
        </w:rPr>
        <w:t>粗集料（砾石）要求具有良好的颗粒形状，以接近立方体或多棱角为宜，不得使用不分级的统料，应按最大公称粒径的不同采用2</w:t>
      </w:r>
      <w:r>
        <w:rPr>
          <w:rFonts w:hint="eastAsia" w:ascii="宋体" w:hAnsi="宋体" w:eastAsia="宋体" w:cs="宋体"/>
          <w:sz w:val="28"/>
          <w:szCs w:val="28"/>
          <w:vertAlign w:val="baseline"/>
          <w:lang w:val="en-US" w:eastAsia="zh-CN"/>
        </w:rPr>
        <w:t>～4个单粒级的集料进行掺配，并应符合下表的合成级配的要求。砾石最大公称粒径不应大于19mm。</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表3-3水泥混凝土粗集料技术指标</w:t>
      </w:r>
    </w:p>
    <w:tbl>
      <w:tblPr>
        <w:tblStyle w:val="5"/>
        <w:tblW w:w="10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0"/>
        <w:gridCol w:w="4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vMerge w:val="restar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项   目</w:t>
            </w:r>
          </w:p>
        </w:tc>
        <w:tc>
          <w:tcPr>
            <w:tcW w:w="4458"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vMerge w:val="continue"/>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Ⅲ级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卵石压碎值 （%）</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坚固性（按质量损失计） （%）</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针片状颗粒含量（按质量计） （%）</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含泥量（按质量计） （%）</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泥块含量（按质量计） （%）</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吸水率 （%）</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硫化物及硫酸盐含量（按SO</w:t>
            </w:r>
            <w:r>
              <w:rPr>
                <w:rFonts w:hint="eastAsia" w:ascii="宋体" w:hAnsi="宋体" w:eastAsia="宋体" w:cs="宋体"/>
                <w:position w:val="-6"/>
                <w:sz w:val="28"/>
                <w:szCs w:val="28"/>
                <w:vertAlign w:val="baseline"/>
                <w:lang w:val="en-US" w:eastAsia="zh-CN"/>
              </w:rPr>
              <w:object>
                <v:shape id="_x0000_i1025" o:spt="75" type="#_x0000_t75" style="height:10pt;width:6.95pt;" o:ole="t" filled="f" o:preferrelative="t" stroked="f" coordsize="21600,21600">
                  <v:path/>
                  <v:fill on="f" focussize="0,0"/>
                  <v:stroke on="f"/>
                  <v:imagedata r:id="rId6" o:title=""/>
                  <o:lock v:ext="edit" aspectratio="t"/>
                  <w10:wrap type="none"/>
                  <w10:anchorlock/>
                </v:shape>
                <o:OLEObject Type="Embed" ProgID="Equation.KSEE3" ShapeID="_x0000_i1025" DrawAspect="Content" ObjectID="_1468075725" r:id="rId5">
                  <o:LockedField>false</o:LockedField>
                </o:OLEObject>
              </w:object>
            </w:r>
            <w:r>
              <w:rPr>
                <w:rFonts w:hint="eastAsia" w:ascii="宋体" w:hAnsi="宋体" w:eastAsia="宋体" w:cs="宋体"/>
                <w:sz w:val="28"/>
                <w:szCs w:val="28"/>
                <w:vertAlign w:val="baseline"/>
                <w:lang w:val="en-US" w:eastAsia="zh-CN"/>
              </w:rPr>
              <w:t>质量计) （%）</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有机物含量（比色法）</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表观密度 （kg/m</w:t>
            </w:r>
            <w:r>
              <w:rPr>
                <w:rFonts w:hint="eastAsia" w:ascii="宋体" w:hAnsi="宋体" w:eastAsia="宋体" w:cs="宋体"/>
                <w:sz w:val="28"/>
                <w:szCs w:val="28"/>
                <w:vertAlign w:val="superscript"/>
                <w:lang w:val="en-US" w:eastAsia="zh-CN"/>
              </w:rPr>
              <w:t>3</w:t>
            </w:r>
            <w:r>
              <w:rPr>
                <w:rFonts w:hint="eastAsia" w:ascii="宋体" w:hAnsi="宋体" w:eastAsia="宋体" w:cs="宋体"/>
                <w:sz w:val="28"/>
                <w:szCs w:val="28"/>
                <w:vertAlign w:val="baseline"/>
                <w:lang w:val="en-US" w:eastAsia="zh-CN"/>
              </w:rPr>
              <w:t>)</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松散堆积密度 （kg/m</w:t>
            </w:r>
            <w:r>
              <w:rPr>
                <w:rFonts w:hint="eastAsia" w:ascii="宋体" w:hAnsi="宋体" w:eastAsia="宋体" w:cs="宋体"/>
                <w:sz w:val="28"/>
                <w:szCs w:val="28"/>
                <w:vertAlign w:val="superscript"/>
                <w:lang w:val="en-US" w:eastAsia="zh-CN"/>
              </w:rPr>
              <w:t>3</w:t>
            </w:r>
            <w:r>
              <w:rPr>
                <w:rFonts w:hint="eastAsia" w:ascii="宋体" w:hAnsi="宋体" w:eastAsia="宋体" w:cs="宋体"/>
                <w:sz w:val="28"/>
                <w:szCs w:val="28"/>
                <w:vertAlign w:val="baseline"/>
                <w:lang w:val="en-US" w:eastAsia="zh-CN"/>
              </w:rPr>
              <w:t>)</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空隙率 （%）</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0" w:type="dxa"/>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碱活性反应</w:t>
            </w:r>
          </w:p>
        </w:tc>
        <w:tc>
          <w:tcPr>
            <w:tcW w:w="445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4"/>
                <w:szCs w:val="24"/>
                <w:vertAlign w:val="baseline"/>
                <w:lang w:val="en-US" w:eastAsia="zh-CN"/>
              </w:rPr>
              <w:t>不得有碱活性反应或疑似碱活性反应</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both"/>
        <w:textAlignment w:val="auto"/>
        <w:outlineLvl w:val="9"/>
        <w:rPr>
          <w:rFonts w:hint="eastAsia" w:ascii="宋体" w:hAnsi="宋体" w:eastAsia="宋体" w:cs="宋体"/>
          <w:sz w:val="28"/>
          <w:szCs w:val="28"/>
          <w:vertAlign w:val="baseli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right="0" w:right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表3-4 水泥混凝土粗集料合成级配范围表</w:t>
      </w:r>
    </w:p>
    <w:tbl>
      <w:tblPr>
        <w:tblStyle w:val="5"/>
        <w:tblpPr w:leftFromText="180" w:rightFromText="180" w:vertAnchor="text" w:horzAnchor="page" w:tblpX="1794" w:tblpY="193"/>
        <w:tblOverlap w:val="never"/>
        <w:tblW w:w="101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084"/>
        <w:gridCol w:w="1084"/>
        <w:gridCol w:w="1084"/>
        <w:gridCol w:w="1084"/>
        <w:gridCol w:w="1084"/>
        <w:gridCol w:w="1084"/>
        <w:gridCol w:w="1084"/>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63" w:type="dxa"/>
            <w:vMerge w:val="restart"/>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粒径</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（mm)</w:t>
            </w:r>
          </w:p>
        </w:tc>
        <w:tc>
          <w:tcPr>
            <w:tcW w:w="8672" w:type="dxa"/>
            <w:gridSpan w:val="8"/>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方筛孔尺寸（mm)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463" w:type="dxa"/>
            <w:vMerge w:val="continue"/>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37.5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31.5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26.5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19.0</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16.0</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4.75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 w:hRule="atLeast"/>
        </w:trPr>
        <w:tc>
          <w:tcPr>
            <w:tcW w:w="1463"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合成级配</w:t>
            </w:r>
          </w:p>
        </w:tc>
        <w:tc>
          <w:tcPr>
            <w:tcW w:w="8672" w:type="dxa"/>
            <w:gridSpan w:val="8"/>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累计筛余（以质量计）（%）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trPr>
        <w:tc>
          <w:tcPr>
            <w:tcW w:w="1463"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4.75-31.5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0</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0</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0</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0-5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30-45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60-75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85-95</w:t>
            </w:r>
          </w:p>
        </w:tc>
        <w:tc>
          <w:tcPr>
            <w:tcW w:w="108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right="0" w:rightChars="0" w:firstLine="0" w:firstLineChars="0"/>
              <w:jc w:val="center"/>
              <w:textAlignment w:val="auto"/>
              <w:outlineLvl w:val="9"/>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95-100</w:t>
            </w:r>
          </w:p>
        </w:tc>
      </w:tr>
    </w:tbl>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56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(5)细集料</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细集料（中砂）要求细度模数宜在2.0～3.7之间，质地坚硬、洁净、干燥、无风化技术指标、级配范围见下表</w:t>
      </w: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表3-5 水泥混凝土细集料技术指标</w:t>
      </w:r>
    </w:p>
    <w:tbl>
      <w:tblPr>
        <w:tblStyle w:val="5"/>
        <w:tblW w:w="10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gridCol w:w="4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vMerge w:val="restart"/>
            <w:vAlign w:val="center"/>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项   目</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vMerge w:val="continue"/>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Ⅲ级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坚固性（按质量损失计） （%）</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含泥量（按质量计） （%）</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泥块含量（按质量计） （%）</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氯离子含量（按质量计） （%）</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云母含量（按质量计） （%）</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硫化物及硫酸盐含量（按SO</w:t>
            </w:r>
            <w:r>
              <w:rPr>
                <w:rFonts w:hint="eastAsia" w:ascii="宋体" w:hAnsi="宋体" w:eastAsia="宋体" w:cs="宋体"/>
                <w:position w:val="-6"/>
                <w:sz w:val="28"/>
                <w:szCs w:val="28"/>
                <w:vertAlign w:val="baseline"/>
                <w:lang w:val="en-US" w:eastAsia="zh-CN"/>
              </w:rPr>
              <w:object>
                <v:shape id="_x0000_i1026" o:spt="75" type="#_x0000_t75" style="height:10pt;width:6.95pt;" o:ole="t" filled="f" o:preferrelative="t" stroked="f" coordsize="21600,21600">
                  <v:path/>
                  <v:fill on="f" focussize="0,0"/>
                  <v:stroke on="f"/>
                  <v:imagedata r:id="rId6" o:title=""/>
                  <o:lock v:ext="edit" aspectratio="t"/>
                  <w10:wrap type="none"/>
                  <w10:anchorlock/>
                </v:shape>
                <o:OLEObject Type="Embed" ProgID="Equation.KSEE3" ShapeID="_x0000_i1026" DrawAspect="Content" ObjectID="_1468075726" r:id="rId7">
                  <o:LockedField>false</o:LockedField>
                </o:OLEObject>
              </w:object>
            </w:r>
            <w:r>
              <w:rPr>
                <w:rFonts w:hint="eastAsia" w:ascii="宋体" w:hAnsi="宋体" w:eastAsia="宋体" w:cs="宋体"/>
                <w:sz w:val="28"/>
                <w:szCs w:val="28"/>
                <w:vertAlign w:val="baseline"/>
                <w:lang w:val="en-US" w:eastAsia="zh-CN"/>
              </w:rPr>
              <w:t>质量计) （%）</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轻物质含量（按质量计）</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吸水率 （%）</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表观密度（kg/m</w:t>
            </w:r>
            <w:r>
              <w:rPr>
                <w:rFonts w:hint="eastAsia" w:ascii="宋体" w:hAnsi="宋体" w:eastAsia="宋体" w:cs="宋体"/>
                <w:sz w:val="28"/>
                <w:szCs w:val="28"/>
                <w:vertAlign w:val="superscript"/>
                <w:lang w:val="en-US" w:eastAsia="zh-CN"/>
              </w:rPr>
              <w:t>3</w:t>
            </w:r>
            <w:r>
              <w:rPr>
                <w:rFonts w:hint="eastAsia" w:ascii="宋体" w:hAnsi="宋体" w:eastAsia="宋体" w:cs="宋体"/>
                <w:sz w:val="28"/>
                <w:szCs w:val="28"/>
                <w:vertAlign w:val="baseline"/>
                <w:lang w:val="en-US" w:eastAsia="zh-CN"/>
              </w:rPr>
              <w:t>)</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松散堆积密度（kg/m</w:t>
            </w:r>
            <w:r>
              <w:rPr>
                <w:rFonts w:hint="eastAsia" w:ascii="宋体" w:hAnsi="宋体" w:eastAsia="宋体" w:cs="宋体"/>
                <w:sz w:val="28"/>
                <w:szCs w:val="28"/>
                <w:vertAlign w:val="superscript"/>
                <w:lang w:val="en-US" w:eastAsia="zh-CN"/>
              </w:rPr>
              <w:t>3</w:t>
            </w:r>
            <w:r>
              <w:rPr>
                <w:rFonts w:hint="eastAsia" w:ascii="宋体" w:hAnsi="宋体" w:eastAsia="宋体" w:cs="宋体"/>
                <w:sz w:val="28"/>
                <w:szCs w:val="28"/>
                <w:vertAlign w:val="baseline"/>
                <w:lang w:val="en-US" w:eastAsia="zh-CN"/>
              </w:rPr>
              <w:t>)</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空隙率 （%）</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有机物含量（比色法）</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碱活性反应</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不得有碱活性反应或疑似碱活性反应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28"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结晶态二氧化硅含量 （%）</w:t>
            </w:r>
          </w:p>
        </w:tc>
        <w:tc>
          <w:tcPr>
            <w:tcW w:w="4800"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≥25</w:t>
            </w:r>
          </w:p>
        </w:tc>
      </w:tr>
    </w:tbl>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eastAsia="zh-CN"/>
        </w:rPr>
      </w:pPr>
    </w:p>
    <w:p>
      <w:pPr>
        <w:keepNext w:val="0"/>
        <w:keepLines w:val="0"/>
        <w:pageBreakBefore w:val="0"/>
        <w:widowControl w:val="0"/>
        <w:kinsoku/>
        <w:wordWrap/>
        <w:overflowPunct/>
        <w:topLinePunct w:val="0"/>
        <w:autoSpaceDE/>
        <w:autoSpaceDN/>
        <w:bidi w:val="0"/>
        <w:adjustRightInd/>
        <w:snapToGrid/>
        <w:spacing w:line="420" w:lineRule="exact"/>
        <w:ind w:left="0" w:leftChars="0" w:right="0" w:rightChars="0" w:firstLine="560" w:firstLineChars="0"/>
        <w:jc w:val="center"/>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eastAsia="zh-CN"/>
        </w:rPr>
        <w:t>表</w:t>
      </w:r>
      <w:r>
        <w:rPr>
          <w:rFonts w:hint="eastAsia" w:ascii="宋体" w:hAnsi="宋体" w:eastAsia="宋体" w:cs="宋体"/>
          <w:sz w:val="28"/>
          <w:szCs w:val="28"/>
          <w:lang w:val="en-US" w:eastAsia="zh-CN"/>
        </w:rPr>
        <w:t xml:space="preserve"> 3-6 水泥混凝土细集料级配范围表</w:t>
      </w:r>
    </w:p>
    <w:tbl>
      <w:tblPr>
        <w:tblStyle w:val="5"/>
        <w:tblW w:w="10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1125"/>
        <w:gridCol w:w="1125"/>
        <w:gridCol w:w="1125"/>
        <w:gridCol w:w="1125"/>
        <w:gridCol w:w="1125"/>
        <w:gridCol w:w="1126"/>
        <w:gridCol w:w="1126"/>
        <w:gridCol w:w="1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1125" w:type="dxa"/>
            <w:vMerge w:val="restart"/>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砂分级</w:t>
            </w:r>
          </w:p>
        </w:tc>
        <w:tc>
          <w:tcPr>
            <w:tcW w:w="9003" w:type="dxa"/>
            <w:gridSpan w:val="8"/>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方筛孔尺寸（mm）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5" w:type="dxa"/>
            <w:vMerge w:val="continue"/>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9.5</w:t>
            </w: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4.75</w:t>
            </w: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2.63</w:t>
            </w: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1.18</w:t>
            </w: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0.60</w:t>
            </w:r>
          </w:p>
        </w:tc>
        <w:tc>
          <w:tcPr>
            <w:tcW w:w="1126"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0.3</w:t>
            </w:r>
          </w:p>
        </w:tc>
        <w:tc>
          <w:tcPr>
            <w:tcW w:w="1126"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0.15</w:t>
            </w:r>
          </w:p>
        </w:tc>
        <w:tc>
          <w:tcPr>
            <w:tcW w:w="1126"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级配</w:t>
            </w:r>
          </w:p>
        </w:tc>
        <w:tc>
          <w:tcPr>
            <w:tcW w:w="9003" w:type="dxa"/>
            <w:gridSpan w:val="8"/>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累计筛余（以质量计）（%）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中砂</w:t>
            </w: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100</w:t>
            </w: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90-100</w:t>
            </w: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75-100</w:t>
            </w: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50-90</w:t>
            </w:r>
          </w:p>
        </w:tc>
        <w:tc>
          <w:tcPr>
            <w:tcW w:w="1125"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30-60</w:t>
            </w:r>
          </w:p>
        </w:tc>
        <w:tc>
          <w:tcPr>
            <w:tcW w:w="1126"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8-30</w:t>
            </w:r>
          </w:p>
        </w:tc>
        <w:tc>
          <w:tcPr>
            <w:tcW w:w="1126"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0-10</w:t>
            </w:r>
          </w:p>
        </w:tc>
        <w:tc>
          <w:tcPr>
            <w:tcW w:w="1126" w:type="dxa"/>
          </w:tcPr>
          <w:p>
            <w:pPr>
              <w:keepNext w:val="0"/>
              <w:keepLines w:val="0"/>
              <w:pageBreakBefore w:val="0"/>
              <w:widowControl w:val="0"/>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0-5</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56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(6)水</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符合现行《生活饮用水卫生标准》的饮用水可直接作为混凝土搅拌和养生用水。</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非饮用水应进行水质检验，并应符合下表规定，还应与蒸馏水进行水泥凝结时间与水泥胶砂强度的对比试；对于试验的水泥初凝与终凝时间差均不应大于30min，水泥胶砂3d和28d强度不应低于蒸馏沙沙配置的水泥胶砂3d和28d强度的90%。</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表3-7 非饮用水质量标准 </w:t>
      </w:r>
    </w:p>
    <w:tbl>
      <w:tblPr>
        <w:tblStyle w:val="5"/>
        <w:tblW w:w="101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8"/>
        <w:gridCol w:w="3690"/>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8"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序号</w:t>
            </w:r>
          </w:p>
        </w:tc>
        <w:tc>
          <w:tcPr>
            <w:tcW w:w="369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项  目</w:t>
            </w:r>
          </w:p>
        </w:tc>
        <w:tc>
          <w:tcPr>
            <w:tcW w:w="420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8"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w:t>
            </w:r>
          </w:p>
        </w:tc>
        <w:tc>
          <w:tcPr>
            <w:tcW w:w="369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PH值≥</w:t>
            </w:r>
          </w:p>
        </w:tc>
        <w:tc>
          <w:tcPr>
            <w:tcW w:w="420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8"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w:t>
            </w:r>
          </w:p>
        </w:tc>
        <w:tc>
          <w:tcPr>
            <w:tcW w:w="369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C1-含量（mg/L）≤</w:t>
            </w:r>
          </w:p>
        </w:tc>
        <w:tc>
          <w:tcPr>
            <w:tcW w:w="420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8"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3</w:t>
            </w:r>
          </w:p>
        </w:tc>
        <w:tc>
          <w:tcPr>
            <w:tcW w:w="369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碱含量（mg/L)≤</w:t>
            </w:r>
          </w:p>
        </w:tc>
        <w:tc>
          <w:tcPr>
            <w:tcW w:w="420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2700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8"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4</w:t>
            </w:r>
          </w:p>
        </w:tc>
        <w:tc>
          <w:tcPr>
            <w:tcW w:w="369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碱含量（mg/L）≤</w:t>
            </w:r>
          </w:p>
        </w:tc>
        <w:tc>
          <w:tcPr>
            <w:tcW w:w="420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8"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5</w:t>
            </w:r>
          </w:p>
        </w:tc>
        <w:tc>
          <w:tcPr>
            <w:tcW w:w="369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可溶物含量（mg/L）≤</w:t>
            </w:r>
          </w:p>
        </w:tc>
        <w:tc>
          <w:tcPr>
            <w:tcW w:w="420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8"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6</w:t>
            </w:r>
          </w:p>
        </w:tc>
        <w:tc>
          <w:tcPr>
            <w:tcW w:w="369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不溶物含量（mg/L)≤</w:t>
            </w:r>
          </w:p>
        </w:tc>
        <w:tc>
          <w:tcPr>
            <w:tcW w:w="420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238"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auto"/>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7</w:t>
            </w:r>
          </w:p>
        </w:tc>
        <w:tc>
          <w:tcPr>
            <w:tcW w:w="3690" w:type="dxa"/>
          </w:tcPr>
          <w:p>
            <w:pPr>
              <w:keepNext w:val="0"/>
              <w:keepLines w:val="0"/>
              <w:pageBreakBefore w:val="0"/>
              <w:widowControl w:val="0"/>
              <w:numPr>
                <w:ilvl w:val="0"/>
                <w:numId w:val="0"/>
              </w:numPr>
              <w:kinsoku/>
              <w:wordWrap/>
              <w:overflowPunct/>
              <w:topLinePunct w:val="0"/>
              <w:autoSpaceDE/>
              <w:autoSpaceDN/>
              <w:bidi w:val="0"/>
              <w:adjustRightInd/>
              <w:snapToGrid/>
              <w:spacing w:line="600" w:lineRule="auto"/>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其他杂物</w:t>
            </w:r>
          </w:p>
        </w:tc>
        <w:tc>
          <w:tcPr>
            <w:tcW w:w="420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不应有漂浮的油脂和泡沫；</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center"/>
              <w:textAlignment w:val="auto"/>
              <w:outlineLvl w:val="9"/>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不应有明显的颜色和异味</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560" w:leftChars="0"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（7）引气剂</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为提高路面结构耐久性及强度，水泥混凝土中须掺入水泥剂量的1.5%引气减水剂。外加剂各项性能的检验方法应符合夙行的《混凝土外加剂》的规定。</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8.5水泥混凝土路面板块尺寸及接缝的设计要求</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板块设计</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板块设计：一般板长4.0m，板宽3.5（4.0</w:t>
      </w:r>
      <w:bookmarkStart w:id="0" w:name="_GoBack"/>
      <w:bookmarkEnd w:id="0"/>
      <w:r>
        <w:rPr>
          <w:rFonts w:hint="eastAsia" w:ascii="宋体" w:hAnsi="宋体" w:eastAsia="宋体" w:cs="宋体"/>
          <w:color w:val="auto"/>
          <w:sz w:val="28"/>
          <w:szCs w:val="28"/>
          <w:lang w:val="en-US" w:eastAsia="zh-CN"/>
        </w:rPr>
        <w:t>）m。</w:t>
      </w:r>
    </w:p>
    <w:p>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right="0" w:rightChars="0" w:firstLine="560" w:firstLine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接缝设计</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①纵向施工缝：平交道纵缝处设施工缝，采用平缝加拉杆型。曲线段路面加宽侧设施工缝，加宽板在变宽段起终点处的宽度不应小于1m。</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②横向施工缝：横向施工缝间距由施工进度控制并尽量赶在缩缝或胀缝处。设在缩缝处的施工缝，应采用加传力杆的平缝型式，设在胀缝处的施工缝，其构造与胀缝相同，胀缝两侧各设三道设传力杆缩缝。</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③胀缝：在临近固定构造物或与其他道路相交处应设胀缝，胀缝宽2cm。</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④横向缩缝：采用切割的假缝型式。</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⑤交叉口接缝布设：两条道路正交时，各条道路和直道部分均保持本身纵缝的连贯（如果设置了纵缝），而相交路段内各条道路的横缝位置应按相对道路的纵缝间距作相应变动，保证两条道路的纵横缝垂直相交，互不错位。两条道路斜交时，主要道路的直道部分保持纵缝的连贯，而相交路段内的横缝位置应按次要道路的纵缝间距作相、应变动，保证与次要道路的纵缝相连接。相交道路弯道加宽部分的接缝布置，应不出现或少出现错缝和锐角板；当出现错缝和锐角板时，加设角隅补强钢筋。</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(3)水泥混凝土板钢筋设计</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①拉杆：采用螺纹钢筋，中央10cm范围内涂防锈油漆，设在板的中央，最外侧拉杆距横向接缝的距离不得小于lOcm。</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②传力杆：采用光圆钢筋，滑动端涂防锈油漆后再涂沥青，设在板的中央。其最外侧的传力杆距纵向接缝或自由边的距离为15～25cm。</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③支架钢筋：传力杆支架钢筋及横筋采用光圆钢筋。</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④水泥混凝土板钢筋补强：锐角面层角隅，配置角隅钢筋；普通混凝土面层自由边缘，根据薄弱情况设置边缘加强钢筋。</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(4)平整度要求</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混凝土面层用3m直尺检测平整度作为施工过程中质量控制检测项目，直尺与路面之间的最大间隙应小于5mm。</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(5)抗滑性要求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路面表面必须采用拉毛、拉槽、压槽或刻槽等方法筑做表面构造，—在交工验收时构造深度：一般路段为0.5～0.9mm，特殊路段(指急弯、陡坡和交叉口附近)为0.6-1.1mm。</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b/>
          <w:bCs/>
          <w:sz w:val="30"/>
          <w:szCs w:val="30"/>
          <w:lang w:val="en-US" w:eastAsia="zh-CN"/>
        </w:rPr>
      </w:pPr>
      <w:r>
        <w:rPr>
          <w:rFonts w:hint="eastAsia" w:ascii="宋体" w:hAnsi="宋体" w:eastAsia="宋体" w:cs="宋体"/>
          <w:b/>
          <w:bCs/>
          <w:sz w:val="30"/>
          <w:szCs w:val="30"/>
          <w:lang w:val="en-US" w:eastAsia="zh-CN"/>
        </w:rPr>
        <w:t>9、施工方法及注意事项</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9.1路基</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路基填筑应根据设计纵断面采用水平分层填筑、分层压实法施工，即按照横断面全宽分成水平层次逐层向上填筑。如原地面不平，应由最低处分层填起，每填一层，经过压实检验符合规定要求之后，再填上一层。分层的最大松铺厚度不应超过30cm，填筑路床顶最后一层的最小压实厚度应不小于lOcm。路床顶面横坡应与路拱横坡一致。</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(2)对于路基基底处理段落，必须将不良土质全部清除，然后回填压实。</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(3)路基压实控制在最佳含水量时进行。</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(4)路肩要求坚实平整，压实度达到93％以上。</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(5)土基顶面的施工验收弯沉值为292.5(0.01mm)。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9.2路面面层</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路面施工要严格控制厚度及标高，以保证设计强度与路面平整度。施工中应每隔一定时间进行现场检验，混凝土必须采用机械搅拌，搅拌时间及搅拌量应通过试验确定。出料到浇注的停放时间不宜过长，采用捣入式振捣时，振捣时间不宜超过20s。</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(2)水泥混凝土路面应严格控制材料配合比及水泥用量，以减少收缩裂缝，混合料应具有良好的流动性和饱水性，水泥混凝土运输必须严密，以免水泥浆流失。</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(3)水泥混凝土路面各种接缝和钢筋必须按设计布设，横向缩缝必须按时切割，以防缩裂。填缝时要求缝内清洁、干燥、无杂物。</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(4)水泥混凝土路面施工时要与已有路面连接平顺，做好调整过度。</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(5)水泥混凝土路面抹平采用电动抹平机。</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其他未尽事宜，请按交通部部颁有关规范、标准办理。</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9.3路面基层</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(1)基层混合料按设计厚度一次摊铺碾压成型，严格按设计施工。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(2)要控制好混合料含水量，使混合料运到现场摊铺后碾压时的含水量接近最佳含水量。</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(3)基层施工时应尽量缩短从拌和到完成碾压之间的时间，以减少由于拌和到碾压终了因时间过长而造成的混合料的强度损失。</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(4)基层施工时作好养生工作，碾压成型养生7天，待达到早期强度后再进行面层施工。</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(5)基层、垫层施工程序和要求以及质量检查，按交通部颁布的《公路路面基层施工技术细则》(JTG／T F20-2015)执行。</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其他未尽事宜，请按交通部部颁有关规范、标准办理。</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3213" w:firstLineChars="1000"/>
        <w:jc w:val="both"/>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第八篇  环境保护与景观设计</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着“不破坏就是最大的保护”的原则，在本设计中尽量减少取弃土坑的数量，且在施工结束后，做好植被的恢复。营建场地也尽量选在荒地上，最大限度地减少施工对环境造成的破坏。同时在施工期间做好洒水等降尘工作。</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right="0" w:rightChars="0" w:firstLine="560"/>
        <w:jc w:val="both"/>
        <w:textAlignment w:val="auto"/>
        <w:outlineLvl w:val="9"/>
        <w:rPr>
          <w:rFonts w:hint="eastAsia" w:ascii="宋体" w:hAnsi="宋体" w:eastAsia="宋体" w:cs="宋体"/>
          <w:sz w:val="28"/>
          <w:szCs w:val="28"/>
          <w:lang w:val="en-US" w:eastAsia="zh-CN"/>
        </w:rPr>
      </w:pPr>
    </w:p>
    <w:sectPr>
      <w:headerReference r:id="rId3" w:type="default"/>
      <w:pgSz w:w="23760" w:h="16781" w:orient="landscape"/>
      <w:pgMar w:top="1440" w:right="1800" w:bottom="1440" w:left="1800" w:header="851" w:footer="992" w:gutter="0"/>
      <w:pgNumType w:fmt="decimal"/>
      <w:cols w:space="1056" w:num="2"/>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rPr>
        <w:rFonts w:hint="eastAsia"/>
        <w:lang w:val="en-US" w:eastAsia="zh-CN"/>
      </w:rPr>
    </w:pPr>
  </w:p>
  <w:p>
    <w:pPr>
      <w:pBdr>
        <w:bottom w:val="single" w:color="auto" w:sz="4" w:space="0"/>
      </w:pBdr>
      <w:jc w:val="both"/>
      <w:rPr>
        <w:rFonts w:hint="eastAsia" w:ascii="宋体" w:hAnsi="宋体" w:eastAsia="宋体" w:cs="宋体"/>
        <w:lang w:val="en-US" w:eastAsia="zh-CN"/>
      </w:rPr>
    </w:pPr>
    <w:r>
      <w:rPr>
        <w:rFonts w:hint="eastAsia"/>
        <w:lang w:val="en-US" w:eastAsia="zh-CN"/>
      </w:rPr>
      <w:t xml:space="preserve">山泉镇平安村、前太平村巷道项目                                                                                                                                  </w:t>
    </w:r>
    <w:r>
      <w:rPr>
        <w:rFonts w:hint="eastAsia" w:ascii="宋体" w:hAnsi="宋体" w:eastAsia="宋体" w:cs="宋体"/>
        <w:lang w:val="en-US" w:eastAsia="zh-CN"/>
      </w:rPr>
      <w:t xml:space="preserve">  S1-2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7CC8F6"/>
    <w:multiLevelType w:val="singleLevel"/>
    <w:tmpl w:val="587CC8F6"/>
    <w:lvl w:ilvl="0" w:tentative="0">
      <w:start w:val="1"/>
      <w:numFmt w:val="decimal"/>
      <w:suff w:val="nothing"/>
      <w:lvlText w:val="（%1）"/>
      <w:lvlJc w:val="left"/>
    </w:lvl>
  </w:abstractNum>
  <w:abstractNum w:abstractNumId="1">
    <w:nsid w:val="587CCBE0"/>
    <w:multiLevelType w:val="singleLevel"/>
    <w:tmpl w:val="587CCBE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hNGYwMjhiMTk3MzdiZjg1MmEwZjNlNzUzM2FmYjkifQ=="/>
  </w:docVars>
  <w:rsids>
    <w:rsidRoot w:val="79BA3175"/>
    <w:rsid w:val="01CF356D"/>
    <w:rsid w:val="01E5612C"/>
    <w:rsid w:val="037B5031"/>
    <w:rsid w:val="03AC7DC8"/>
    <w:rsid w:val="04275653"/>
    <w:rsid w:val="06925271"/>
    <w:rsid w:val="06E33F16"/>
    <w:rsid w:val="07197F5C"/>
    <w:rsid w:val="088F0049"/>
    <w:rsid w:val="08B670B7"/>
    <w:rsid w:val="098E60F4"/>
    <w:rsid w:val="0A863042"/>
    <w:rsid w:val="0DD405FA"/>
    <w:rsid w:val="0FC567F7"/>
    <w:rsid w:val="12775FFC"/>
    <w:rsid w:val="12D41EBE"/>
    <w:rsid w:val="1486143A"/>
    <w:rsid w:val="16003563"/>
    <w:rsid w:val="170B7DE6"/>
    <w:rsid w:val="17ED6336"/>
    <w:rsid w:val="181807E5"/>
    <w:rsid w:val="18B62D59"/>
    <w:rsid w:val="192444C5"/>
    <w:rsid w:val="1B1E5990"/>
    <w:rsid w:val="1FC26D98"/>
    <w:rsid w:val="1FD73671"/>
    <w:rsid w:val="1FF13157"/>
    <w:rsid w:val="201D73B2"/>
    <w:rsid w:val="20B4143E"/>
    <w:rsid w:val="20BE730E"/>
    <w:rsid w:val="21BA7D91"/>
    <w:rsid w:val="23BC51B5"/>
    <w:rsid w:val="23C13E08"/>
    <w:rsid w:val="249B7A05"/>
    <w:rsid w:val="28667413"/>
    <w:rsid w:val="28E94A86"/>
    <w:rsid w:val="29266901"/>
    <w:rsid w:val="29ED5136"/>
    <w:rsid w:val="2AC952C5"/>
    <w:rsid w:val="2D2A4F2B"/>
    <w:rsid w:val="2DB927E8"/>
    <w:rsid w:val="2F2B0C2E"/>
    <w:rsid w:val="3063619C"/>
    <w:rsid w:val="306E0AAA"/>
    <w:rsid w:val="30B33864"/>
    <w:rsid w:val="30CD0BEB"/>
    <w:rsid w:val="31633960"/>
    <w:rsid w:val="338A3416"/>
    <w:rsid w:val="34F67B32"/>
    <w:rsid w:val="3A5869FC"/>
    <w:rsid w:val="3AD27599"/>
    <w:rsid w:val="3B1044D2"/>
    <w:rsid w:val="3B94679D"/>
    <w:rsid w:val="3BB8625F"/>
    <w:rsid w:val="3D102836"/>
    <w:rsid w:val="3D72428B"/>
    <w:rsid w:val="3E617362"/>
    <w:rsid w:val="412241F2"/>
    <w:rsid w:val="4163352A"/>
    <w:rsid w:val="446F16D5"/>
    <w:rsid w:val="45070B1C"/>
    <w:rsid w:val="45505FFA"/>
    <w:rsid w:val="46092971"/>
    <w:rsid w:val="46715F47"/>
    <w:rsid w:val="4908578D"/>
    <w:rsid w:val="4A617AE6"/>
    <w:rsid w:val="4BD57CF2"/>
    <w:rsid w:val="4D79516C"/>
    <w:rsid w:val="4EFF45C8"/>
    <w:rsid w:val="50027D33"/>
    <w:rsid w:val="527C32D7"/>
    <w:rsid w:val="53351C50"/>
    <w:rsid w:val="535372FB"/>
    <w:rsid w:val="53644A35"/>
    <w:rsid w:val="580931F9"/>
    <w:rsid w:val="59C504D9"/>
    <w:rsid w:val="5DD83E27"/>
    <w:rsid w:val="5DDF1338"/>
    <w:rsid w:val="5E120DFD"/>
    <w:rsid w:val="5F320163"/>
    <w:rsid w:val="5F341CF4"/>
    <w:rsid w:val="5F3D16C2"/>
    <w:rsid w:val="607A0E0E"/>
    <w:rsid w:val="612666D9"/>
    <w:rsid w:val="61C33A32"/>
    <w:rsid w:val="625022F8"/>
    <w:rsid w:val="63E40510"/>
    <w:rsid w:val="64AF0292"/>
    <w:rsid w:val="65DE09BD"/>
    <w:rsid w:val="6A1D3AB7"/>
    <w:rsid w:val="6AA7074B"/>
    <w:rsid w:val="6BB22D00"/>
    <w:rsid w:val="6BFF1C28"/>
    <w:rsid w:val="6C5A5EE3"/>
    <w:rsid w:val="6C6E3F3F"/>
    <w:rsid w:val="6CEE6069"/>
    <w:rsid w:val="72094A70"/>
    <w:rsid w:val="73161388"/>
    <w:rsid w:val="74192C08"/>
    <w:rsid w:val="74CD1095"/>
    <w:rsid w:val="75396341"/>
    <w:rsid w:val="758E44FC"/>
    <w:rsid w:val="75F67901"/>
    <w:rsid w:val="76BB0DC4"/>
    <w:rsid w:val="77437077"/>
    <w:rsid w:val="78FF6E3A"/>
    <w:rsid w:val="79BA3175"/>
    <w:rsid w:val="7A65360D"/>
    <w:rsid w:val="7B172635"/>
    <w:rsid w:val="7CCF2977"/>
    <w:rsid w:val="7D51545F"/>
    <w:rsid w:val="7E8544CF"/>
    <w:rsid w:val="7E995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一级 Char"/>
    <w:basedOn w:val="1"/>
    <w:qFormat/>
    <w:uiPriority w:val="0"/>
    <w:pPr>
      <w:spacing w:before="240" w:line="480" w:lineRule="exact"/>
      <w:ind w:firstLine="600" w:firstLineChars="200"/>
    </w:pPr>
    <w:rPr>
      <w:rFonts w:ascii="黑体" w:eastAsia="黑体"/>
      <w:snapToGrid w:val="0"/>
      <w:color w:val="000080"/>
      <w:kern w:val="0"/>
      <w:sz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7434</Words>
  <Characters>8375</Characters>
  <Lines>0</Lines>
  <Paragraphs>0</Paragraphs>
  <TotalTime>2</TotalTime>
  <ScaleCrop>false</ScaleCrop>
  <LinksUpToDate>false</LinksUpToDate>
  <CharactersWithSpaces>8654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2017-01-16T08:59:00Z</dcterms:created>
  <dc:creator>Administrator</dc:creator>
  <cp:lastModifiedBy>LPL</cp:lastModifiedBy>
  <cp:lastPrinted>2020-04-04T13:54:00Z</cp:lastPrinted>
  <dcterms:modified xsi:type="dcterms:W3CDTF">2023-02-05T14:58:40Z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3A1E99B62E9641C196BE807ED3C915CC</vt:lpwstr>
  </property>
</Properties>
</file>