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对乙方的工作考评标准：</w:t>
      </w:r>
    </w:p>
    <w:p>
      <w:pPr>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采用定期与不定期相结合的考核方式，每周对景区管理检查考核3次以上；</w:t>
      </w:r>
    </w:p>
    <w:p>
      <w:pPr>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要求检查考核到位，对发现的问题及时登记在册、当班班长签字，不能姑息迁就；</w:t>
      </w:r>
    </w:p>
    <w:p>
      <w:pPr>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要认真落实工作责任，明确各自职责，进一步提高养护清扫管理水平；</w:t>
      </w:r>
    </w:p>
    <w:p>
      <w:pPr>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考评分值为每分5元，当月累计计算；</w:t>
      </w:r>
    </w:p>
    <w:tbl>
      <w:tblPr>
        <w:tblStyle w:val="6"/>
        <w:tblW w:w="10084" w:type="dxa"/>
        <w:tblInd w:w="96" w:type="dxa"/>
        <w:tblLayout w:type="autofit"/>
        <w:tblCellMar>
          <w:top w:w="0" w:type="dxa"/>
          <w:left w:w="108" w:type="dxa"/>
          <w:bottom w:w="0" w:type="dxa"/>
          <w:right w:w="108" w:type="dxa"/>
        </w:tblCellMar>
      </w:tblPr>
      <w:tblGrid>
        <w:gridCol w:w="1175"/>
        <w:gridCol w:w="3649"/>
        <w:gridCol w:w="5260"/>
      </w:tblGrid>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考核内容</w:t>
            </w:r>
          </w:p>
        </w:tc>
        <w:tc>
          <w:tcPr>
            <w:tcW w:w="3649"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评分标准</w:t>
            </w:r>
          </w:p>
        </w:tc>
        <w:tc>
          <w:tcPr>
            <w:tcW w:w="5260"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扣分标准</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(一)一级公园、二级公园、水面、过桥通道、木栈道、公共场所保洁管理</w:t>
            </w:r>
          </w:p>
        </w:tc>
        <w:tc>
          <w:tcPr>
            <w:tcW w:w="3649"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在规定时间内按照“五无、五净、四根清”即：人行步道、广场及木栈道清扫保洁，无积尘，边角无淤泥，无瓜皮果壳、纸屑、烟蒂、废弃物等，无垃圾包、暴露垃圾、无乱泼污水,人行道上无杂草，绿化树上无粘挂塑料袋、无卫生死角，无杂物乱堆放、暴露垃圾、污水积存，无焚烧垃圾现象，无张贴涂写，冰棍杆等杂物、无浮土、无积水和残雪、车行路净、人行路净、路边石根净、雨水口净、路旁绿地净、墙根清、树根清、电柱清、隔离栏根清的标准进行。</w:t>
            </w:r>
          </w:p>
        </w:tc>
        <w:tc>
          <w:tcPr>
            <w:tcW w:w="5260" w:type="dxa"/>
            <w:vMerge w:val="restart"/>
            <w:tcBorders>
              <w:top w:val="single" w:color="auto" w:sz="4" w:space="0"/>
              <w:left w:val="single" w:color="auto" w:sz="4" w:space="0"/>
              <w:bottom w:val="single" w:color="auto" w:sz="4" w:space="0"/>
              <w:right w:val="single" w:color="auto" w:sz="4" w:space="0"/>
            </w:tcBorders>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1、人行道、绿地内有塑膜、果皮、纸屑等杂物，树上有塑料袋每3处扣1分。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2、有人畜粪便每3处扣1分。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3、路面有浮土3处扣1分，路牙子有浮土每10延长米有3处扣2分。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4、有垃圾堆，每两堆扣1分。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5、焚烧垃圾每处扣5分。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6、夏季雨后24小时路面有积水超过2平方米每3处扣2分。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7、较大废弃物、秋季菜叶树叶在路面存留每3处扣1分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8、晨清扫不彻底每处扣1分，晨清扫每漏收3堆扣1分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9、水面和晨清扫及晚延时保洁没有按规定时间作业或完不成清扫保洁任务扣2分。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10、清扫保洁人员按新定额标准配备上岗率达不到96%扣5分。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11、路边石、电线杆等道路附属设施根部，积存灰沙堆或有垃圾、废弃物设施，公交站点有小广告每2处扣1分。</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eastAsia="zh-CN"/>
                <w14:textFill>
                  <w14:solidFill>
                    <w14:schemeClr w14:val="tx1"/>
                  </w14:solidFill>
                </w14:textFill>
              </w:rPr>
              <w:t>二</w:t>
            </w:r>
            <w:r>
              <w:rPr>
                <w:rFonts w:hint="eastAsia" w:hAnsi="宋体" w:cs="宋体"/>
                <w:color w:val="000000" w:themeColor="text1"/>
                <w14:textFill>
                  <w14:solidFill>
                    <w14:schemeClr w14:val="tx1"/>
                  </w14:solidFill>
                </w14:textFill>
              </w:rPr>
              <w:t>)环卫设施管理</w:t>
            </w: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spacing w:after="24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1.果皮箱设施完好，箱体整洁、箱内垃圾及时清理，周边无垃圾，无积留污水渗液等。</w:t>
            </w:r>
            <w:r>
              <w:rPr>
                <w:rFonts w:hint="eastAsia" w:hAnsi="宋体" w:cs="宋体"/>
                <w:color w:val="000000" w:themeColor="text1"/>
                <w14:textFill>
                  <w14:solidFill>
                    <w14:schemeClr w14:val="tx1"/>
                  </w14:solidFill>
                </w14:textFill>
              </w:rPr>
              <w:br w:type="textWrapping"/>
            </w:r>
          </w:p>
        </w:tc>
        <w:tc>
          <w:tcPr>
            <w:tcW w:w="5260"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1、果皮箱不洁扣2分、周围有垃圾每2处扣1分。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2、垃圾箱清运不及时（超过2/3），每2个扣1分，垃圾箱、桶满溢每2个扣1分。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3、垃圾箱周围有垃圾，扣1分。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 xml:space="preserve">4、垃圾箱摆放不整齐、箱体不洁、箱体污迹、乱贴乱画扣1分，箱体损坏不上报扣1分。  </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2.垃圾箱设施完好、整洁，摆放整齐无移位，无满溢、无裸露垃圾，周边环境卫生清洁。</w:t>
            </w: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w:t>
            </w:r>
            <w:r>
              <w:rPr>
                <w:rFonts w:hint="eastAsia" w:hAnsi="宋体" w:cs="宋体"/>
                <w:color w:val="000000" w:themeColor="text1"/>
                <w:lang w:eastAsia="zh-CN"/>
                <w14:textFill>
                  <w14:solidFill>
                    <w14:schemeClr w14:val="tx1"/>
                  </w14:solidFill>
                </w14:textFill>
              </w:rPr>
              <w:t>三</w:t>
            </w:r>
            <w:r>
              <w:rPr>
                <w:rFonts w:hint="eastAsia" w:hAnsi="宋体" w:cs="宋体"/>
                <w:color w:val="000000" w:themeColor="text1"/>
                <w14:textFill>
                  <w14:solidFill>
                    <w14:schemeClr w14:val="tx1"/>
                  </w14:solidFill>
                </w14:textFill>
              </w:rPr>
              <w:t>)垃圾管理</w:t>
            </w: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spacing w:after="24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1.生活垃圾清运及时，做到日产日清。</w:t>
            </w:r>
          </w:p>
        </w:tc>
        <w:tc>
          <w:tcPr>
            <w:tcW w:w="5260"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1、没按规定时间清运作业，在规定时间内完不成清运作业的，每处扣1分。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2、清运车辆有乱倒、乱卸、乱抛垃圾的，每台车扣2分。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 xml:space="preserve">3、清运车辆驾驶员不按操作规程作业，造成一定影响的扣2分。 </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p>
            <w:pPr>
              <w:adjustRightInd/>
              <w:rPr>
                <w:rFonts w:hAnsi="宋体" w:cs="宋体"/>
                <w:color w:val="000000" w:themeColor="text1"/>
                <w14:textFill>
                  <w14:solidFill>
                    <w14:schemeClr w14:val="tx1"/>
                  </w14:solidFill>
                </w14:textFill>
              </w:rPr>
            </w:pPr>
          </w:p>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2.无遗洒、无泄漏，垃圾废物自行处理。</w:t>
            </w:r>
          </w:p>
          <w:p>
            <w:pPr>
              <w:pStyle w:val="5"/>
              <w:ind w:firstLine="480"/>
              <w:rPr>
                <w:color w:val="000000" w:themeColor="text1"/>
                <w14:textFill>
                  <w14:solidFill>
                    <w14:schemeClr w14:val="tx1"/>
                  </w14:solidFill>
                </w14:textFill>
              </w:rPr>
            </w:pPr>
          </w:p>
          <w:p>
            <w:pPr>
              <w:pStyle w:val="5"/>
              <w:ind w:firstLine="480"/>
              <w:rPr>
                <w:color w:val="000000" w:themeColor="text1"/>
                <w14:textFill>
                  <w14:solidFill>
                    <w14:schemeClr w14:val="tx1"/>
                  </w14:solidFill>
                </w14:textFill>
              </w:rPr>
            </w:pPr>
          </w:p>
          <w:p>
            <w:pPr>
              <w:pStyle w:val="5"/>
              <w:ind w:firstLine="480"/>
              <w:rPr>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39"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eastAsia="zh-CN"/>
                <w14:textFill>
                  <w14:solidFill>
                    <w14:schemeClr w14:val="tx1"/>
                  </w14:solidFill>
                </w14:textFill>
              </w:rPr>
              <w:t>四</w:t>
            </w:r>
            <w:r>
              <w:rPr>
                <w:rFonts w:hint="eastAsia" w:hAnsi="宋体" w:cs="宋体"/>
                <w:color w:val="000000" w:themeColor="text1"/>
                <w14:textFill>
                  <w14:solidFill>
                    <w14:schemeClr w14:val="tx1"/>
                  </w14:solidFill>
                </w14:textFill>
              </w:rPr>
              <w:t>)环卫管理</w:t>
            </w:r>
          </w:p>
        </w:tc>
        <w:tc>
          <w:tcPr>
            <w:tcW w:w="3649"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园林绿化中心管理三科及时对环卫工作进行检查和考评</w:t>
            </w:r>
            <w:bookmarkStart w:id="0" w:name="_GoBack"/>
            <w:bookmarkEnd w:id="0"/>
            <w:r>
              <w:rPr>
                <w:rFonts w:hint="eastAsia" w:hAnsi="宋体" w:cs="宋体"/>
                <w:color w:val="000000" w:themeColor="text1"/>
                <w14:textFill>
                  <w14:solidFill>
                    <w14:schemeClr w14:val="tx1"/>
                  </w14:solidFill>
                </w14:textFill>
              </w:rPr>
              <w:t>。</w:t>
            </w:r>
          </w:p>
        </w:tc>
        <w:tc>
          <w:tcPr>
            <w:tcW w:w="5260"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1、对检查中发现的问题，反应不迅速，处理不及时，每次扣2分。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2、对不积极响应上级工作安排，每次扣5分。</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restart"/>
            <w:tcBorders>
              <w:top w:val="single" w:color="auto" w:sz="4" w:space="0"/>
              <w:left w:val="single" w:color="auto" w:sz="4" w:space="0"/>
              <w:bottom w:val="single" w:color="auto" w:sz="4" w:space="0"/>
              <w:right w:val="single" w:color="auto" w:sz="4" w:space="0"/>
            </w:tcBorders>
            <w:noWrap/>
            <w:vAlign w:val="center"/>
          </w:tcPr>
          <w:p>
            <w:pPr>
              <w:adjustRightInd/>
              <w:jc w:val="center"/>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w:t>
            </w:r>
            <w:r>
              <w:rPr>
                <w:rFonts w:hint="eastAsia" w:hAnsi="宋体" w:cs="宋体"/>
                <w:color w:val="000000" w:themeColor="text1"/>
                <w:lang w:eastAsia="zh-CN"/>
                <w14:textFill>
                  <w14:solidFill>
                    <w14:schemeClr w14:val="tx1"/>
                  </w14:solidFill>
                </w14:textFill>
              </w:rPr>
              <w:t>五</w:t>
            </w:r>
            <w:r>
              <w:rPr>
                <w:rFonts w:hint="eastAsia" w:hAnsi="宋体" w:cs="宋体"/>
                <w:color w:val="000000" w:themeColor="text1"/>
                <w14:textFill>
                  <w14:solidFill>
                    <w14:schemeClr w14:val="tx1"/>
                  </w14:solidFill>
                </w14:textFill>
              </w:rPr>
              <w:t>)冬季清雪管理</w:t>
            </w: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spacing w:after="24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1.按时限要求完成道路清雪任务，并达到清除标准；积雪清运及时彻底。</w:t>
            </w:r>
          </w:p>
        </w:tc>
        <w:tc>
          <w:tcPr>
            <w:tcW w:w="5260" w:type="dxa"/>
            <w:vMerge w:val="restart"/>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1、未按清雪时限完成清雪作业任务,一级管理区域扣5分，二级管理区域扣4分。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2、路面清理不彻底，冰面、冰棱、冰包较多的扣2分。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3、擅自将冰雪堆（含机械作业）入绿蓠、松树篱上的每处或每米之内扣5分。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4、积雪堆放不合理，阻碍车辆交通和行人出行，每处扣5分。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5、乱卸残雪，影响景区、道路遗撒每次扣3分。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6、无管理人员，制度不健全，垃圾积雪混装倾倒，每次扣5分。</w:t>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br w:type="textWrapping"/>
            </w:r>
            <w:r>
              <w:rPr>
                <w:rFonts w:hint="eastAsia" w:hAnsi="宋体" w:cs="宋体"/>
                <w:color w:val="000000" w:themeColor="text1"/>
                <w14:textFill>
                  <w14:solidFill>
                    <w14:schemeClr w14:val="tx1"/>
                  </w14:solidFill>
                </w14:textFill>
              </w:rPr>
              <w:t>7、花池内有雪包，路牙子不清理每处或每米之内扣5分。</w:t>
            </w: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2.清雪时限：属于小雪、中雪量级的，降雪停止后12小时以内清扫完，属于大雪量级的，降雪停止后48小时以内清扫完，在期限内出现连续性降雪以最后一次雪停时间为计算时点；降特大暴雪时顺延。</w:t>
            </w: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3.一级管理区域清雪除净率达95%，二类85%，达到无雪道、无积冰、无漏段，清运达到无遗漏、无残留、无撒落。</w:t>
            </w: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4.夜间降雪，大雪凌晨2点前到位，中雪凌晨3点前到位，小雪凌晨4点前到位，清雪作业应于早7.30分前结束。</w:t>
            </w: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restart"/>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5.景区内严禁使用融雪剂，如遇特殊情况须向主管单位请示</w:t>
            </w: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000000"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66"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c>
          <w:tcPr>
            <w:tcW w:w="3649" w:type="dxa"/>
            <w:vMerge w:val="continue"/>
            <w:tcBorders>
              <w:top w:val="single" w:color="auto" w:sz="4" w:space="0"/>
              <w:left w:val="single" w:color="auto" w:sz="4" w:space="0"/>
              <w:bottom w:val="single" w:color="auto" w:sz="4" w:space="0"/>
              <w:right w:val="single" w:color="000000" w:sz="4" w:space="0"/>
            </w:tcBorders>
            <w:vAlign w:val="center"/>
          </w:tcPr>
          <w:p>
            <w:pPr>
              <w:adjustRightInd/>
              <w:rPr>
                <w:rFonts w:hAnsi="宋体" w:cs="宋体"/>
                <w:color w:val="000000" w:themeColor="text1"/>
                <w14:textFill>
                  <w14:solidFill>
                    <w14:schemeClr w14:val="tx1"/>
                  </w14:solidFill>
                </w14:textFill>
              </w:rPr>
            </w:pPr>
          </w:p>
        </w:tc>
        <w:tc>
          <w:tcPr>
            <w:tcW w:w="5260" w:type="dxa"/>
            <w:vMerge w:val="continue"/>
            <w:tcBorders>
              <w:top w:val="single" w:color="auto" w:sz="4" w:space="0"/>
              <w:left w:val="single" w:color="auto" w:sz="4" w:space="0"/>
              <w:bottom w:val="single" w:color="auto" w:sz="4" w:space="0"/>
              <w:right w:val="single" w:color="auto" w:sz="4" w:space="0"/>
            </w:tcBorders>
            <w:vAlign w:val="center"/>
          </w:tcPr>
          <w:p>
            <w:pPr>
              <w:adjustRightInd/>
              <w:rPr>
                <w:rFonts w:hAnsi="宋体" w:cs="宋体"/>
                <w:color w:val="000000" w:themeColor="text1"/>
                <w14:textFill>
                  <w14:solidFill>
                    <w14:schemeClr w14:val="tx1"/>
                  </w14:solidFill>
                </w14:textFill>
              </w:rPr>
            </w:pPr>
          </w:p>
        </w:tc>
      </w:tr>
    </w:tbl>
    <w:p>
      <w:pPr>
        <w:spacing w:line="220" w:lineRule="atLeast"/>
        <w:rPr>
          <w:color w:val="000000" w:themeColor="text1"/>
          <w14:textFill>
            <w14:solidFill>
              <w14:schemeClr w14:val="tx1"/>
            </w14:solidFill>
          </w14:textFill>
        </w:rPr>
      </w:pPr>
    </w:p>
    <w:sectPr>
      <w:pgSz w:w="11906" w:h="16838"/>
      <w:pgMar w:top="720" w:right="323" w:bottom="720" w:left="32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ZTY3YmRjNjUwZWRlZmFiOWRkZjdjMTZjOTllNDQifQ=="/>
  </w:docVars>
  <w:rsids>
    <w:rsidRoot w:val="00D31D50"/>
    <w:rsid w:val="00011693"/>
    <w:rsid w:val="00015C36"/>
    <w:rsid w:val="00050010"/>
    <w:rsid w:val="0006243C"/>
    <w:rsid w:val="00074141"/>
    <w:rsid w:val="000906EF"/>
    <w:rsid w:val="000924B9"/>
    <w:rsid w:val="000B2F89"/>
    <w:rsid w:val="00177522"/>
    <w:rsid w:val="00202703"/>
    <w:rsid w:val="00273B1F"/>
    <w:rsid w:val="00304D6E"/>
    <w:rsid w:val="00323B43"/>
    <w:rsid w:val="003D37D8"/>
    <w:rsid w:val="00426133"/>
    <w:rsid w:val="004358AB"/>
    <w:rsid w:val="005246BA"/>
    <w:rsid w:val="005875BC"/>
    <w:rsid w:val="00665FAF"/>
    <w:rsid w:val="006C50AE"/>
    <w:rsid w:val="00705755"/>
    <w:rsid w:val="00796F4C"/>
    <w:rsid w:val="00852086"/>
    <w:rsid w:val="008B7726"/>
    <w:rsid w:val="008B7BB9"/>
    <w:rsid w:val="009B4FC1"/>
    <w:rsid w:val="00A65468"/>
    <w:rsid w:val="00B84AEE"/>
    <w:rsid w:val="00B94DEB"/>
    <w:rsid w:val="00C004AC"/>
    <w:rsid w:val="00C057E9"/>
    <w:rsid w:val="00CA2750"/>
    <w:rsid w:val="00CA63B9"/>
    <w:rsid w:val="00CB03D6"/>
    <w:rsid w:val="00CE6A56"/>
    <w:rsid w:val="00D31D50"/>
    <w:rsid w:val="00D67B35"/>
    <w:rsid w:val="00D907A2"/>
    <w:rsid w:val="00EE08E0"/>
    <w:rsid w:val="00FC46E5"/>
    <w:rsid w:val="436F0867"/>
    <w:rsid w:val="685719EA"/>
    <w:rsid w:val="705C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uiPriority w:val="99"/>
    <w:pPr>
      <w:spacing w:after="120"/>
      <w:ind w:left="420" w:leftChars="200"/>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Body Text First Indent 2"/>
    <w:basedOn w:val="2"/>
    <w:link w:val="11"/>
    <w:qFormat/>
    <w:uiPriority w:val="99"/>
    <w:pPr>
      <w:widowControl w:val="0"/>
      <w:adjustRightInd/>
      <w:snapToGrid/>
      <w:spacing w:after="0" w:line="400" w:lineRule="exact"/>
      <w:ind w:left="0" w:leftChars="0" w:firstLine="420" w:firstLineChars="200"/>
      <w:jc w:val="both"/>
    </w:pPr>
    <w:rPr>
      <w:rFonts w:ascii="宋体" w:hAnsi="宋体" w:eastAsia="宋体" w:cs="Times New Roman"/>
      <w:color w:val="000000"/>
      <w:kern w:val="2"/>
      <w:sz w:val="24"/>
      <w:szCs w:val="24"/>
    </w:r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character" w:customStyle="1" w:styleId="10">
    <w:name w:val="正文文本缩进 Char"/>
    <w:basedOn w:val="7"/>
    <w:link w:val="2"/>
    <w:semiHidden/>
    <w:uiPriority w:val="99"/>
    <w:rPr>
      <w:rFonts w:ascii="Tahoma" w:hAnsi="Tahoma"/>
    </w:rPr>
  </w:style>
  <w:style w:type="character" w:customStyle="1" w:styleId="11">
    <w:name w:val="正文首行缩进 2 Char"/>
    <w:basedOn w:val="10"/>
    <w:link w:val="5"/>
    <w:qFormat/>
    <w:uiPriority w:val="99"/>
    <w:rPr>
      <w:rFonts w:ascii="宋体" w:hAnsi="宋体" w:eastAsia="宋体" w:cs="Times New Roman"/>
      <w:color w:val="000000"/>
      <w:kern w:val="2"/>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1416</Words>
  <Characters>1442</Characters>
  <Lines>23</Lines>
  <Paragraphs>6</Paragraphs>
  <TotalTime>10</TotalTime>
  <ScaleCrop>false</ScaleCrop>
  <LinksUpToDate>false</LinksUpToDate>
  <CharactersWithSpaces>1445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贺伏</cp:lastModifiedBy>
  <cp:lastPrinted>2022-09-06T02:02:00Z</cp:lastPrinted>
  <dcterms:modified xsi:type="dcterms:W3CDTF">2022-09-07T01:30:56Z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86D97DCF9FB044A6BAA827A758DCB01F</vt:lpwstr>
  </property>
</Properties>
</file>