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8EFF66">
      <w:pPr>
        <w:ind w:firstLine="1687" w:firstLineChars="6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5B5852"/>
          <w:kern w:val="0"/>
          <w:sz w:val="28"/>
          <w:szCs w:val="28"/>
        </w:rPr>
        <w:t>5000m³/h排涝应急抢险用车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主要技术要求</w:t>
      </w:r>
    </w:p>
    <w:p w14:paraId="2998156F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sz w:val="24"/>
        </w:rPr>
        <w:t>★1</w:t>
      </w:r>
      <w:r>
        <w:rPr>
          <w:rFonts w:hint="eastAsia"/>
          <w:szCs w:val="21"/>
        </w:rPr>
        <w:t>、</w:t>
      </w:r>
      <w:r>
        <w:rPr>
          <w:rFonts w:hint="eastAsia"/>
          <w:b/>
          <w:bCs/>
          <w:szCs w:val="21"/>
        </w:rPr>
        <w:t>投标人所投的车型应具备改装后挂牌运行资质，所投的产品须是已列入工业和信息化部发布的 《道路机动车辆生产企业及产品》中列明的车型（工信部的公告为救（抢）险车系列），并为车辆缴纳保险（商险、交强险）能够满足在甲方所在地办理上牌照条件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Cs w:val="21"/>
        </w:rPr>
        <w:t>，相关保险由中标单位负责。</w:t>
      </w:r>
    </w:p>
    <w:p w14:paraId="667D9513">
      <w:pPr>
        <w:spacing w:line="276" w:lineRule="auto"/>
        <w:rPr>
          <w:rFonts w:ascii="宋体" w:hAnsi="宋体" w:cs="宋体"/>
          <w:bCs/>
          <w:szCs w:val="21"/>
        </w:rPr>
      </w:pPr>
      <w:r>
        <w:rPr>
          <w:rFonts w:hint="eastAsia"/>
          <w:sz w:val="24"/>
        </w:rPr>
        <w:t>★2、</w:t>
      </w:r>
      <w:r>
        <w:rPr>
          <w:rFonts w:hint="eastAsia" w:ascii="宋体" w:hAnsi="宋体"/>
          <w:szCs w:val="21"/>
        </w:rPr>
        <w:t>该车不配</w:t>
      </w:r>
      <w:r>
        <w:rPr>
          <w:rFonts w:asciiTheme="majorEastAsia" w:hAnsiTheme="majorEastAsia" w:eastAsiaTheme="majorEastAsia"/>
          <w:bCs/>
        </w:rPr>
        <w:t>吊臂系统</w:t>
      </w:r>
    </w:p>
    <w:p w14:paraId="5820D44A"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/>
          <w:sz w:val="24"/>
        </w:rPr>
        <w:t>★3、</w:t>
      </w:r>
      <w:r>
        <w:rPr>
          <w:rFonts w:hint="eastAsia" w:ascii="宋体" w:hAnsi="宋体" w:cs="宋体"/>
          <w:bCs/>
          <w:szCs w:val="21"/>
        </w:rPr>
        <w:t>整车外形尺寸（长X宽X高</w:t>
      </w:r>
      <w:r>
        <w:rPr>
          <w:rFonts w:ascii="宋体" w:hAnsi="宋体" w:cs="宋体"/>
          <w:bCs/>
          <w:szCs w:val="21"/>
        </w:rPr>
        <w:t>mm</w:t>
      </w:r>
      <w:r>
        <w:rPr>
          <w:rFonts w:hint="eastAsia" w:ascii="宋体" w:hAnsi="宋体" w:cs="宋体"/>
          <w:bCs/>
          <w:szCs w:val="21"/>
        </w:rPr>
        <w:t>）：</w:t>
      </w:r>
      <w:r>
        <w:rPr>
          <w:rFonts w:hint="eastAsia" w:ascii="宋体" w:hAnsi="宋体"/>
          <w:bCs/>
          <w:sz w:val="22"/>
          <w:szCs w:val="20"/>
        </w:rPr>
        <w:t>9300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2450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3860</w:t>
      </w:r>
      <w:r>
        <w:rPr>
          <w:rFonts w:hint="eastAsia" w:ascii="黑体" w:hAnsi="黑体" w:eastAsia="黑体"/>
          <w:b/>
          <w:bCs/>
          <w:sz w:val="22"/>
          <w:szCs w:val="20"/>
        </w:rPr>
        <w:t>≤</w:t>
      </w:r>
      <w:r>
        <w:rPr>
          <w:rFonts w:hint="eastAsia" w:ascii="宋体" w:hAnsi="宋体"/>
          <w:bCs/>
          <w:sz w:val="22"/>
          <w:szCs w:val="20"/>
        </w:rPr>
        <w:t>整车外形</w:t>
      </w:r>
      <w:r>
        <w:rPr>
          <w:rFonts w:hint="eastAsia" w:ascii="黑体" w:hAnsi="黑体" w:eastAsia="黑体"/>
          <w:b/>
          <w:bCs/>
          <w:sz w:val="22"/>
          <w:szCs w:val="20"/>
        </w:rPr>
        <w:t>＜</w:t>
      </w:r>
      <w:r>
        <w:rPr>
          <w:rFonts w:ascii="宋体" w:hAnsi="宋体"/>
          <w:bCs/>
          <w:sz w:val="22"/>
          <w:szCs w:val="20"/>
        </w:rPr>
        <w:t>10</w:t>
      </w:r>
      <w:r>
        <w:rPr>
          <w:rFonts w:hint="eastAsia" w:ascii="宋体" w:hAnsi="宋体"/>
          <w:bCs/>
          <w:sz w:val="22"/>
          <w:szCs w:val="20"/>
        </w:rPr>
        <w:t>500</w:t>
      </w:r>
      <w:r>
        <w:rPr>
          <w:rFonts w:ascii="宋体" w:hAnsi="宋体"/>
          <w:bCs/>
          <w:sz w:val="22"/>
          <w:szCs w:val="20"/>
        </w:rPr>
        <w:t>×2</w:t>
      </w:r>
      <w:r>
        <w:rPr>
          <w:rFonts w:hint="eastAsia" w:ascii="宋体" w:hAnsi="宋体"/>
          <w:bCs/>
          <w:sz w:val="22"/>
          <w:szCs w:val="20"/>
        </w:rPr>
        <w:t>550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400</w:t>
      </w:r>
      <w:r>
        <w:rPr>
          <w:rFonts w:ascii="宋体" w:hAnsi="宋体"/>
          <w:bCs/>
          <w:sz w:val="22"/>
          <w:szCs w:val="20"/>
        </w:rPr>
        <w:t>0</w:t>
      </w:r>
    </w:p>
    <w:p w14:paraId="5CC7200A">
      <w:pPr>
        <w:spacing w:line="276" w:lineRule="auto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★4、</w:t>
      </w:r>
      <w:r>
        <w:rPr>
          <w:rFonts w:hint="eastAsia" w:ascii="宋体" w:hAnsi="宋体" w:cs="宋体"/>
          <w:bCs/>
          <w:szCs w:val="21"/>
        </w:rPr>
        <w:t>驾驶室准乘人数≥3人，</w:t>
      </w:r>
    </w:p>
    <w:p w14:paraId="252FC098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 w:ascii="宋体" w:hAnsi="宋体" w:cs="宋体"/>
          <w:bCs/>
          <w:sz w:val="24"/>
        </w:rPr>
        <w:t>5</w:t>
      </w:r>
      <w:r>
        <w:rPr>
          <w:rFonts w:hint="eastAsia" w:ascii="宋体" w:hAnsi="宋体" w:cs="宋体"/>
          <w:bCs/>
          <w:szCs w:val="21"/>
        </w:rPr>
        <w:t>、功率（kW）：≥169且＜250</w:t>
      </w:r>
    </w:p>
    <w:p w14:paraId="2C20D153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/>
          <w:sz w:val="24"/>
        </w:rPr>
        <w:t>6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bCs/>
          <w:szCs w:val="21"/>
        </w:rPr>
        <w:t>排量（ml）：≥6200且＜10000</w:t>
      </w:r>
    </w:p>
    <w:p w14:paraId="4C685440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/>
          <w:sz w:val="24"/>
        </w:rPr>
        <w:t>7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bCs/>
          <w:szCs w:val="21"/>
        </w:rPr>
        <w:t>总质量（kg）：18000≤总质量＜</w:t>
      </w:r>
      <w:r>
        <w:rPr>
          <w:rFonts w:ascii="宋体" w:hAnsi="宋体" w:cs="宋体"/>
          <w:bCs/>
          <w:szCs w:val="21"/>
        </w:rPr>
        <w:t>19500</w:t>
      </w:r>
    </w:p>
    <w:p w14:paraId="32891EC7">
      <w:pPr>
        <w:spacing w:line="440" w:lineRule="exact"/>
        <w:rPr>
          <w:rFonts w:ascii="仿宋_GB2312" w:hAnsi="宋体" w:eastAsia="仿宋_GB2312"/>
          <w:snapToGrid w:val="0"/>
          <w:kern w:val="0"/>
          <w:sz w:val="24"/>
        </w:rPr>
      </w:pPr>
      <w:r>
        <w:rPr>
          <w:rFonts w:hint="eastAsia"/>
          <w:szCs w:val="21"/>
        </w:rPr>
        <w:t>★</w:t>
      </w:r>
      <w:r>
        <w:rPr>
          <w:rFonts w:hint="eastAsia"/>
          <w:sz w:val="24"/>
        </w:rPr>
        <w:t>8、</w:t>
      </w:r>
      <w:r>
        <w:rPr>
          <w:szCs w:val="21"/>
        </w:rPr>
        <w:t>接近角</w:t>
      </w:r>
      <w:r>
        <w:rPr>
          <w:rFonts w:hint="eastAsia"/>
          <w:szCs w:val="21"/>
        </w:rPr>
        <w:t>≥17（°）</w:t>
      </w:r>
    </w:p>
    <w:p w14:paraId="18F58ECF">
      <w:pPr>
        <w:spacing w:line="440" w:lineRule="exact"/>
        <w:rPr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 w:ascii="宋体" w:hAnsi="宋体" w:cs="宋体"/>
          <w:bCs/>
          <w:sz w:val="24"/>
        </w:rPr>
        <w:t>9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/>
          <w:szCs w:val="21"/>
        </w:rPr>
        <w:t>离去角:≥13（°）</w:t>
      </w:r>
    </w:p>
    <w:p w14:paraId="52619DF2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="宋体" w:hAnsi="宋体" w:cs="宋体"/>
          <w:bCs/>
          <w:sz w:val="24"/>
        </w:rPr>
        <w:t>10</w:t>
      </w:r>
      <w:r>
        <w:rPr>
          <w:rFonts w:hint="eastAsia" w:ascii="宋体" w:hAnsi="宋体" w:cs="宋体"/>
          <w:bCs/>
          <w:szCs w:val="21"/>
        </w:rPr>
        <w:t>、轴距（mm）：≥5000；</w:t>
      </w:r>
    </w:p>
    <w:p w14:paraId="193FC214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="宋体" w:hAnsi="宋体" w:cs="宋体"/>
          <w:bCs/>
          <w:sz w:val="24"/>
        </w:rPr>
        <w:t>11</w:t>
      </w:r>
      <w:r>
        <w:rPr>
          <w:rFonts w:hint="eastAsia" w:ascii="宋体" w:hAnsi="宋体" w:cs="宋体"/>
          <w:bCs/>
          <w:szCs w:val="21"/>
        </w:rPr>
        <w:t>、最高车速（km/h）：≥89km/h</w:t>
      </w:r>
    </w:p>
    <w:p w14:paraId="451F7265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 w:val="24"/>
        </w:rPr>
        <w:t>▲12</w:t>
      </w:r>
      <w:r>
        <w:rPr>
          <w:rFonts w:hint="eastAsia" w:ascii="宋体" w:hAnsi="宋体" w:cs="宋体"/>
          <w:bCs/>
          <w:szCs w:val="21"/>
        </w:rPr>
        <w:t>、排放标准：国VI；</w:t>
      </w:r>
    </w:p>
    <w:p w14:paraId="033ECC4B"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▲13原车自带冷暖空调，助力转向，配倒车影像和倒车雷达；</w:t>
      </w:r>
    </w:p>
    <w:p w14:paraId="703DAD36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14该车机动性强真正实现了移动排水的概念，设备可满足紧急排水抢险的需要，并具备移动电源功能，主要用于城市排涝、电力、交通、救灾等突发事件的应急抢险救援，具有快速、高效、多功能等特点，能够实现应急排水、供电和照明等多种功能。模块化设计，灵活搭载各种手动或液压抢险工具，满足各类现场抢险救援作业要求。</w:t>
      </w:r>
    </w:p>
    <w:p w14:paraId="62DD3EBA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★15车辆底盘：设备采用载货汽车底盘改装，改装后总质量达到使用要求；排半可翻转式驾驶室，排放标准达到国六标准；带空调、方向助力,最大涉水深度600mm。</w:t>
      </w:r>
    </w:p>
    <w:p w14:paraId="71B9BFA9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16发电机组：系统三相四线制，额定功率≥250KW，额定频率50HZ,额定电压：线电压400V±10%，相电压230V±10%。冷却方式：封闭式水循环冷却。调速方式：电子调速。发电机组油箱容积可供最大工况情况下，连续工作8小时。</w:t>
      </w:r>
    </w:p>
    <w:p w14:paraId="72274CC1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▲17接地装置：接地桩和接地电缆线，连接车箱内专设的接地桩头，连接方便，在机组工作时，接地线连接，保护作业安全。</w:t>
      </w:r>
    </w:p>
    <w:p w14:paraId="74211A9B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▲18控制系统：采用智能控制系统，集中控制，中文界面，具有自动障碍保护功能，选用优质电器元件，性能稳定，安全可靠。</w:t>
      </w:r>
    </w:p>
    <w:p w14:paraId="753BA122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19厢体：厢体外部钢材为优质冷轧钢板，内衬优质冷轧钢板折弯骨架，工艺先进，强度牢固。厢体为全密封结构，具备运输、防雨、防腐、防火、防锈要求。发电机组进排风消声处理，消声器做降噪处理。车厢水泵间两侧及尾部设卷帘门，工作门下裙围处设有翻转登舱梯，方便拿取物品。</w:t>
      </w:r>
    </w:p>
    <w:p w14:paraId="2628AF43">
      <w:pPr>
        <w:spacing w:line="360" w:lineRule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cs="宋体"/>
          <w:bCs/>
          <w:szCs w:val="21"/>
        </w:rPr>
        <w:t>▲</w:t>
      </w:r>
      <w:r>
        <w:rPr>
          <w:rFonts w:ascii="宋体" w:hAnsi="宋体" w:cs="宋体"/>
          <w:bCs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0超轻型变频防洪泵：配置8台超轻型变频防洪泵，泵体采用铝合金，泵叶采用不锈钢材质。单台水泵流量500m³/h，扬程10米，电机功率≥22kw，单泵重量≤26kg。 每台水泵配有单独的控制系统，控制系统有可视化操作界面，实时监测运行参数，带有漏电、电流过载、缺相、过压、欠压、过频、欠频、电机过热等保护；控制系统采用变频器控制，转速可调。单泵配套电缆使用专业潜水电缆，总长度40米，电缆之间使用快速接头。单泵配有不锈钢滤网可有效防止垃圾堵塞。</w:t>
      </w:r>
      <w:r>
        <w:rPr>
          <w:rFonts w:hint="eastAsia" w:ascii="宋体" w:hAnsi="宋体" w:cs="宋体"/>
          <w:bCs/>
          <w:szCs w:val="21"/>
          <w:lang w:val="en-US" w:eastAsia="zh-CN"/>
        </w:rPr>
        <w:t>(</w:t>
      </w:r>
      <w:r>
        <w:rPr>
          <w:rFonts w:hint="eastAsia" w:ascii="宋体" w:hAnsi="宋体" w:cs="宋体"/>
          <w:b/>
          <w:bCs/>
          <w:szCs w:val="21"/>
        </w:rPr>
        <w:t>提供车厢内安装8台及以上防洪泵公告佐证图片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)</w:t>
      </w:r>
    </w:p>
    <w:p w14:paraId="2A300ACE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21排水管：每台潜水泵为一个8寸出水口，每个出水口配置2卷8寸出水软管（25m/卷，），软管为快速接头连接，操作方便，安全可靠。水管材质为PVC衬里帆布水带，耐磨，耐压，快速接头为不锈钢卡箍式快速接头。</w:t>
      </w:r>
    </w:p>
    <w:p w14:paraId="7B91AF5B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22真空辅助自吸泵：配备一台1000m³/h真空辅助自吸泵，扬程8米，电机功率37KW，吸程高度8.5米。水泵启动采用变频启动器启动，保护发电机，水泵控制采用一键式控制。泵组进水口为1分2个8寸，自吸泵吸水管采用塑筋水管，质量轻，拿取方便，配4.5米长8寸水管根。接头采用快速接头，使用方便，密封效果好；并配抽水滤网。泵组出水口为1分2个8寸，每个出水口配置2卷出水软管（20m/卷，），软管为快速接头连接，操作方便，。水管材质为PVC衬里帆布水带，耐磨，耐压，快速接头为铝合金接头。水泵控制柜有防雨设计，从防雨厢分离后，可适应户外抢险，防护等级IP44以上。</w:t>
      </w:r>
    </w:p>
    <w:p w14:paraId="355BD1E2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▲23内部照明：直交流双路照明电源，车厢内照明灯在启动发电机组时采用发电机组供电，发电机组停机时采用车辆直流电瓶电源供电，可实现便捷切换。</w:t>
      </w:r>
    </w:p>
    <w:p w14:paraId="2CAF5C4D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▲24液压支撑：车辆安装四只液压支撑腿，可在驻车状态均分车辆静压，保护车轮及弹簧钢板。</w:t>
      </w:r>
    </w:p>
    <w:p w14:paraId="521CD865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▲25外部照明：车辆顶部安装升降照明灯，灯具工作电压:AC220V,升降高度1.8米，灯头功率150WX2，水平360°旋转，垂直330º旋转，无线遥控操作，方便夜间施工。</w:t>
      </w:r>
    </w:p>
    <w:p w14:paraId="2391B65D"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▲26警示灯：驾驶室顶部安装长排工程警灯，带喊话器。车辆尾部顶部安装两只圆柱警灯，车辆左右两侧各安装两组红蓝爆闪警灯，车辆尾部安装箭头灯，对行人起到安全导向作用。</w:t>
      </w:r>
      <w:r>
        <w:rPr>
          <w:rFonts w:hint="eastAsia" w:ascii="宋体" w:hAnsi="宋体" w:cs="宋体"/>
          <w:bCs/>
          <w:szCs w:val="21"/>
          <w:lang w:val="en-US" w:eastAsia="zh-CN"/>
        </w:rPr>
        <w:t>(</w:t>
      </w:r>
      <w:r>
        <w:rPr>
          <w:rFonts w:hint="eastAsia" w:ascii="宋体" w:hAnsi="宋体" w:cs="宋体"/>
          <w:b/>
          <w:bCs/>
          <w:szCs w:val="21"/>
        </w:rPr>
        <w:t>提供公告页佐证图片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)</w:t>
      </w:r>
    </w:p>
    <w:p w14:paraId="794BD484"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▲27消防：配两只手提式干粉灭火器2只，摆放于车上易拿取处。</w:t>
      </w:r>
    </w:p>
    <w:p w14:paraId="3575FB28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▲28倒车雷达：可视倒车雷达,七寸显示屏，配4只安全探头。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YjFkM2FhZWNjZjhkYjcxMjZkODNhZDliMDZhODIifQ=="/>
  </w:docVars>
  <w:rsids>
    <w:rsidRoot w:val="00C74205"/>
    <w:rsid w:val="00036EB5"/>
    <w:rsid w:val="00081846"/>
    <w:rsid w:val="000A17D8"/>
    <w:rsid w:val="0012352B"/>
    <w:rsid w:val="001C1279"/>
    <w:rsid w:val="001C4DA2"/>
    <w:rsid w:val="0020072F"/>
    <w:rsid w:val="002268E1"/>
    <w:rsid w:val="00231F9C"/>
    <w:rsid w:val="00232597"/>
    <w:rsid w:val="002A62D4"/>
    <w:rsid w:val="002F432D"/>
    <w:rsid w:val="00324BA8"/>
    <w:rsid w:val="003263C4"/>
    <w:rsid w:val="00340763"/>
    <w:rsid w:val="00350A0A"/>
    <w:rsid w:val="00385C32"/>
    <w:rsid w:val="0045367D"/>
    <w:rsid w:val="00463C0B"/>
    <w:rsid w:val="004D0703"/>
    <w:rsid w:val="00524632"/>
    <w:rsid w:val="0052493D"/>
    <w:rsid w:val="005E10AC"/>
    <w:rsid w:val="006158B5"/>
    <w:rsid w:val="00711C0B"/>
    <w:rsid w:val="00717C4F"/>
    <w:rsid w:val="00814790"/>
    <w:rsid w:val="00880835"/>
    <w:rsid w:val="00906228"/>
    <w:rsid w:val="00921F57"/>
    <w:rsid w:val="00933BBD"/>
    <w:rsid w:val="00985214"/>
    <w:rsid w:val="00A75E5F"/>
    <w:rsid w:val="00B956BE"/>
    <w:rsid w:val="00BC245B"/>
    <w:rsid w:val="00C74205"/>
    <w:rsid w:val="00D06861"/>
    <w:rsid w:val="00D90114"/>
    <w:rsid w:val="00DA4511"/>
    <w:rsid w:val="00DE3193"/>
    <w:rsid w:val="00E03356"/>
    <w:rsid w:val="00E67685"/>
    <w:rsid w:val="00E92C3E"/>
    <w:rsid w:val="00EA2914"/>
    <w:rsid w:val="00ED1FB0"/>
    <w:rsid w:val="00EE58C2"/>
    <w:rsid w:val="00EE6F68"/>
    <w:rsid w:val="00F0221F"/>
    <w:rsid w:val="00F7599B"/>
    <w:rsid w:val="1DA547DA"/>
    <w:rsid w:val="263872BC"/>
    <w:rsid w:val="2EE5675B"/>
    <w:rsid w:val="31271AE9"/>
    <w:rsid w:val="32243A39"/>
    <w:rsid w:val="6A56502A"/>
    <w:rsid w:val="748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6A51-0C77-46CF-B254-5B5BBB7E6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1736</Words>
  <Characters>1901</Characters>
  <Lines>17</Lines>
  <Paragraphs>4</Paragraphs>
  <TotalTime>76</TotalTime>
  <ScaleCrop>false</ScaleCrop>
  <LinksUpToDate>false</LinksUpToDate>
  <CharactersWithSpaces>2199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2024-06-30T07:32:00Z</dcterms:created>
  <dc:creator>Bruce男</dc:creator>
  <cp:lastModifiedBy>Administrator</cp:lastModifiedBy>
  <dcterms:modified xsi:type="dcterms:W3CDTF">2024-07-08T08:47:29Z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49C804077FFE4415B5F54561BA702876_12</vt:lpwstr>
  </property>
</Properties>
</file>