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36"/>
          <w:szCs w:val="36"/>
          <w:vertAlign w:val="baseline"/>
          <w:lang w:eastAsia="zh-CN"/>
        </w:rPr>
      </w:pPr>
      <w:r>
        <w:rPr>
          <w:rFonts w:hint="eastAsia"/>
          <w:b/>
          <w:bCs/>
          <w:sz w:val="36"/>
          <w:szCs w:val="36"/>
          <w:vertAlign w:val="baseline"/>
          <w:lang w:val="en-US" w:eastAsia="zh-CN"/>
        </w:rPr>
        <w:t>1包</w:t>
      </w:r>
      <w:r>
        <w:rPr>
          <w:rFonts w:hint="eastAsia"/>
          <w:b/>
          <w:bCs/>
          <w:sz w:val="36"/>
          <w:szCs w:val="36"/>
          <w:vertAlign w:val="baseline"/>
          <w:lang w:eastAsia="zh-CN"/>
        </w:rPr>
        <w:t>参数及预算（希望小学）</w:t>
      </w:r>
    </w:p>
    <w:tbl>
      <w:tblPr>
        <w:tblStyle w:val="4"/>
        <w:tblW w:w="9230" w:type="dxa"/>
        <w:tblInd w:w="-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1268"/>
        <w:gridCol w:w="730"/>
        <w:gridCol w:w="1059"/>
        <w:gridCol w:w="1006"/>
        <w:gridCol w:w="4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940" w:type="dxa"/>
            <w:vAlign w:val="center"/>
          </w:tcPr>
          <w:p>
            <w:pPr>
              <w:jc w:val="center"/>
              <w:rPr>
                <w:rFonts w:hint="eastAsia" w:eastAsiaTheme="minorEastAsia"/>
                <w:vertAlign w:val="baseline"/>
                <w:lang w:eastAsia="zh-CN"/>
              </w:rPr>
            </w:pPr>
            <w:r>
              <w:rPr>
                <w:rFonts w:hint="eastAsia"/>
                <w:vertAlign w:val="baseline"/>
                <w:lang w:eastAsia="zh-CN"/>
              </w:rPr>
              <w:t>序号</w:t>
            </w:r>
          </w:p>
        </w:tc>
        <w:tc>
          <w:tcPr>
            <w:tcW w:w="1268" w:type="dxa"/>
            <w:vAlign w:val="center"/>
          </w:tcPr>
          <w:p>
            <w:pPr>
              <w:jc w:val="center"/>
              <w:rPr>
                <w:rFonts w:hint="eastAsia" w:eastAsiaTheme="minorEastAsia"/>
                <w:vertAlign w:val="baseline"/>
                <w:lang w:eastAsia="zh-CN"/>
              </w:rPr>
            </w:pPr>
            <w:r>
              <w:rPr>
                <w:rFonts w:hint="eastAsia"/>
                <w:vertAlign w:val="baseline"/>
                <w:lang w:eastAsia="zh-CN"/>
              </w:rPr>
              <w:t>名称</w:t>
            </w:r>
          </w:p>
        </w:tc>
        <w:tc>
          <w:tcPr>
            <w:tcW w:w="730" w:type="dxa"/>
            <w:vAlign w:val="center"/>
          </w:tcPr>
          <w:p>
            <w:pPr>
              <w:jc w:val="center"/>
              <w:rPr>
                <w:rFonts w:hint="eastAsia" w:eastAsiaTheme="minorEastAsia"/>
                <w:vertAlign w:val="baseline"/>
                <w:lang w:eastAsia="zh-CN"/>
              </w:rPr>
            </w:pPr>
            <w:r>
              <w:rPr>
                <w:rFonts w:hint="eastAsia"/>
                <w:vertAlign w:val="baseline"/>
                <w:lang w:eastAsia="zh-CN"/>
              </w:rPr>
              <w:t>数量</w:t>
            </w:r>
          </w:p>
        </w:tc>
        <w:tc>
          <w:tcPr>
            <w:tcW w:w="1059" w:type="dxa"/>
            <w:vAlign w:val="center"/>
          </w:tcPr>
          <w:p>
            <w:pPr>
              <w:jc w:val="center"/>
              <w:rPr>
                <w:rFonts w:hint="eastAsia" w:eastAsiaTheme="minorEastAsia"/>
                <w:vertAlign w:val="baseline"/>
                <w:lang w:eastAsia="zh-CN"/>
              </w:rPr>
            </w:pPr>
            <w:r>
              <w:rPr>
                <w:rFonts w:hint="eastAsia"/>
                <w:vertAlign w:val="baseline"/>
                <w:lang w:eastAsia="zh-CN"/>
              </w:rPr>
              <w:t>单价（元）</w:t>
            </w:r>
          </w:p>
        </w:tc>
        <w:tc>
          <w:tcPr>
            <w:tcW w:w="1006" w:type="dxa"/>
            <w:vAlign w:val="center"/>
          </w:tcPr>
          <w:p>
            <w:pPr>
              <w:jc w:val="center"/>
              <w:rPr>
                <w:rFonts w:hint="eastAsia" w:eastAsiaTheme="minorEastAsia"/>
                <w:vertAlign w:val="baseline"/>
                <w:lang w:eastAsia="zh-CN"/>
              </w:rPr>
            </w:pPr>
            <w:r>
              <w:rPr>
                <w:rFonts w:hint="eastAsia"/>
                <w:vertAlign w:val="baseline"/>
                <w:lang w:eastAsia="zh-CN"/>
              </w:rPr>
              <w:t>合价（元）</w:t>
            </w:r>
          </w:p>
        </w:tc>
        <w:tc>
          <w:tcPr>
            <w:tcW w:w="4227" w:type="dxa"/>
            <w:vAlign w:val="center"/>
          </w:tcPr>
          <w:p>
            <w:pPr>
              <w:jc w:val="center"/>
              <w:rPr>
                <w:rFonts w:hint="eastAsia" w:eastAsiaTheme="minorEastAsia"/>
                <w:vertAlign w:val="baseline"/>
                <w:lang w:eastAsia="zh-CN"/>
              </w:rPr>
            </w:pPr>
            <w:r>
              <w:rPr>
                <w:rFonts w:hint="eastAsia"/>
                <w:vertAlign w:val="baseline"/>
                <w:lang w:eastAsia="zh-CN"/>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3" w:hRule="atLeast"/>
        </w:trPr>
        <w:tc>
          <w:tcPr>
            <w:tcW w:w="940" w:type="dxa"/>
            <w:vAlign w:val="center"/>
          </w:tcPr>
          <w:p>
            <w:pPr>
              <w:jc w:val="center"/>
              <w:rPr>
                <w:rFonts w:hint="eastAsia" w:eastAsiaTheme="minorEastAsia"/>
                <w:vertAlign w:val="baseline"/>
                <w:lang w:val="en-US" w:eastAsia="zh-CN"/>
              </w:rPr>
            </w:pPr>
            <w:r>
              <w:rPr>
                <w:rFonts w:hint="eastAsia"/>
                <w:vertAlign w:val="baseline"/>
                <w:lang w:val="en-US" w:eastAsia="zh-CN"/>
              </w:rPr>
              <w:t>1</w:t>
            </w:r>
          </w:p>
        </w:tc>
        <w:tc>
          <w:tcPr>
            <w:tcW w:w="1268" w:type="dxa"/>
            <w:vAlign w:val="center"/>
          </w:tcPr>
          <w:p>
            <w:pPr>
              <w:jc w:val="center"/>
              <w:rPr>
                <w:rFonts w:hint="eastAsia" w:eastAsiaTheme="minorEastAsia"/>
                <w:vertAlign w:val="baseline"/>
                <w:lang w:eastAsia="zh-CN"/>
              </w:rPr>
            </w:pPr>
            <w:r>
              <w:rPr>
                <w:rFonts w:hint="eastAsia"/>
                <w:vertAlign w:val="baseline"/>
                <w:lang w:eastAsia="zh-CN"/>
              </w:rPr>
              <w:t>塑胶地板</w:t>
            </w:r>
          </w:p>
        </w:tc>
        <w:tc>
          <w:tcPr>
            <w:tcW w:w="730" w:type="dxa"/>
            <w:vAlign w:val="center"/>
          </w:tcPr>
          <w:p>
            <w:pPr>
              <w:jc w:val="center"/>
              <w:rPr>
                <w:rFonts w:hint="default"/>
                <w:vertAlign w:val="baseline"/>
                <w:lang w:val="en-US" w:eastAsia="zh-CN"/>
              </w:rPr>
            </w:pPr>
            <w:r>
              <w:rPr>
                <w:rFonts w:hint="eastAsia"/>
                <w:vertAlign w:val="baseline"/>
                <w:lang w:val="en-US" w:eastAsia="zh-CN"/>
              </w:rPr>
              <w:t>1368m²</w:t>
            </w:r>
          </w:p>
        </w:tc>
        <w:tc>
          <w:tcPr>
            <w:tcW w:w="1059" w:type="dxa"/>
            <w:vAlign w:val="center"/>
          </w:tcPr>
          <w:p>
            <w:pPr>
              <w:keepNext w:val="0"/>
              <w:keepLines w:val="0"/>
              <w:widowControl/>
              <w:suppressLineNumbers w:val="0"/>
              <w:jc w:val="center"/>
              <w:textAlignment w:val="center"/>
              <w:rPr>
                <w:rFonts w:hint="default" w:eastAsiaTheme="minorEastAsia"/>
                <w:vertAlign w:val="baseline"/>
                <w:lang w:val="en-US" w:eastAsia="zh-CN"/>
              </w:rPr>
            </w:pPr>
            <w:r>
              <w:rPr>
                <w:rFonts w:hint="eastAsia" w:ascii="宋体" w:hAnsi="宋体" w:eastAsia="宋体" w:cs="宋体"/>
                <w:i w:val="0"/>
                <w:color w:val="000000"/>
                <w:kern w:val="0"/>
                <w:sz w:val="21"/>
                <w:szCs w:val="21"/>
                <w:u w:val="none"/>
                <w:lang w:val="en-US" w:eastAsia="zh-CN" w:bidi="ar"/>
              </w:rPr>
              <w:t>190</w:t>
            </w:r>
          </w:p>
        </w:tc>
        <w:tc>
          <w:tcPr>
            <w:tcW w:w="1006" w:type="dxa"/>
            <w:vAlign w:val="center"/>
          </w:tcPr>
          <w:p>
            <w:pPr>
              <w:keepNext w:val="0"/>
              <w:keepLines w:val="0"/>
              <w:widowControl/>
              <w:suppressLineNumbers w:val="0"/>
              <w:jc w:val="center"/>
              <w:textAlignment w:val="center"/>
              <w:rPr>
                <w:rFonts w:hint="default" w:eastAsiaTheme="minorEastAsia"/>
                <w:vertAlign w:val="baseline"/>
                <w:lang w:val="en-US" w:eastAsia="zh-CN"/>
              </w:rPr>
            </w:pPr>
            <w:r>
              <w:rPr>
                <w:rFonts w:hint="eastAsia" w:ascii="宋体" w:hAnsi="宋体" w:eastAsia="宋体" w:cs="宋体"/>
                <w:i w:val="0"/>
                <w:color w:val="000000"/>
                <w:kern w:val="0"/>
                <w:sz w:val="21"/>
                <w:szCs w:val="21"/>
                <w:u w:val="none"/>
                <w:lang w:val="en-US" w:eastAsia="zh-CN" w:bidi="ar"/>
              </w:rPr>
              <w:t>259920</w:t>
            </w:r>
          </w:p>
        </w:tc>
        <w:tc>
          <w:tcPr>
            <w:tcW w:w="4227"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适用区域 EN685 23-34-43</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总厚度 EN428 2.0mm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耐磨层厚度 EN429 0.35mm/0.55mm/0.7mm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表面特殊处理 EN423 UV</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平均重量 EN430 2.85kg/㎡</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产品宽幅 EN426 2m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标准长度 EN426 20m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标准卷重量  115kg</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可燃性能 EN13501 Bf1-S1</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防滑等级 DIN51130 R9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抗压性能 EN433 ≦0.10mm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家具椅腿抗刮性能 EN424 Very Good</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加热翘曲 EN434 ≦8mm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导电性能 EN1081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可溶性铅≤20mg/㎡</w:t>
            </w:r>
          </w:p>
          <w:p>
            <w:pPr>
              <w:keepNext w:val="0"/>
              <w:keepLines w:val="0"/>
              <w:widowControl/>
              <w:suppressLineNumbers w:val="0"/>
              <w:jc w:val="left"/>
              <w:textAlignment w:val="center"/>
              <w:rPr>
                <w:rFonts w:hint="eastAsia" w:eastAsia="宋体" w:asciiTheme="minorHAnsi" w:hAnsiTheme="minorHAnsi" w:cstheme="minorBidi"/>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挥发物限量≤40g/㎡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jc w:val="center"/>
              <w:rPr>
                <w:rFonts w:hint="eastAsia" w:eastAsiaTheme="minorEastAsia"/>
                <w:vertAlign w:val="baseline"/>
                <w:lang w:val="en-US" w:eastAsia="zh-CN"/>
              </w:rPr>
            </w:pPr>
            <w:r>
              <w:rPr>
                <w:rFonts w:hint="eastAsia"/>
                <w:vertAlign w:val="baseline"/>
                <w:lang w:val="en-US" w:eastAsia="zh-CN"/>
              </w:rPr>
              <w:t>2</w:t>
            </w:r>
          </w:p>
        </w:tc>
        <w:tc>
          <w:tcPr>
            <w:tcW w:w="1268" w:type="dxa"/>
            <w:vAlign w:val="center"/>
          </w:tcPr>
          <w:p>
            <w:pPr>
              <w:jc w:val="center"/>
              <w:rPr>
                <w:rFonts w:hint="default" w:eastAsiaTheme="minorEastAsia"/>
                <w:vertAlign w:val="baseline"/>
                <w:lang w:val="en-US" w:eastAsia="zh-CN"/>
              </w:rPr>
            </w:pPr>
            <w:r>
              <w:rPr>
                <w:rFonts w:hint="eastAsia"/>
                <w:vertAlign w:val="baseline"/>
                <w:lang w:eastAsia="zh-CN"/>
              </w:rPr>
              <w:t>楼梯踏步专用塑胶地板</w:t>
            </w:r>
          </w:p>
        </w:tc>
        <w:tc>
          <w:tcPr>
            <w:tcW w:w="730" w:type="dxa"/>
            <w:vAlign w:val="center"/>
          </w:tcPr>
          <w:p>
            <w:pPr>
              <w:jc w:val="center"/>
              <w:rPr>
                <w:rFonts w:hint="default"/>
                <w:vertAlign w:val="baseline"/>
                <w:lang w:val="en-US" w:eastAsia="zh-CN"/>
              </w:rPr>
            </w:pPr>
            <w:r>
              <w:rPr>
                <w:rFonts w:hint="eastAsia"/>
                <w:vertAlign w:val="baseline"/>
                <w:lang w:val="en-US" w:eastAsia="zh-CN"/>
              </w:rPr>
              <w:t>563m²</w:t>
            </w:r>
          </w:p>
        </w:tc>
        <w:tc>
          <w:tcPr>
            <w:tcW w:w="1059" w:type="dxa"/>
            <w:vAlign w:val="center"/>
          </w:tcPr>
          <w:p>
            <w:pPr>
              <w:keepNext w:val="0"/>
              <w:keepLines w:val="0"/>
              <w:widowControl/>
              <w:suppressLineNumbers w:val="0"/>
              <w:jc w:val="center"/>
              <w:textAlignment w:val="center"/>
              <w:rPr>
                <w:rFonts w:hint="default" w:eastAsiaTheme="minorEastAsia"/>
                <w:vertAlign w:val="baseline"/>
                <w:lang w:val="en-US" w:eastAsia="zh-CN"/>
              </w:rPr>
            </w:pPr>
            <w:r>
              <w:rPr>
                <w:rFonts w:hint="eastAsia" w:ascii="宋体" w:hAnsi="宋体" w:eastAsia="宋体" w:cs="宋体"/>
                <w:i w:val="0"/>
                <w:color w:val="000000"/>
                <w:kern w:val="0"/>
                <w:sz w:val="21"/>
                <w:szCs w:val="21"/>
                <w:u w:val="none"/>
                <w:lang w:val="en-US" w:eastAsia="zh-CN" w:bidi="ar"/>
              </w:rPr>
              <w:t>220</w:t>
            </w:r>
          </w:p>
        </w:tc>
        <w:tc>
          <w:tcPr>
            <w:tcW w:w="1006" w:type="dxa"/>
            <w:vAlign w:val="center"/>
          </w:tcPr>
          <w:p>
            <w:pPr>
              <w:keepNext w:val="0"/>
              <w:keepLines w:val="0"/>
              <w:widowControl/>
              <w:suppressLineNumbers w:val="0"/>
              <w:jc w:val="center"/>
              <w:textAlignment w:val="center"/>
              <w:rPr>
                <w:rFonts w:hint="default" w:eastAsiaTheme="minorEastAsia"/>
                <w:vertAlign w:val="baseline"/>
                <w:lang w:val="en-US" w:eastAsia="zh-CN"/>
              </w:rPr>
            </w:pPr>
            <w:r>
              <w:rPr>
                <w:rFonts w:hint="eastAsia" w:ascii="宋体" w:hAnsi="宋体" w:eastAsia="宋体" w:cs="宋体"/>
                <w:i w:val="0"/>
                <w:color w:val="000000"/>
                <w:kern w:val="0"/>
                <w:sz w:val="21"/>
                <w:szCs w:val="21"/>
                <w:u w:val="none"/>
                <w:lang w:val="en-US" w:eastAsia="zh-CN" w:bidi="ar"/>
              </w:rPr>
              <w:t>123860</w:t>
            </w:r>
          </w:p>
        </w:tc>
        <w:tc>
          <w:tcPr>
            <w:tcW w:w="4227" w:type="dxa"/>
            <w:vAlign w:val="center"/>
          </w:tcPr>
          <w:p>
            <w:pPr>
              <w:jc w:val="left"/>
              <w:rPr>
                <w:rFonts w:hint="eastAsia"/>
                <w:vertAlign w:val="baseline"/>
              </w:rPr>
            </w:pPr>
            <w:r>
              <w:rPr>
                <w:rFonts w:hint="eastAsia"/>
                <w:vertAlign w:val="baseline"/>
              </w:rPr>
              <w:t>厚度: 前端</w:t>
            </w:r>
            <w:r>
              <w:rPr>
                <w:rFonts w:hint="eastAsia"/>
                <w:vertAlign w:val="baseline"/>
                <w:lang w:eastAsia="zh-CN"/>
              </w:rPr>
              <w:t>≥</w:t>
            </w:r>
            <w:r>
              <w:rPr>
                <w:rFonts w:hint="eastAsia"/>
                <w:vertAlign w:val="baseline"/>
              </w:rPr>
              <w:t>4.2㎜</w:t>
            </w:r>
            <w:r>
              <w:rPr>
                <w:rFonts w:hint="eastAsia"/>
                <w:vertAlign w:val="baseline"/>
                <w:lang w:eastAsia="zh-CN"/>
              </w:rPr>
              <w:t>，</w:t>
            </w:r>
            <w:r>
              <w:rPr>
                <w:rFonts w:hint="eastAsia"/>
                <w:vertAlign w:val="baseline"/>
              </w:rPr>
              <w:t>后端</w:t>
            </w:r>
            <w:r>
              <w:rPr>
                <w:rFonts w:hint="eastAsia"/>
                <w:vertAlign w:val="baseline"/>
                <w:lang w:eastAsia="zh-CN"/>
              </w:rPr>
              <w:t>≥</w:t>
            </w:r>
            <w:r>
              <w:rPr>
                <w:rFonts w:hint="eastAsia"/>
                <w:vertAlign w:val="baseline"/>
              </w:rPr>
              <w:t>1㎜</w:t>
            </w:r>
          </w:p>
          <w:p>
            <w:pPr>
              <w:jc w:val="left"/>
              <w:rPr>
                <w:rFonts w:hint="eastAsia"/>
                <w:vertAlign w:val="baseline"/>
              </w:rPr>
            </w:pPr>
            <w:r>
              <w:rPr>
                <w:rFonts w:hint="eastAsia"/>
                <w:vertAlign w:val="baseline"/>
              </w:rPr>
              <w:t>宽度:  平面:</w:t>
            </w:r>
            <w:r>
              <w:rPr>
                <w:rFonts w:hint="eastAsia"/>
                <w:vertAlign w:val="baseline"/>
                <w:lang w:eastAsia="zh-CN"/>
              </w:rPr>
              <w:t>≥</w:t>
            </w:r>
            <w:r>
              <w:rPr>
                <w:rFonts w:hint="eastAsia"/>
                <w:vertAlign w:val="baseline"/>
              </w:rPr>
              <w:t>46CM  立面</w:t>
            </w:r>
            <w:r>
              <w:rPr>
                <w:rFonts w:hint="eastAsia"/>
                <w:vertAlign w:val="baseline"/>
                <w:lang w:eastAsia="zh-CN"/>
              </w:rPr>
              <w:t>≥</w:t>
            </w:r>
            <w:r>
              <w:rPr>
                <w:rFonts w:hint="eastAsia"/>
                <w:vertAlign w:val="baseline"/>
              </w:rPr>
              <w:t>4CM</w:t>
            </w:r>
          </w:p>
          <w:p>
            <w:pPr>
              <w:jc w:val="left"/>
              <w:rPr>
                <w:rFonts w:hint="eastAsia"/>
                <w:vertAlign w:val="baseline"/>
              </w:rPr>
            </w:pPr>
            <w:r>
              <w:rPr>
                <w:rFonts w:hint="eastAsia"/>
                <w:vertAlign w:val="baseline"/>
              </w:rPr>
              <w:t>长度:可根据需要任意裁剪类别</w:t>
            </w:r>
          </w:p>
          <w:p>
            <w:pPr>
              <w:jc w:val="left"/>
              <w:rPr>
                <w:rFonts w:hint="eastAsia"/>
                <w:vertAlign w:val="baseline"/>
              </w:rPr>
            </w:pPr>
            <w:r>
              <w:rPr>
                <w:rFonts w:hint="eastAsia"/>
                <w:vertAlign w:val="baseline"/>
              </w:rPr>
              <w:t>材质</w:t>
            </w:r>
            <w:r>
              <w:rPr>
                <w:rFonts w:hint="eastAsia"/>
                <w:vertAlign w:val="baseline"/>
                <w:lang w:eastAsia="zh-CN"/>
              </w:rPr>
              <w:t>：</w:t>
            </w:r>
            <w:r>
              <w:rPr>
                <w:rFonts w:hint="eastAsia"/>
                <w:vertAlign w:val="baseline"/>
              </w:rPr>
              <w:t>PVC</w:t>
            </w:r>
          </w:p>
          <w:p>
            <w:pPr>
              <w:jc w:val="left"/>
              <w:rPr>
                <w:rFonts w:hint="eastAsia"/>
                <w:vertAlign w:val="baseline"/>
              </w:rPr>
            </w:pPr>
            <w:r>
              <w:rPr>
                <w:rFonts w:hint="eastAsia"/>
                <w:vertAlign w:val="baseline"/>
              </w:rPr>
              <w:t>等级：优质</w:t>
            </w:r>
          </w:p>
          <w:p>
            <w:pPr>
              <w:jc w:val="left"/>
              <w:rPr>
                <w:rFonts w:hint="eastAsia"/>
                <w:vertAlign w:val="baseline"/>
              </w:rPr>
            </w:pPr>
            <w:r>
              <w:rPr>
                <w:rFonts w:hint="eastAsia"/>
                <w:vertAlign w:val="baseline"/>
              </w:rPr>
              <w:t>标准：国标</w:t>
            </w:r>
          </w:p>
          <w:p>
            <w:pPr>
              <w:jc w:val="left"/>
              <w:rPr>
                <w:rFonts w:hint="eastAsia"/>
                <w:vertAlign w:val="baseline"/>
              </w:rPr>
            </w:pPr>
            <w:r>
              <w:rPr>
                <w:rFonts w:hint="eastAsia"/>
                <w:vertAlign w:val="baseline"/>
              </w:rPr>
              <w:t>颜色: 12色  可根据客户需要订做生产</w:t>
            </w:r>
          </w:p>
          <w:p>
            <w:pPr>
              <w:jc w:val="left"/>
              <w:rPr>
                <w:rFonts w:hint="eastAsia"/>
                <w:vertAlign w:val="baseline"/>
              </w:rPr>
            </w:pPr>
            <w:r>
              <w:rPr>
                <w:rFonts w:hint="eastAsia"/>
                <w:vertAlign w:val="baseline"/>
              </w:rPr>
              <w:t>表面: 平滑</w:t>
            </w:r>
          </w:p>
          <w:p>
            <w:pPr>
              <w:jc w:val="left"/>
              <w:rPr>
                <w:rFonts w:hint="eastAsia"/>
                <w:vertAlign w:val="baseline"/>
              </w:rPr>
            </w:pPr>
            <w:r>
              <w:rPr>
                <w:rFonts w:hint="eastAsia"/>
                <w:vertAlign w:val="baseline"/>
              </w:rPr>
              <w:t>防火等级:  B级(</w:t>
            </w:r>
            <w:r>
              <w:rPr>
                <w:rFonts w:hint="eastAsia"/>
                <w:vertAlign w:val="baseline"/>
                <w:lang w:eastAsia="zh-CN"/>
              </w:rPr>
              <w:t>详见</w:t>
            </w:r>
            <w:r>
              <w:rPr>
                <w:rFonts w:hint="eastAsia"/>
                <w:vertAlign w:val="baseline"/>
              </w:rPr>
              <w:t>质检报告)</w:t>
            </w:r>
          </w:p>
          <w:p>
            <w:pPr>
              <w:jc w:val="left"/>
              <w:rPr>
                <w:vertAlign w:val="baseline"/>
              </w:rPr>
            </w:pPr>
            <w:r>
              <w:rPr>
                <w:rFonts w:hint="eastAsia"/>
                <w:vertAlign w:val="baseline"/>
              </w:rPr>
              <w:t>优点：环保 防滑  防火 美观 有弹性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jc w:val="center"/>
              <w:rPr>
                <w:rFonts w:hint="default"/>
                <w:vertAlign w:val="baseline"/>
                <w:lang w:val="en-US" w:eastAsia="zh-CN"/>
              </w:rPr>
            </w:pPr>
            <w:r>
              <w:rPr>
                <w:rFonts w:hint="eastAsia"/>
                <w:vertAlign w:val="baseline"/>
                <w:lang w:val="en-US" w:eastAsia="zh-CN"/>
              </w:rPr>
              <w:t>3</w:t>
            </w:r>
          </w:p>
        </w:tc>
        <w:tc>
          <w:tcPr>
            <w:tcW w:w="126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自流平</w:t>
            </w:r>
          </w:p>
        </w:tc>
        <w:tc>
          <w:tcPr>
            <w:tcW w:w="730" w:type="dxa"/>
            <w:vAlign w:val="center"/>
          </w:tcPr>
          <w:p>
            <w:pPr>
              <w:keepNext w:val="0"/>
              <w:keepLines w:val="0"/>
              <w:widowControl/>
              <w:suppressLineNumbers w:val="0"/>
              <w:jc w:val="center"/>
              <w:textAlignment w:val="center"/>
              <w:rPr>
                <w:rFonts w:hint="eastAsia" w:eastAsia="宋体" w:asciiTheme="minorHAnsi" w:hAnsiTheme="minorHAnsi" w:cstheme="minorBidi"/>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600袋</w:t>
            </w:r>
          </w:p>
        </w:tc>
        <w:tc>
          <w:tcPr>
            <w:tcW w:w="1059"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85</w:t>
            </w:r>
          </w:p>
        </w:tc>
        <w:tc>
          <w:tcPr>
            <w:tcW w:w="1006"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51000</w:t>
            </w:r>
          </w:p>
        </w:tc>
        <w:tc>
          <w:tcPr>
            <w:tcW w:w="4227" w:type="dxa"/>
            <w:vAlign w:val="center"/>
          </w:tcPr>
          <w:p>
            <w:pPr>
              <w:keepNext w:val="0"/>
              <w:keepLines w:val="0"/>
              <w:widowControl/>
              <w:suppressLineNumbers w:val="0"/>
              <w:jc w:val="left"/>
              <w:textAlignment w:val="center"/>
              <w:rPr>
                <w:rFonts w:hint="eastAsia" w:eastAsia="宋体" w:asciiTheme="minorHAnsi" w:hAnsiTheme="minorHAnsi" w:cstheme="minorBidi"/>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流动度： 240~280 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凝结时间：初凝4~8h，终凝：5~12h</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抗压强度（28d）：22~35 MPa</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粘结强度：≧2.8 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jc w:val="center"/>
              <w:rPr>
                <w:rFonts w:hint="default"/>
                <w:vertAlign w:val="baseline"/>
                <w:lang w:val="en-US" w:eastAsia="zh-CN"/>
              </w:rPr>
            </w:pPr>
            <w:r>
              <w:rPr>
                <w:rFonts w:hint="eastAsia"/>
                <w:vertAlign w:val="baseline"/>
                <w:lang w:val="en-US" w:eastAsia="zh-CN"/>
              </w:rPr>
              <w:t>4</w:t>
            </w:r>
          </w:p>
        </w:tc>
        <w:tc>
          <w:tcPr>
            <w:tcW w:w="126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地面胶</w:t>
            </w:r>
          </w:p>
        </w:tc>
        <w:tc>
          <w:tcPr>
            <w:tcW w:w="730" w:type="dxa"/>
            <w:vAlign w:val="center"/>
          </w:tcPr>
          <w:p>
            <w:pPr>
              <w:keepNext w:val="0"/>
              <w:keepLines w:val="0"/>
              <w:widowControl/>
              <w:suppressLineNumbers w:val="0"/>
              <w:jc w:val="center"/>
              <w:textAlignment w:val="center"/>
              <w:rPr>
                <w:rFonts w:hint="default" w:eastAsia="宋体" w:asciiTheme="minorHAnsi" w:hAnsiTheme="minorHAnsi" w:cstheme="minorBidi"/>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22桶</w:t>
            </w:r>
          </w:p>
        </w:tc>
        <w:tc>
          <w:tcPr>
            <w:tcW w:w="1059"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460</w:t>
            </w:r>
          </w:p>
        </w:tc>
        <w:tc>
          <w:tcPr>
            <w:tcW w:w="1006"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10120</w:t>
            </w:r>
          </w:p>
        </w:tc>
        <w:tc>
          <w:tcPr>
            <w:tcW w:w="4227"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1、苯  g/kg   ≤5.0   符合GB18583-2008标准</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2、甲苯+二甲苯  g/kg    ≤200   符合GB18583-2008标准</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3、总挥发性有机物 g/L   ≤700   符合GB18583-2008标准</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4、游离甲醛 g/kg        ≤0.50  符合GB18583-2008标准</w:t>
            </w:r>
          </w:p>
          <w:p>
            <w:pPr>
              <w:keepNext w:val="0"/>
              <w:keepLines w:val="0"/>
              <w:widowControl/>
              <w:suppressLineNumbers w:val="0"/>
              <w:jc w:val="left"/>
              <w:textAlignment w:val="center"/>
              <w:rPr>
                <w:rFonts w:hint="eastAsia" w:eastAsia="宋体" w:asciiTheme="minorHAnsi" w:hAnsiTheme="minorHAnsi" w:cstheme="minorBidi"/>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5、外观：乳白色到淡黄色粘稠状液体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6、粘度10mpa·s：≥0.5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7、固含量%：≥53</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8、PH值：7-9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9、重量：≥25kg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jc w:val="center"/>
              <w:rPr>
                <w:rFonts w:hint="default"/>
                <w:vertAlign w:val="baseline"/>
                <w:lang w:val="en-US" w:eastAsia="zh-CN"/>
              </w:rPr>
            </w:pPr>
            <w:r>
              <w:rPr>
                <w:rFonts w:hint="eastAsia"/>
                <w:vertAlign w:val="baseline"/>
                <w:lang w:val="en-US" w:eastAsia="zh-CN"/>
              </w:rPr>
              <w:t>5</w:t>
            </w:r>
          </w:p>
        </w:tc>
        <w:tc>
          <w:tcPr>
            <w:tcW w:w="126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界面剂</w:t>
            </w:r>
          </w:p>
        </w:tc>
        <w:tc>
          <w:tcPr>
            <w:tcW w:w="730" w:type="dxa"/>
            <w:vAlign w:val="center"/>
          </w:tcPr>
          <w:p>
            <w:pPr>
              <w:keepNext w:val="0"/>
              <w:keepLines w:val="0"/>
              <w:widowControl/>
              <w:suppressLineNumbers w:val="0"/>
              <w:jc w:val="center"/>
              <w:textAlignment w:val="center"/>
              <w:rPr>
                <w:rFonts w:hint="eastAsia" w:eastAsia="宋体" w:asciiTheme="minorHAnsi" w:hAnsiTheme="minorHAnsi" w:cstheme="minorBidi"/>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22桶</w:t>
            </w:r>
          </w:p>
        </w:tc>
        <w:tc>
          <w:tcPr>
            <w:tcW w:w="1059"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390</w:t>
            </w:r>
          </w:p>
        </w:tc>
        <w:tc>
          <w:tcPr>
            <w:tcW w:w="1006"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8580</w:t>
            </w:r>
          </w:p>
        </w:tc>
        <w:tc>
          <w:tcPr>
            <w:tcW w:w="4227" w:type="dxa"/>
            <w:vAlign w:val="center"/>
          </w:tcPr>
          <w:p>
            <w:pPr>
              <w:keepNext w:val="0"/>
              <w:keepLines w:val="0"/>
              <w:widowControl/>
              <w:suppressLineNumbers w:val="0"/>
              <w:jc w:val="left"/>
              <w:textAlignment w:val="center"/>
              <w:rPr>
                <w:rFonts w:hint="eastAsia" w:eastAsia="宋体" w:asciiTheme="minorHAnsi" w:hAnsiTheme="minorHAnsi" w:cstheme="minorBidi"/>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 xml:space="preserve">剪切粘结强度MPa I型≥1.0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拉伸粘结强度MPa I型≥0.5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晾置时间≥10min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jc w:val="center"/>
              <w:rPr>
                <w:rFonts w:hint="default"/>
                <w:vertAlign w:val="baseline"/>
                <w:lang w:val="en-US" w:eastAsia="zh-CN"/>
              </w:rPr>
            </w:pPr>
            <w:r>
              <w:rPr>
                <w:rFonts w:hint="eastAsia"/>
                <w:vertAlign w:val="baseline"/>
                <w:lang w:val="en-US" w:eastAsia="zh-CN"/>
              </w:rPr>
              <w:t>6</w:t>
            </w:r>
          </w:p>
        </w:tc>
        <w:tc>
          <w:tcPr>
            <w:tcW w:w="126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笔记本电脑</w:t>
            </w:r>
          </w:p>
        </w:tc>
        <w:tc>
          <w:tcPr>
            <w:tcW w:w="73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2台</w:t>
            </w:r>
          </w:p>
        </w:tc>
        <w:tc>
          <w:tcPr>
            <w:tcW w:w="1059"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4950</w:t>
            </w:r>
          </w:p>
        </w:tc>
        <w:tc>
          <w:tcPr>
            <w:tcW w:w="1006"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9900</w:t>
            </w:r>
          </w:p>
        </w:tc>
        <w:tc>
          <w:tcPr>
            <w:tcW w:w="4227" w:type="dxa"/>
            <w:vAlign w:val="top"/>
          </w:tcPr>
          <w:p>
            <w:pPr>
              <w:rPr>
                <w:rFonts w:hint="default"/>
                <w:vertAlign w:val="baseline"/>
                <w:lang w:val="en-US" w:eastAsia="zh-CN"/>
              </w:rPr>
            </w:pPr>
            <w:r>
              <w:rPr>
                <w:rFonts w:hint="default"/>
                <w:vertAlign w:val="baseline"/>
                <w:lang w:val="en-US" w:eastAsia="zh-CN"/>
              </w:rPr>
              <w:t>1. CPU ：≥10代I5处理器</w:t>
            </w:r>
          </w:p>
          <w:p>
            <w:pPr>
              <w:rPr>
                <w:rFonts w:hint="default"/>
                <w:vertAlign w:val="baseline"/>
                <w:lang w:val="en-US" w:eastAsia="zh-CN"/>
              </w:rPr>
            </w:pPr>
            <w:r>
              <w:rPr>
                <w:rFonts w:hint="default"/>
                <w:vertAlign w:val="baseline"/>
                <w:lang w:val="en-US" w:eastAsia="zh-CN"/>
              </w:rPr>
              <w:t>2. 内存：≥8GB (1x4GB) 2400mhz DDR4 ，双卡槽，最高支持32GB;</w:t>
            </w:r>
          </w:p>
          <w:p>
            <w:pPr>
              <w:rPr>
                <w:rFonts w:hint="default"/>
                <w:vertAlign w:val="baseline"/>
                <w:lang w:val="en-US" w:eastAsia="zh-CN"/>
              </w:rPr>
            </w:pPr>
            <w:r>
              <w:rPr>
                <w:rFonts w:hint="default"/>
                <w:vertAlign w:val="baseline"/>
                <w:lang w:val="en-US" w:eastAsia="zh-CN"/>
              </w:rPr>
              <w:t xml:space="preserve">3. 硬盘：≥1TB 3.5”HDD+256G SSD </w:t>
            </w:r>
          </w:p>
          <w:p>
            <w:pPr>
              <w:rPr>
                <w:rFonts w:hint="default"/>
                <w:vertAlign w:val="baseline"/>
                <w:lang w:val="en-US" w:eastAsia="zh-CN"/>
              </w:rPr>
            </w:pPr>
            <w:r>
              <w:rPr>
                <w:rFonts w:hint="default"/>
                <w:vertAlign w:val="baseline"/>
                <w:lang w:val="en-US" w:eastAsia="zh-CN"/>
              </w:rPr>
              <w:t>4. 显卡：≥2G显卡</w:t>
            </w:r>
          </w:p>
          <w:p>
            <w:pPr>
              <w:rPr>
                <w:rFonts w:hint="default"/>
                <w:vertAlign w:val="baseline"/>
                <w:lang w:val="en-US" w:eastAsia="zh-CN"/>
              </w:rPr>
            </w:pPr>
            <w:r>
              <w:rPr>
                <w:rFonts w:hint="default"/>
                <w:vertAlign w:val="baseline"/>
                <w:lang w:val="en-US" w:eastAsia="zh-CN"/>
              </w:rPr>
              <w:t>5. 光驱：外置DVD刻录光驱</w:t>
            </w:r>
          </w:p>
          <w:p>
            <w:pPr>
              <w:rPr>
                <w:rFonts w:hint="default"/>
                <w:vertAlign w:val="baseline"/>
                <w:lang w:val="en-US" w:eastAsia="zh-CN"/>
              </w:rPr>
            </w:pPr>
            <w:r>
              <w:rPr>
                <w:rFonts w:hint="default"/>
                <w:vertAlign w:val="baseline"/>
                <w:lang w:val="en-US" w:eastAsia="zh-CN"/>
              </w:rPr>
              <w:t>6. 网卡：千兆以太网卡, 出厂原生WI-FI和蓝牙模块；</w:t>
            </w:r>
          </w:p>
          <w:p>
            <w:pPr>
              <w:rPr>
                <w:rFonts w:hint="default"/>
                <w:vertAlign w:val="baseline"/>
                <w:lang w:val="en-US" w:eastAsia="zh-CN"/>
              </w:rPr>
            </w:pPr>
            <w:r>
              <w:rPr>
                <w:rFonts w:hint="default"/>
                <w:vertAlign w:val="baseline"/>
                <w:lang w:val="en-US" w:eastAsia="zh-CN"/>
              </w:rPr>
              <w:t>7. 操作系统：正版系统</w:t>
            </w:r>
          </w:p>
          <w:p>
            <w:pPr>
              <w:rPr>
                <w:rFonts w:hint="default"/>
                <w:vertAlign w:val="baseline"/>
                <w:lang w:val="en-US" w:eastAsia="zh-CN"/>
              </w:rPr>
            </w:pPr>
            <w:r>
              <w:rPr>
                <w:rFonts w:hint="default"/>
                <w:vertAlign w:val="baseline"/>
                <w:lang w:val="en-US" w:eastAsia="zh-CN"/>
              </w:rPr>
              <w:t>8. 显示器：≥14寸显示器</w:t>
            </w:r>
          </w:p>
          <w:p>
            <w:pPr>
              <w:rPr>
                <w:rFonts w:hint="default"/>
                <w:vertAlign w:val="baseline"/>
                <w:lang w:val="en-US" w:eastAsia="zh-CN"/>
              </w:rPr>
            </w:pPr>
            <w:r>
              <w:rPr>
                <w:rFonts w:hint="default"/>
                <w:vertAlign w:val="baseline"/>
                <w:lang w:val="en-US" w:eastAsia="zh-CN"/>
              </w:rPr>
              <w:t>9. 安全性：一键按键硬盘数据粉碎，彻底保护数据安全，为了提高安全性，在硬盘无法工作状态下可以进行此项操作。</w:t>
            </w:r>
          </w:p>
          <w:p>
            <w:pPr>
              <w:rPr>
                <w:rFonts w:hint="eastAsia"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jc w:val="center"/>
              <w:rPr>
                <w:rFonts w:hint="default"/>
                <w:vertAlign w:val="baseline"/>
                <w:lang w:val="en-US" w:eastAsia="zh-CN"/>
              </w:rPr>
            </w:pPr>
            <w:r>
              <w:rPr>
                <w:rFonts w:hint="eastAsia"/>
                <w:vertAlign w:val="baseline"/>
                <w:lang w:val="en-US" w:eastAsia="zh-CN"/>
              </w:rPr>
              <w:t>7</w:t>
            </w:r>
          </w:p>
        </w:tc>
        <w:tc>
          <w:tcPr>
            <w:tcW w:w="126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彩色打印机</w:t>
            </w:r>
          </w:p>
        </w:tc>
        <w:tc>
          <w:tcPr>
            <w:tcW w:w="73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2台</w:t>
            </w:r>
          </w:p>
        </w:tc>
        <w:tc>
          <w:tcPr>
            <w:tcW w:w="1059"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2490</w:t>
            </w:r>
          </w:p>
        </w:tc>
        <w:tc>
          <w:tcPr>
            <w:tcW w:w="1006"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4980</w:t>
            </w:r>
          </w:p>
        </w:tc>
        <w:tc>
          <w:tcPr>
            <w:tcW w:w="4227"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1、打印速度：</w:t>
            </w:r>
          </w:p>
          <w:p>
            <w:pPr>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黑白打印速度：高达20 页/分钟（草稿模式：A4）：高达8页/分钟（ISO模式）</w:t>
            </w:r>
          </w:p>
          <w:p>
            <w:pPr>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彩色打印速度：高达16页/分钟（草稿模式：A4）：高达5页/分钟（ISO模式）</w:t>
            </w:r>
          </w:p>
          <w:p>
            <w:pPr>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2、首页输出速度：黑白输出速度仅需要13秒；彩色：仅需要17秒即可完成</w:t>
            </w:r>
          </w:p>
          <w:p>
            <w:pPr>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3、分辨率：黑白（最佳）：分辨率高达1200*1200  渲染dpi</w:t>
            </w:r>
          </w:p>
          <w:p>
            <w:pPr>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彩色（最佳）：输入分辨率为1200dpi时，可通过电脑打印可获高达4800*1200优化dpi的最佳彩色分辨率。</w:t>
            </w:r>
          </w:p>
          <w:p>
            <w:pPr>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 xml:space="preserve">4、无边距打印：支持无边距打印 </w:t>
            </w:r>
          </w:p>
          <w:p>
            <w:pPr>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最大支持尺寸210*297毫米 （A4）</w:t>
            </w:r>
          </w:p>
          <w:p>
            <w:pPr>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5、墨水类型：类型有：1、染料型（彩墨）；2、颜料型（黑墨）</w:t>
            </w:r>
          </w:p>
          <w:p>
            <w:pPr>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6、复印速度：黑白复印速度：高达7份/分钟（ISO模式），速度高达2份/分钟（ISO模式）</w:t>
            </w:r>
          </w:p>
          <w:p>
            <w:pPr>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7、分辨率：黑白分辨率支持（文本和图片）：600*300dpi；彩色（文本和图片）：高达600*300dpi</w:t>
            </w:r>
          </w:p>
          <w:p>
            <w:pPr>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8、最大复印量：速度满足9份</w:t>
            </w:r>
          </w:p>
          <w:p>
            <w:pPr>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显示屏：采用7段分区+图标LCD显示屏</w:t>
            </w:r>
          </w:p>
          <w:p>
            <w:pPr>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9、支持打印介质尺寸：A4尺寸、B5尺寸、A6尺寸、DL信封</w:t>
            </w:r>
          </w:p>
          <w:p>
            <w:pPr>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10、内存：集成式内存</w:t>
            </w:r>
          </w:p>
          <w:p>
            <w:pPr>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11、处理器为：360MHz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940" w:type="dxa"/>
            <w:vAlign w:val="center"/>
          </w:tcPr>
          <w:p>
            <w:pPr>
              <w:jc w:val="center"/>
              <w:rPr>
                <w:rFonts w:hint="default"/>
                <w:vertAlign w:val="baseline"/>
                <w:lang w:val="en-US" w:eastAsia="zh-CN"/>
              </w:rPr>
            </w:pPr>
            <w:r>
              <w:rPr>
                <w:rFonts w:hint="eastAsia"/>
                <w:vertAlign w:val="baseline"/>
                <w:lang w:val="en-US" w:eastAsia="zh-CN"/>
              </w:rPr>
              <w:t>8</w:t>
            </w:r>
          </w:p>
        </w:tc>
        <w:tc>
          <w:tcPr>
            <w:tcW w:w="126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办公软件</w:t>
            </w:r>
          </w:p>
        </w:tc>
        <w:tc>
          <w:tcPr>
            <w:tcW w:w="73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1059" w:type="dxa"/>
            <w:vAlign w:val="center"/>
          </w:tcPr>
          <w:p>
            <w:pPr>
              <w:jc w:val="center"/>
              <w:rPr>
                <w:rFonts w:hint="default"/>
                <w:vertAlign w:val="baseline"/>
                <w:lang w:val="en-US" w:eastAsia="zh-CN"/>
              </w:rPr>
            </w:pPr>
            <w:r>
              <w:rPr>
                <w:rFonts w:hint="eastAsia"/>
                <w:vertAlign w:val="baseline"/>
                <w:lang w:val="en-US" w:eastAsia="zh-CN"/>
              </w:rPr>
              <w:t>181</w:t>
            </w:r>
          </w:p>
        </w:tc>
        <w:tc>
          <w:tcPr>
            <w:tcW w:w="1006" w:type="dxa"/>
            <w:vAlign w:val="center"/>
          </w:tcPr>
          <w:p>
            <w:pPr>
              <w:jc w:val="center"/>
              <w:rPr>
                <w:rFonts w:hint="default"/>
                <w:vertAlign w:val="baseline"/>
                <w:lang w:val="en-US" w:eastAsia="zh-CN"/>
              </w:rPr>
            </w:pPr>
            <w:r>
              <w:rPr>
                <w:rFonts w:hint="eastAsia"/>
                <w:vertAlign w:val="baseline"/>
                <w:lang w:val="en-US" w:eastAsia="zh-CN"/>
              </w:rPr>
              <w:t>362</w:t>
            </w:r>
          </w:p>
        </w:tc>
        <w:tc>
          <w:tcPr>
            <w:tcW w:w="4227" w:type="dxa"/>
            <w:vAlign w:val="center"/>
          </w:tcPr>
          <w:p>
            <w:pPr>
              <w:keepNext w:val="0"/>
              <w:keepLines w:val="0"/>
              <w:widowControl/>
              <w:suppressLineNumbers w:val="0"/>
              <w:jc w:val="lef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金山正版WPS软件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jc w:val="center"/>
              <w:rPr>
                <w:rFonts w:hint="eastAsia"/>
                <w:vertAlign w:val="baseline"/>
                <w:lang w:val="en-US" w:eastAsia="zh-CN"/>
              </w:rPr>
            </w:pPr>
            <w:r>
              <w:rPr>
                <w:rFonts w:hint="eastAsia"/>
                <w:vertAlign w:val="baseline"/>
                <w:lang w:val="en-US" w:eastAsia="zh-CN"/>
              </w:rPr>
              <w:t>合计</w:t>
            </w:r>
          </w:p>
        </w:tc>
        <w:tc>
          <w:tcPr>
            <w:tcW w:w="126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73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059" w:type="dxa"/>
            <w:vAlign w:val="center"/>
          </w:tcPr>
          <w:p>
            <w:pPr>
              <w:jc w:val="center"/>
              <w:rPr>
                <w:rFonts w:hint="default"/>
                <w:vertAlign w:val="baseline"/>
                <w:lang w:val="en-US" w:eastAsia="zh-CN"/>
              </w:rPr>
            </w:pPr>
          </w:p>
        </w:tc>
        <w:tc>
          <w:tcPr>
            <w:tcW w:w="1006" w:type="dxa"/>
            <w:vAlign w:val="center"/>
          </w:tcPr>
          <w:p>
            <w:pPr>
              <w:jc w:val="center"/>
              <w:rPr>
                <w:rFonts w:hint="default"/>
                <w:vertAlign w:val="baseline"/>
                <w:lang w:val="en-US" w:eastAsia="zh-CN"/>
              </w:rPr>
            </w:pPr>
            <w:r>
              <w:rPr>
                <w:rFonts w:hint="eastAsia"/>
                <w:vertAlign w:val="baseline"/>
                <w:lang w:val="en-US" w:eastAsia="zh-CN"/>
              </w:rPr>
              <w:t>468722</w:t>
            </w:r>
            <w:bookmarkStart w:id="0" w:name="_GoBack"/>
            <w:bookmarkEnd w:id="0"/>
          </w:p>
        </w:tc>
        <w:tc>
          <w:tcPr>
            <w:tcW w:w="4227"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bl>
    <w:p/>
    <w:p>
      <w:pPr>
        <w:jc w:val="center"/>
        <w:rPr>
          <w:rFonts w:hint="eastAsia" w:eastAsia="宋体"/>
          <w:b/>
          <w:bCs/>
          <w:sz w:val="32"/>
          <w:szCs w:val="32"/>
          <w:lang w:eastAsia="zh-CN"/>
        </w:rPr>
      </w:pPr>
      <w:r>
        <w:rPr>
          <w:rFonts w:hint="eastAsia" w:eastAsia="宋体"/>
          <w:b/>
          <w:bCs/>
          <w:sz w:val="32"/>
          <w:szCs w:val="32"/>
          <w:lang w:val="en-US" w:eastAsia="zh-CN"/>
        </w:rPr>
        <w:t>1包</w:t>
      </w:r>
      <w:r>
        <w:rPr>
          <w:rFonts w:hint="eastAsia" w:eastAsia="宋体"/>
          <w:b/>
          <w:bCs/>
          <w:sz w:val="32"/>
          <w:szCs w:val="32"/>
          <w:lang w:eastAsia="zh-CN"/>
        </w:rPr>
        <w:t>参数及预算（苇林中学）</w:t>
      </w:r>
    </w:p>
    <w:tbl>
      <w:tblPr>
        <w:tblStyle w:val="4"/>
        <w:tblW w:w="10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1141"/>
        <w:gridCol w:w="916"/>
        <w:gridCol w:w="782"/>
        <w:gridCol w:w="1066"/>
        <w:gridCol w:w="966"/>
        <w:gridCol w:w="5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Align w:val="center"/>
          </w:tcPr>
          <w:p>
            <w:pPr>
              <w:jc w:val="center"/>
              <w:rPr>
                <w:rFonts w:hint="eastAsia" w:eastAsia="宋体"/>
                <w:vertAlign w:val="baseline"/>
                <w:lang w:eastAsia="zh-CN"/>
              </w:rPr>
            </w:pPr>
            <w:r>
              <w:rPr>
                <w:rFonts w:hint="eastAsia" w:eastAsia="宋体"/>
                <w:vertAlign w:val="baseline"/>
                <w:lang w:eastAsia="zh-CN"/>
              </w:rPr>
              <w:t>序号</w:t>
            </w:r>
          </w:p>
        </w:tc>
        <w:tc>
          <w:tcPr>
            <w:tcW w:w="1141" w:type="dxa"/>
            <w:vAlign w:val="center"/>
          </w:tcPr>
          <w:p>
            <w:pPr>
              <w:jc w:val="center"/>
              <w:rPr>
                <w:rFonts w:hint="eastAsia" w:eastAsia="宋体"/>
                <w:vertAlign w:val="baseline"/>
                <w:lang w:eastAsia="zh-CN"/>
              </w:rPr>
            </w:pPr>
            <w:r>
              <w:rPr>
                <w:rFonts w:hint="eastAsia" w:eastAsia="宋体"/>
                <w:vertAlign w:val="baseline"/>
                <w:lang w:eastAsia="zh-CN"/>
              </w:rPr>
              <w:t>名称</w:t>
            </w:r>
          </w:p>
        </w:tc>
        <w:tc>
          <w:tcPr>
            <w:tcW w:w="916" w:type="dxa"/>
            <w:vAlign w:val="center"/>
          </w:tcPr>
          <w:p>
            <w:pPr>
              <w:jc w:val="center"/>
              <w:rPr>
                <w:rFonts w:hint="eastAsia" w:eastAsia="宋体"/>
                <w:vertAlign w:val="baseline"/>
                <w:lang w:eastAsia="zh-CN"/>
              </w:rPr>
            </w:pPr>
            <w:r>
              <w:rPr>
                <w:rFonts w:hint="eastAsia" w:eastAsia="宋体"/>
                <w:vertAlign w:val="baseline"/>
                <w:lang w:eastAsia="zh-CN"/>
              </w:rPr>
              <w:t>数量</w:t>
            </w:r>
          </w:p>
        </w:tc>
        <w:tc>
          <w:tcPr>
            <w:tcW w:w="782" w:type="dxa"/>
            <w:vAlign w:val="center"/>
          </w:tcPr>
          <w:p>
            <w:pPr>
              <w:jc w:val="center"/>
              <w:rPr>
                <w:rFonts w:hint="eastAsia" w:eastAsia="宋体"/>
                <w:vertAlign w:val="baseline"/>
                <w:lang w:eastAsia="zh-CN"/>
              </w:rPr>
            </w:pPr>
            <w:r>
              <w:rPr>
                <w:rFonts w:hint="eastAsia" w:eastAsia="宋体"/>
                <w:vertAlign w:val="baseline"/>
                <w:lang w:eastAsia="zh-CN"/>
              </w:rPr>
              <w:t>单位</w:t>
            </w:r>
          </w:p>
        </w:tc>
        <w:tc>
          <w:tcPr>
            <w:tcW w:w="1066" w:type="dxa"/>
            <w:vAlign w:val="center"/>
          </w:tcPr>
          <w:p>
            <w:pPr>
              <w:jc w:val="center"/>
              <w:rPr>
                <w:rFonts w:hint="eastAsia" w:eastAsia="宋体"/>
                <w:vertAlign w:val="baseline"/>
                <w:lang w:eastAsia="zh-CN"/>
              </w:rPr>
            </w:pPr>
            <w:r>
              <w:rPr>
                <w:rFonts w:hint="eastAsia" w:eastAsia="宋体"/>
                <w:vertAlign w:val="baseline"/>
                <w:lang w:eastAsia="zh-CN"/>
              </w:rPr>
              <w:t>单价</w:t>
            </w:r>
          </w:p>
          <w:p>
            <w:pPr>
              <w:jc w:val="center"/>
              <w:rPr>
                <w:rFonts w:hint="eastAsia" w:eastAsia="宋体"/>
                <w:vertAlign w:val="baseline"/>
                <w:lang w:eastAsia="zh-CN"/>
              </w:rPr>
            </w:pPr>
            <w:r>
              <w:rPr>
                <w:rFonts w:hint="eastAsia" w:eastAsia="宋体"/>
                <w:vertAlign w:val="baseline"/>
                <w:lang w:eastAsia="zh-CN"/>
              </w:rPr>
              <w:t>（元）</w:t>
            </w:r>
          </w:p>
        </w:tc>
        <w:tc>
          <w:tcPr>
            <w:tcW w:w="966" w:type="dxa"/>
            <w:vAlign w:val="center"/>
          </w:tcPr>
          <w:p>
            <w:pPr>
              <w:jc w:val="center"/>
              <w:rPr>
                <w:rFonts w:hint="eastAsia" w:eastAsia="宋体"/>
                <w:vertAlign w:val="baseline"/>
                <w:lang w:eastAsia="zh-CN"/>
              </w:rPr>
            </w:pPr>
            <w:r>
              <w:rPr>
                <w:rFonts w:hint="eastAsia" w:eastAsia="宋体"/>
                <w:vertAlign w:val="baseline"/>
                <w:lang w:eastAsia="zh-CN"/>
              </w:rPr>
              <w:t>合价</w:t>
            </w:r>
          </w:p>
          <w:p>
            <w:pPr>
              <w:jc w:val="center"/>
              <w:rPr>
                <w:rFonts w:hint="eastAsia" w:eastAsia="宋体"/>
                <w:vertAlign w:val="baseline"/>
                <w:lang w:eastAsia="zh-CN"/>
              </w:rPr>
            </w:pPr>
            <w:r>
              <w:rPr>
                <w:rFonts w:hint="eastAsia" w:eastAsia="宋体"/>
                <w:vertAlign w:val="baseline"/>
                <w:lang w:eastAsia="zh-CN"/>
              </w:rPr>
              <w:t>（元）</w:t>
            </w:r>
          </w:p>
        </w:tc>
        <w:tc>
          <w:tcPr>
            <w:tcW w:w="5061" w:type="dxa"/>
            <w:vAlign w:val="center"/>
          </w:tcPr>
          <w:p>
            <w:pPr>
              <w:jc w:val="center"/>
              <w:rPr>
                <w:rFonts w:hint="eastAsia" w:eastAsia="宋体"/>
                <w:vertAlign w:val="baseline"/>
                <w:lang w:eastAsia="zh-CN"/>
              </w:rPr>
            </w:pPr>
            <w:r>
              <w:rPr>
                <w:rFonts w:hint="eastAsia" w:eastAsia="宋体"/>
                <w:vertAlign w:val="baseline"/>
                <w:lang w:eastAsia="zh-CN"/>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Align w:val="center"/>
          </w:tcPr>
          <w:p>
            <w:pPr>
              <w:jc w:val="center"/>
              <w:rPr>
                <w:rFonts w:hint="default" w:eastAsia="宋体"/>
                <w:vertAlign w:val="baseline"/>
                <w:lang w:val="en-US" w:eastAsia="zh-CN"/>
              </w:rPr>
            </w:pPr>
            <w:r>
              <w:rPr>
                <w:rFonts w:hint="eastAsia" w:eastAsia="宋体"/>
                <w:vertAlign w:val="baseline"/>
                <w:lang w:val="en-US" w:eastAsia="zh-CN"/>
              </w:rPr>
              <w:t>1</w:t>
            </w:r>
          </w:p>
        </w:tc>
        <w:tc>
          <w:tcPr>
            <w:tcW w:w="1141" w:type="dxa"/>
            <w:vAlign w:val="center"/>
          </w:tcPr>
          <w:p>
            <w:pPr>
              <w:jc w:val="center"/>
              <w:rPr>
                <w:rFonts w:hint="eastAsia" w:eastAsia="宋体"/>
                <w:vertAlign w:val="baseline"/>
                <w:lang w:eastAsia="zh-CN"/>
              </w:rPr>
            </w:pPr>
            <w:r>
              <w:rPr>
                <w:rFonts w:hint="eastAsia" w:eastAsia="宋体"/>
                <w:vertAlign w:val="baseline"/>
                <w:lang w:eastAsia="zh-CN"/>
              </w:rPr>
              <w:t>纳米黑板</w:t>
            </w:r>
          </w:p>
        </w:tc>
        <w:tc>
          <w:tcPr>
            <w:tcW w:w="916" w:type="dxa"/>
            <w:vAlign w:val="center"/>
          </w:tcPr>
          <w:p>
            <w:pPr>
              <w:keepNext w:val="0"/>
              <w:keepLines w:val="0"/>
              <w:widowControl/>
              <w:suppressLineNumbers w:val="0"/>
              <w:jc w:val="center"/>
              <w:textAlignment w:val="center"/>
              <w:rPr>
                <w:rFonts w:hint="eastAsia" w:eastAsia="宋体"/>
                <w:vertAlign w:val="baseline"/>
                <w:lang w:eastAsia="zh-CN"/>
              </w:rPr>
            </w:pPr>
            <w:r>
              <w:rPr>
                <w:rFonts w:hint="eastAsia" w:ascii="Calibri" w:hAnsi="Calibri" w:eastAsia="宋体" w:cs="Calibri"/>
                <w:i w:val="0"/>
                <w:color w:val="000000"/>
                <w:kern w:val="0"/>
                <w:sz w:val="22"/>
                <w:szCs w:val="22"/>
                <w:u w:val="none"/>
                <w:lang w:val="en-US" w:eastAsia="zh-CN" w:bidi="ar"/>
              </w:rPr>
              <w:t>6</w:t>
            </w:r>
          </w:p>
        </w:tc>
        <w:tc>
          <w:tcPr>
            <w:tcW w:w="782" w:type="dxa"/>
            <w:vAlign w:val="center"/>
          </w:tcPr>
          <w:p>
            <w:pPr>
              <w:keepNext w:val="0"/>
              <w:keepLines w:val="0"/>
              <w:widowControl/>
              <w:suppressLineNumbers w:val="0"/>
              <w:jc w:val="center"/>
              <w:textAlignment w:val="center"/>
              <w:rPr>
                <w:rFonts w:hint="eastAsia" w:eastAsia="宋体"/>
                <w:vertAlign w:val="baseline"/>
                <w:lang w:eastAsia="zh-CN"/>
              </w:rPr>
            </w:pPr>
            <w:r>
              <w:rPr>
                <w:rFonts w:hint="default" w:ascii="Calibri" w:hAnsi="Calibri" w:eastAsia="宋体" w:cs="Calibri"/>
                <w:i w:val="0"/>
                <w:color w:val="000000"/>
                <w:kern w:val="0"/>
                <w:sz w:val="22"/>
                <w:szCs w:val="22"/>
                <w:u w:val="none"/>
                <w:lang w:val="en-US" w:eastAsia="zh-CN" w:bidi="ar"/>
              </w:rPr>
              <w:t>台</w:t>
            </w:r>
          </w:p>
        </w:tc>
        <w:tc>
          <w:tcPr>
            <w:tcW w:w="1066" w:type="dxa"/>
            <w:vAlign w:val="center"/>
          </w:tcPr>
          <w:p>
            <w:pPr>
              <w:keepNext w:val="0"/>
              <w:keepLines w:val="0"/>
              <w:widowControl/>
              <w:suppressLineNumbers w:val="0"/>
              <w:jc w:val="center"/>
              <w:textAlignment w:val="center"/>
              <w:rPr>
                <w:rFonts w:hint="eastAsia" w:eastAsia="宋体"/>
                <w:vertAlign w:val="baseline"/>
                <w:lang w:eastAsia="zh-CN"/>
              </w:rPr>
            </w:pPr>
            <w:r>
              <w:rPr>
                <w:rFonts w:hint="default" w:ascii="Calibri" w:hAnsi="Calibri" w:eastAsia="宋体" w:cs="Calibri"/>
                <w:i w:val="0"/>
                <w:color w:val="000000"/>
                <w:kern w:val="0"/>
                <w:sz w:val="22"/>
                <w:szCs w:val="22"/>
                <w:u w:val="none"/>
                <w:lang w:val="en-US" w:eastAsia="zh-CN" w:bidi="ar"/>
              </w:rPr>
              <w:t>28120</w:t>
            </w:r>
          </w:p>
        </w:tc>
        <w:tc>
          <w:tcPr>
            <w:tcW w:w="966" w:type="dxa"/>
            <w:vAlign w:val="center"/>
          </w:tcPr>
          <w:p>
            <w:pPr>
              <w:keepNext w:val="0"/>
              <w:keepLines w:val="0"/>
              <w:widowControl/>
              <w:suppressLineNumbers w:val="0"/>
              <w:jc w:val="center"/>
              <w:textAlignment w:val="center"/>
              <w:rPr>
                <w:rFonts w:hint="default" w:eastAsia="宋体"/>
                <w:vertAlign w:val="baseline"/>
                <w:lang w:val="en-US" w:eastAsia="zh-CN"/>
              </w:rPr>
            </w:pPr>
            <w:r>
              <w:rPr>
                <w:rFonts w:hint="eastAsia" w:eastAsia="宋体"/>
                <w:vertAlign w:val="baseline"/>
                <w:lang w:val="en-US" w:eastAsia="zh-CN"/>
              </w:rPr>
              <w:t>168720</w:t>
            </w:r>
          </w:p>
        </w:tc>
        <w:tc>
          <w:tcPr>
            <w:tcW w:w="5061" w:type="dxa"/>
            <w:vAlign w:val="top"/>
          </w:tcPr>
          <w:p>
            <w:pPr>
              <w:jc w:val="both"/>
              <w:rPr>
                <w:rFonts w:hint="eastAsia" w:eastAsia="宋体"/>
                <w:vertAlign w:val="baseline"/>
                <w:lang w:eastAsia="zh-CN"/>
              </w:rPr>
            </w:pPr>
            <w:r>
              <w:rPr>
                <w:rFonts w:hint="eastAsia" w:eastAsia="宋体"/>
                <w:vertAlign w:val="baseline"/>
                <w:lang w:eastAsia="zh-CN"/>
              </w:rPr>
              <w:t>一、整体设计要求</w:t>
            </w:r>
          </w:p>
          <w:p>
            <w:pPr>
              <w:jc w:val="both"/>
              <w:rPr>
                <w:rFonts w:hint="eastAsia" w:eastAsia="宋体"/>
                <w:vertAlign w:val="baseline"/>
                <w:lang w:eastAsia="zh-CN"/>
              </w:rPr>
            </w:pPr>
            <w:r>
              <w:rPr>
                <w:rFonts w:hint="eastAsia" w:eastAsia="宋体"/>
                <w:vertAlign w:val="baseline"/>
                <w:lang w:eastAsia="zh-CN"/>
              </w:rPr>
              <w:t xml:space="preserve">1、要求智慧黑板采用无推拉式结构，由三块拼接而成的纯平面黑板，一体化设计，无任何外露连接线；整机尺寸：不小于4200mm×1200mm，厚度不小于85mm。 </w:t>
            </w:r>
          </w:p>
          <w:p>
            <w:pPr>
              <w:jc w:val="both"/>
              <w:rPr>
                <w:rFonts w:hint="eastAsia" w:eastAsia="宋体"/>
                <w:vertAlign w:val="baseline"/>
                <w:lang w:eastAsia="zh-CN"/>
              </w:rPr>
            </w:pPr>
            <w:r>
              <w:rPr>
                <w:rFonts w:hint="eastAsia" w:eastAsia="宋体"/>
                <w:vertAlign w:val="baseline"/>
                <w:lang w:eastAsia="zh-CN"/>
              </w:rPr>
              <w:t>2、屏幕显示尺寸：≥75英寸，直下式LED背光源，显示比例：16:9，分辨率：3840×2160，屏体亮度≥400cd/㎡。（提供国家级检测机构出具检测报告，加盖制造商公章）</w:t>
            </w:r>
          </w:p>
          <w:p>
            <w:pPr>
              <w:jc w:val="both"/>
              <w:rPr>
                <w:rFonts w:hint="eastAsia" w:eastAsia="宋体"/>
                <w:vertAlign w:val="baseline"/>
                <w:lang w:eastAsia="zh-CN"/>
              </w:rPr>
            </w:pPr>
            <w:r>
              <w:rPr>
                <w:rFonts w:hint="eastAsia" w:eastAsia="宋体"/>
                <w:vertAlign w:val="baseline"/>
                <w:lang w:eastAsia="zh-CN"/>
              </w:rPr>
              <w:t>3、产品采用贴合技术，消除屏幕间的空气，减少显示面板与玻璃之间的反光，保证显示画面更加通透，视角更广，画质清晰，书写无叠影现象。</w:t>
            </w:r>
          </w:p>
          <w:p>
            <w:pPr>
              <w:jc w:val="both"/>
              <w:rPr>
                <w:rFonts w:hint="eastAsia" w:eastAsia="宋体"/>
                <w:vertAlign w:val="baseline"/>
                <w:lang w:eastAsia="zh-CN"/>
              </w:rPr>
            </w:pPr>
            <w:r>
              <w:rPr>
                <w:rFonts w:hint="eastAsia" w:eastAsia="宋体"/>
                <w:vertAlign w:val="baseline"/>
                <w:lang w:eastAsia="zh-CN"/>
              </w:rPr>
              <w:t>4、支持任意信号通道下不低于20点的书写体验，且具备抗强光干扰性能，在400K LUX照度的光照下保证书写功能正常。（提供国家级检测机构出具检测报告，加盖制造商公章）</w:t>
            </w:r>
          </w:p>
          <w:p>
            <w:pPr>
              <w:jc w:val="both"/>
              <w:rPr>
                <w:rFonts w:hint="eastAsia" w:eastAsia="宋体"/>
                <w:vertAlign w:val="baseline"/>
                <w:lang w:eastAsia="zh-CN"/>
              </w:rPr>
            </w:pPr>
            <w:r>
              <w:rPr>
                <w:rFonts w:hint="eastAsia" w:eastAsia="宋体"/>
                <w:vertAlign w:val="baseline"/>
                <w:lang w:eastAsia="zh-CN"/>
              </w:rPr>
              <w:t>5、整机内置前朝向：2×15W扬声器。</w:t>
            </w:r>
          </w:p>
          <w:p>
            <w:pPr>
              <w:jc w:val="both"/>
              <w:rPr>
                <w:rFonts w:hint="eastAsia" w:eastAsia="宋体"/>
                <w:vertAlign w:val="baseline"/>
                <w:lang w:eastAsia="zh-CN"/>
              </w:rPr>
            </w:pPr>
            <w:r>
              <w:rPr>
                <w:rFonts w:hint="eastAsia" w:eastAsia="宋体"/>
                <w:vertAlign w:val="baseline"/>
                <w:lang w:eastAsia="zh-CN"/>
              </w:rPr>
              <w:t>6、★整机提供前置按键：前面板具备不少于7个按键设计；且整机提供前置接口：HDMI≥1，TOUCH USB≥1，USB≥3。（提供国家级检测机构出具检测报告，加盖制造商公章）</w:t>
            </w:r>
          </w:p>
          <w:p>
            <w:pPr>
              <w:jc w:val="both"/>
              <w:rPr>
                <w:rFonts w:hint="eastAsia" w:eastAsia="宋体"/>
                <w:vertAlign w:val="baseline"/>
                <w:lang w:eastAsia="zh-CN"/>
              </w:rPr>
            </w:pPr>
            <w:r>
              <w:rPr>
                <w:rFonts w:hint="eastAsia" w:eastAsia="宋体"/>
                <w:vertAlign w:val="baseline"/>
                <w:lang w:eastAsia="zh-CN"/>
              </w:rPr>
              <w:t>7、整机显示区域下方具备通体笔槽，内凹设计避免灰尘落入接口，方便放置书写笔。</w:t>
            </w:r>
          </w:p>
          <w:p>
            <w:pPr>
              <w:jc w:val="both"/>
              <w:rPr>
                <w:rFonts w:hint="eastAsia" w:eastAsia="宋体"/>
                <w:vertAlign w:val="baseline"/>
                <w:lang w:eastAsia="zh-CN"/>
              </w:rPr>
            </w:pPr>
            <w:r>
              <w:rPr>
                <w:rFonts w:hint="eastAsia" w:eastAsia="宋体"/>
                <w:vertAlign w:val="baseline"/>
                <w:lang w:eastAsia="zh-CN"/>
              </w:rPr>
              <w:t>8、整机其他接口（不包含前置接口）：HDMI输入≥3，USB输入≥1，TOUCH out USB≥2，LAN≥1。</w:t>
            </w:r>
          </w:p>
          <w:p>
            <w:pPr>
              <w:jc w:val="both"/>
              <w:rPr>
                <w:rFonts w:hint="eastAsia" w:eastAsia="宋体"/>
                <w:vertAlign w:val="baseline"/>
                <w:lang w:eastAsia="zh-CN"/>
              </w:rPr>
            </w:pPr>
            <w:r>
              <w:rPr>
                <w:rFonts w:hint="eastAsia" w:eastAsia="宋体"/>
                <w:vertAlign w:val="baseline"/>
                <w:lang w:eastAsia="zh-CN"/>
              </w:rPr>
              <w:t>9、前置红外接收器，遥控器可一键切换内置电脑模式或外接电脑设备模式；具备电视遥控功能和电脑键盘常用的F1—F12功能键及Alt+F4、Alt+Tab、Space、windows等快捷按键，PPT上下翻页、一键锁定/解锁触摸及按键、一键黑屏等功能。</w:t>
            </w:r>
          </w:p>
          <w:p>
            <w:pPr>
              <w:jc w:val="both"/>
              <w:rPr>
                <w:rFonts w:hint="eastAsia" w:eastAsia="宋体"/>
                <w:vertAlign w:val="baseline"/>
                <w:lang w:eastAsia="zh-CN"/>
              </w:rPr>
            </w:pPr>
            <w:r>
              <w:rPr>
                <w:rFonts w:hint="eastAsia" w:eastAsia="宋体"/>
                <w:vertAlign w:val="baseline"/>
                <w:lang w:eastAsia="zh-CN"/>
              </w:rPr>
              <w:t>10、整机需配备Android和Windows双系统，可通过多种方式进行双系统的切换。</w:t>
            </w:r>
          </w:p>
          <w:p>
            <w:pPr>
              <w:jc w:val="both"/>
              <w:rPr>
                <w:rFonts w:hint="eastAsia" w:eastAsia="宋体"/>
                <w:vertAlign w:val="baseline"/>
                <w:lang w:eastAsia="zh-CN"/>
              </w:rPr>
            </w:pPr>
            <w:r>
              <w:rPr>
                <w:rFonts w:hint="eastAsia" w:eastAsia="宋体"/>
                <w:vertAlign w:val="baseline"/>
                <w:lang w:eastAsia="zh-CN"/>
              </w:rPr>
              <w:t>11、内置Android系统版本Android8.0或以上，内存≥3GB，存储空间≥16GB。（提供国家级检测机构出具检测报告，加盖制造商公章）</w:t>
            </w:r>
          </w:p>
          <w:p>
            <w:pPr>
              <w:jc w:val="both"/>
              <w:rPr>
                <w:rFonts w:hint="eastAsia" w:eastAsia="宋体"/>
                <w:vertAlign w:val="baseline"/>
                <w:lang w:eastAsia="zh-CN"/>
              </w:rPr>
            </w:pPr>
            <w:r>
              <w:rPr>
                <w:rFonts w:hint="eastAsia" w:eastAsia="宋体"/>
                <w:vertAlign w:val="baseline"/>
                <w:lang w:eastAsia="zh-CN"/>
              </w:rPr>
              <w:t>12、采用OPS电脑方案，抽拉式且采用intel标准80pin接口，采用手转螺丝锁固定，无需工具即可快速拆卸OPS电脑模块；</w:t>
            </w:r>
          </w:p>
          <w:p>
            <w:pPr>
              <w:jc w:val="both"/>
              <w:rPr>
                <w:rFonts w:hint="eastAsia" w:eastAsia="宋体"/>
                <w:vertAlign w:val="baseline"/>
                <w:lang w:eastAsia="zh-CN"/>
              </w:rPr>
            </w:pPr>
            <w:r>
              <w:rPr>
                <w:rFonts w:hint="eastAsia" w:eastAsia="宋体"/>
                <w:vertAlign w:val="baseline"/>
                <w:lang w:eastAsia="zh-CN"/>
              </w:rPr>
              <w:t>13、★整机OPS电脑接口位置设计必须方便插拔，无需拆卸整机任何结构，即可快速取出。（提供国家级检测机构出具检测报告，加盖制造商公章）</w:t>
            </w:r>
          </w:p>
          <w:p>
            <w:pPr>
              <w:jc w:val="both"/>
              <w:rPr>
                <w:rFonts w:hint="eastAsia" w:eastAsia="宋体"/>
                <w:vertAlign w:val="baseline"/>
                <w:lang w:eastAsia="zh-CN"/>
              </w:rPr>
            </w:pPr>
            <w:r>
              <w:rPr>
                <w:rFonts w:hint="eastAsia" w:eastAsia="宋体"/>
                <w:vertAlign w:val="baseline"/>
                <w:lang w:eastAsia="zh-CN"/>
              </w:rPr>
              <w:t>14、★整机采用左右双侧边菜单虚拟按键设计，开机即显，通过侧边菜单可实现一键主页、全通道放大、一键绿板、信源切换、批注、工具箱、音量调节、中控菜单调取，二维码分享等功能。（提供国家级检测机构出具检测报告，加盖制造商公章）</w:t>
            </w:r>
          </w:p>
          <w:p>
            <w:pPr>
              <w:jc w:val="both"/>
              <w:rPr>
                <w:rFonts w:hint="eastAsia" w:eastAsia="宋体"/>
                <w:vertAlign w:val="baseline"/>
                <w:lang w:eastAsia="zh-CN"/>
              </w:rPr>
            </w:pPr>
            <w:r>
              <w:rPr>
                <w:rFonts w:hint="eastAsia" w:eastAsia="宋体"/>
                <w:vertAlign w:val="baseline"/>
                <w:lang w:eastAsia="zh-CN"/>
              </w:rPr>
              <w:t>15、★为满足用户的个性化需求，前置物理按键需包含一个自定义按键，可方便自定义为：锁屏、录屏、自检、信源切换、调用展台等多项功能；锁屏时可将屏幕触控和按键操作全部锁定。（提供国家级检测机构出具检测报告，加盖制造商公章）</w:t>
            </w:r>
          </w:p>
          <w:p>
            <w:pPr>
              <w:jc w:val="both"/>
              <w:rPr>
                <w:rFonts w:hint="eastAsia" w:eastAsia="宋体"/>
                <w:vertAlign w:val="baseline"/>
                <w:lang w:eastAsia="zh-CN"/>
              </w:rPr>
            </w:pPr>
            <w:r>
              <w:rPr>
                <w:rFonts w:hint="eastAsia" w:eastAsia="宋体"/>
                <w:vertAlign w:val="baseline"/>
                <w:lang w:eastAsia="zh-CN"/>
              </w:rPr>
              <w:t>16、★健康护眼，通过前置物理按键一键启动护眼模式，同时也可通过触控调节蓝光滤值的大小，保护师生视觉健康。（提供国家级检测机构出具检测报告，加盖制造商公章）</w:t>
            </w:r>
          </w:p>
          <w:p>
            <w:pPr>
              <w:jc w:val="both"/>
              <w:rPr>
                <w:rFonts w:hint="eastAsia" w:eastAsia="宋体"/>
                <w:vertAlign w:val="baseline"/>
                <w:lang w:eastAsia="zh-CN"/>
              </w:rPr>
            </w:pPr>
            <w:r>
              <w:rPr>
                <w:rFonts w:hint="eastAsia" w:eastAsia="宋体"/>
                <w:vertAlign w:val="baseline"/>
                <w:lang w:eastAsia="zh-CN"/>
              </w:rPr>
              <w:t>17、★采用DC调光背光技术，有效消除频闪，提搞师生用眼舒适度；使用录像设备录制时，屏幕无‘斜条纹’。（提供国家级检测机构出具检测报告，加盖制造商公章）</w:t>
            </w:r>
          </w:p>
          <w:p>
            <w:pPr>
              <w:jc w:val="both"/>
              <w:rPr>
                <w:rFonts w:hint="eastAsia" w:eastAsia="宋体"/>
                <w:vertAlign w:val="baseline"/>
                <w:lang w:eastAsia="zh-CN"/>
              </w:rPr>
            </w:pPr>
            <w:r>
              <w:rPr>
                <w:rFonts w:hint="eastAsia" w:eastAsia="宋体"/>
                <w:vertAlign w:val="baseline"/>
                <w:lang w:eastAsia="zh-CN"/>
              </w:rPr>
              <w:t>18、★为保证维护便捷，整机具备前置针孔式电脑还原按键，可轻松解决电脑系统故障。（提供国家级检测机构出具检测报告，加盖制造商公章）</w:t>
            </w:r>
          </w:p>
          <w:p>
            <w:pPr>
              <w:jc w:val="both"/>
              <w:rPr>
                <w:rFonts w:hint="eastAsia" w:eastAsia="宋体"/>
                <w:vertAlign w:val="baseline"/>
                <w:lang w:eastAsia="zh-CN"/>
              </w:rPr>
            </w:pPr>
            <w:r>
              <w:rPr>
                <w:rFonts w:hint="eastAsia" w:eastAsia="宋体"/>
                <w:vertAlign w:val="baseline"/>
                <w:lang w:eastAsia="zh-CN"/>
              </w:rPr>
              <w:t>19、前置USB接口全部支持双系统读取，将U 盘插入任意前置USB接口，均能被Windows 及Android 系统识别，无需区分接口对应系统，减少误操作。</w:t>
            </w:r>
          </w:p>
          <w:p>
            <w:pPr>
              <w:jc w:val="both"/>
              <w:rPr>
                <w:rFonts w:hint="eastAsia" w:eastAsia="宋体"/>
                <w:vertAlign w:val="baseline"/>
                <w:lang w:eastAsia="zh-CN"/>
              </w:rPr>
            </w:pPr>
            <w:r>
              <w:rPr>
                <w:rFonts w:hint="eastAsia" w:eastAsia="宋体"/>
                <w:vertAlign w:val="baseline"/>
                <w:lang w:eastAsia="zh-CN"/>
              </w:rPr>
              <w:t>20、外接电脑设备连接整机且触摸信号连通时，外接电脑设备可直接读取整机前置USB接口的移动存储设备数据，连接整机前置USB接口的翻页笔、无线键鼠等外接设备可直接使用于外接电脑，无需重复部署。</w:t>
            </w:r>
          </w:p>
          <w:p>
            <w:pPr>
              <w:jc w:val="both"/>
              <w:rPr>
                <w:rFonts w:hint="eastAsia" w:eastAsia="宋体"/>
                <w:vertAlign w:val="baseline"/>
                <w:lang w:eastAsia="zh-CN"/>
              </w:rPr>
            </w:pPr>
            <w:r>
              <w:rPr>
                <w:rFonts w:hint="eastAsia" w:eastAsia="宋体"/>
                <w:vertAlign w:val="baseline"/>
                <w:lang w:eastAsia="zh-CN"/>
              </w:rPr>
              <w:t>21、★整机支持多种功能禁用开关，方便不同场景，支持触控禁用、按键禁用、遥控器禁用、网络禁用、应用安装/卸载应用等。（提供国家级检测机构出具检测报告，加盖制造商公章）</w:t>
            </w:r>
          </w:p>
          <w:p>
            <w:pPr>
              <w:jc w:val="both"/>
              <w:rPr>
                <w:rFonts w:hint="eastAsia" w:eastAsia="宋体"/>
                <w:vertAlign w:val="baseline"/>
                <w:lang w:eastAsia="zh-CN"/>
              </w:rPr>
            </w:pPr>
            <w:r>
              <w:rPr>
                <w:rFonts w:hint="eastAsia" w:eastAsia="宋体"/>
                <w:vertAlign w:val="baseline"/>
                <w:lang w:eastAsia="zh-CN"/>
              </w:rPr>
              <w:t>22、★屏幕两侧具有软件形态的电子黑板系统快捷菜单，可便捷隐藏，此系统无需借助Windows系统软件即可正常教学，且在任意通道下均可实现以下内容：（提供国家级检测机构出具检测报告，加盖制造商公章）</w:t>
            </w:r>
          </w:p>
          <w:p>
            <w:pPr>
              <w:jc w:val="both"/>
              <w:rPr>
                <w:rFonts w:hint="eastAsia" w:eastAsia="宋体"/>
                <w:vertAlign w:val="baseline"/>
                <w:lang w:eastAsia="zh-CN"/>
              </w:rPr>
            </w:pPr>
            <w:r>
              <w:rPr>
                <w:rFonts w:hint="eastAsia" w:eastAsia="宋体"/>
                <w:vertAlign w:val="baseline"/>
                <w:lang w:eastAsia="zh-CN"/>
              </w:rPr>
              <w:t>1)书写：为用户提供模拟粉笔的书写批注功能，笔支持无限色盘得色彩选择及线性粗细选择，书写的内容支持二次编辑。</w:t>
            </w:r>
          </w:p>
          <w:p>
            <w:pPr>
              <w:jc w:val="both"/>
              <w:rPr>
                <w:rFonts w:hint="eastAsia" w:eastAsia="宋体"/>
                <w:vertAlign w:val="baseline"/>
                <w:lang w:eastAsia="zh-CN"/>
              </w:rPr>
            </w:pPr>
            <w:r>
              <w:rPr>
                <w:rFonts w:hint="eastAsia" w:eastAsia="宋体"/>
                <w:vertAlign w:val="baseline"/>
                <w:lang w:eastAsia="zh-CN"/>
              </w:rPr>
              <w:t>2)板面：为用户提供常见的黑、白、绿背景板面供选择；</w:t>
            </w:r>
          </w:p>
          <w:p>
            <w:pPr>
              <w:jc w:val="both"/>
              <w:rPr>
                <w:rFonts w:hint="eastAsia" w:eastAsia="宋体"/>
                <w:vertAlign w:val="baseline"/>
                <w:lang w:eastAsia="zh-CN"/>
              </w:rPr>
            </w:pPr>
            <w:r>
              <w:rPr>
                <w:rFonts w:hint="eastAsia" w:eastAsia="宋体"/>
                <w:vertAlign w:val="baseline"/>
                <w:lang w:eastAsia="zh-CN"/>
              </w:rPr>
              <w:t>3)对象编辑：用户可对屏幕内容进行拖动、截图、缩放、旋转等操作；</w:t>
            </w:r>
          </w:p>
          <w:p>
            <w:pPr>
              <w:jc w:val="both"/>
              <w:rPr>
                <w:rFonts w:hint="eastAsia" w:eastAsia="宋体"/>
                <w:vertAlign w:val="baseline"/>
                <w:lang w:eastAsia="zh-CN"/>
              </w:rPr>
            </w:pPr>
            <w:r>
              <w:rPr>
                <w:rFonts w:hint="eastAsia" w:eastAsia="宋体"/>
                <w:vertAlign w:val="baseline"/>
                <w:lang w:eastAsia="zh-CN"/>
              </w:rPr>
              <w:t>4)内容回顾：书写内容占满屏幕后，可切换至下一页，需要时，教师可回切至相应的页面，对过往内容进行回顾；</w:t>
            </w:r>
          </w:p>
          <w:p>
            <w:pPr>
              <w:jc w:val="both"/>
              <w:rPr>
                <w:rFonts w:hint="eastAsia" w:eastAsia="宋体"/>
                <w:vertAlign w:val="baseline"/>
                <w:lang w:eastAsia="zh-CN"/>
              </w:rPr>
            </w:pPr>
            <w:r>
              <w:rPr>
                <w:rFonts w:hint="eastAsia" w:eastAsia="宋体"/>
                <w:vertAlign w:val="baseline"/>
                <w:lang w:eastAsia="zh-CN"/>
              </w:rPr>
              <w:t>5)保存与分享：批注笔迹和背景层的快速保存，并可通过生成二维码的方式分享，亦可对分享内容加密，保护隐私。</w:t>
            </w:r>
          </w:p>
          <w:p>
            <w:pPr>
              <w:jc w:val="both"/>
              <w:rPr>
                <w:rFonts w:hint="eastAsia" w:eastAsia="宋体"/>
                <w:vertAlign w:val="baseline"/>
                <w:lang w:eastAsia="zh-CN"/>
              </w:rPr>
            </w:pPr>
            <w:r>
              <w:rPr>
                <w:rFonts w:hint="eastAsia" w:eastAsia="宋体"/>
                <w:vertAlign w:val="baseline"/>
                <w:lang w:eastAsia="zh-CN"/>
              </w:rPr>
              <w:t>6)便捷切换：支持一键切换批注与触控状态，支持一键切换电子黑板与信源界面。</w:t>
            </w:r>
          </w:p>
          <w:p>
            <w:pPr>
              <w:jc w:val="both"/>
              <w:rPr>
                <w:rFonts w:hint="eastAsia" w:eastAsia="宋体"/>
                <w:vertAlign w:val="baseline"/>
                <w:lang w:eastAsia="zh-CN"/>
              </w:rPr>
            </w:pPr>
            <w:r>
              <w:rPr>
                <w:rFonts w:hint="eastAsia" w:eastAsia="宋体"/>
                <w:vertAlign w:val="baseline"/>
                <w:lang w:eastAsia="zh-CN"/>
              </w:rPr>
              <w:t>23、支持在任意通道下将画面冻结并双击画面任一部分进行放大，放大后的屏幕画面可进行任意拖拽等操作。（提供国家级检测机构出具检测报告，加盖制造商公章）</w:t>
            </w:r>
          </w:p>
          <w:p>
            <w:pPr>
              <w:jc w:val="both"/>
              <w:rPr>
                <w:rFonts w:hint="eastAsia" w:eastAsia="宋体"/>
                <w:vertAlign w:val="baseline"/>
                <w:lang w:eastAsia="zh-CN"/>
              </w:rPr>
            </w:pPr>
            <w:r>
              <w:rPr>
                <w:rFonts w:hint="eastAsia" w:eastAsia="宋体"/>
                <w:vertAlign w:val="baseline"/>
                <w:lang w:eastAsia="zh-CN"/>
              </w:rPr>
              <w:t>24、★支持在任意通道下调取幕布、聚光灯、截屏、秒表、倒计时、倒计日、 随机数、自检等小工具。（提供国家级检测机构出具检测报告，加盖制造商公章）</w:t>
            </w:r>
          </w:p>
          <w:p>
            <w:pPr>
              <w:jc w:val="both"/>
              <w:rPr>
                <w:rFonts w:hint="eastAsia" w:eastAsia="宋体"/>
                <w:vertAlign w:val="baseline"/>
                <w:lang w:eastAsia="zh-CN"/>
              </w:rPr>
            </w:pPr>
            <w:r>
              <w:rPr>
                <w:rFonts w:hint="eastAsia" w:eastAsia="宋体"/>
                <w:vertAlign w:val="baseline"/>
                <w:lang w:eastAsia="zh-CN"/>
              </w:rPr>
              <w:t>25、半屏模式：通过四指下滑手势快捷实现液晶屏显示窗口下移，并可进行触控操作。（提供国家级检测机构出具检测报告，加盖制造商公章）</w:t>
            </w:r>
          </w:p>
          <w:p>
            <w:pPr>
              <w:jc w:val="both"/>
              <w:rPr>
                <w:rFonts w:hint="eastAsia" w:eastAsia="宋体"/>
                <w:vertAlign w:val="baseline"/>
                <w:lang w:eastAsia="zh-CN"/>
              </w:rPr>
            </w:pPr>
            <w:r>
              <w:rPr>
                <w:rFonts w:hint="eastAsia" w:eastAsia="宋体"/>
                <w:vertAlign w:val="baseline"/>
                <w:lang w:eastAsia="zh-CN"/>
              </w:rPr>
              <w:t>26、内置蓝牙模块，能连接外部蓝牙音响播放音频；也能连接外部手机通过内置扬声器播放手机音频，同时支持接受手机发送的文件。（提供国家级检测机构出具检测报告，加盖制造商公章）</w:t>
            </w:r>
          </w:p>
          <w:p>
            <w:pPr>
              <w:jc w:val="both"/>
              <w:rPr>
                <w:rFonts w:hint="eastAsia" w:eastAsia="宋体"/>
                <w:vertAlign w:val="baseline"/>
                <w:lang w:eastAsia="zh-CN"/>
              </w:rPr>
            </w:pPr>
            <w:r>
              <w:rPr>
                <w:rFonts w:hint="eastAsia" w:eastAsia="宋体"/>
                <w:vertAlign w:val="baseline"/>
                <w:lang w:eastAsia="zh-CN"/>
              </w:rPr>
              <w:t>二、OPS电脑配置要求</w:t>
            </w:r>
          </w:p>
          <w:p>
            <w:pPr>
              <w:jc w:val="both"/>
              <w:rPr>
                <w:rFonts w:hint="eastAsia" w:eastAsia="宋体"/>
                <w:vertAlign w:val="baseline"/>
                <w:lang w:eastAsia="zh-CN"/>
              </w:rPr>
            </w:pPr>
            <w:r>
              <w:rPr>
                <w:rFonts w:hint="eastAsia" w:eastAsia="宋体"/>
                <w:vertAlign w:val="baseline"/>
                <w:lang w:eastAsia="zh-CN"/>
              </w:rPr>
              <w:t>27、采用Intel 酷睿系列i5 CPU；内存：8GB DDR4笔记本内存或以上配置。硬盘：256GB或以上SSD固态硬盘。</w:t>
            </w:r>
          </w:p>
          <w:p>
            <w:pPr>
              <w:jc w:val="both"/>
              <w:rPr>
                <w:rFonts w:hint="eastAsia" w:eastAsia="宋体"/>
                <w:vertAlign w:val="baseline"/>
                <w:lang w:eastAsia="zh-CN"/>
              </w:rPr>
            </w:pPr>
            <w:r>
              <w:rPr>
                <w:rFonts w:hint="eastAsia" w:eastAsia="宋体"/>
                <w:vertAlign w:val="baseline"/>
                <w:lang w:eastAsia="zh-CN"/>
              </w:rPr>
              <w:t>28、具有独立非外扩展的电脑USB接口：电脑上至少具备3个USB3.0 Type-A接口。</w:t>
            </w:r>
          </w:p>
          <w:p>
            <w:pPr>
              <w:jc w:val="both"/>
              <w:rPr>
                <w:rFonts w:hint="eastAsia" w:eastAsia="宋体"/>
                <w:vertAlign w:val="baseline"/>
                <w:lang w:eastAsia="zh-CN"/>
              </w:rPr>
            </w:pPr>
            <w:r>
              <w:rPr>
                <w:rFonts w:hint="eastAsia" w:eastAsia="宋体"/>
                <w:vertAlign w:val="baseline"/>
                <w:lang w:eastAsia="zh-CN"/>
              </w:rPr>
              <w:t>29、具有独立非外扩展的视频输出接口：≥1路HDMI 。</w:t>
            </w:r>
          </w:p>
          <w:p>
            <w:pPr>
              <w:jc w:val="both"/>
              <w:rPr>
                <w:rFonts w:hint="eastAsia" w:eastAsia="宋体"/>
                <w:vertAlign w:val="baseline"/>
                <w:lang w:eastAsia="zh-CN"/>
              </w:rPr>
            </w:pPr>
            <w:r>
              <w:rPr>
                <w:rFonts w:hint="eastAsia" w:eastAsia="宋体"/>
                <w:vertAlign w:val="baseline"/>
                <w:lang w:eastAsia="zh-CN"/>
              </w:rPr>
              <w:t>30、支持跨服务器进行管理，上级单位可通过云端服务器对所有下级单位的服务器及设备进行管控，各教学楼、分校区等可通过自有的管理服务器为本单位一体机的OPS提供桌面服务，远程巡课，上级单位也可以通过云服务器查看管控下级单位的一体机OPS的使用情况，并且也可进行远程巡课及桌面服务；（提供功能截图加盖制造商公章）</w:t>
            </w:r>
          </w:p>
          <w:p>
            <w:pPr>
              <w:jc w:val="both"/>
              <w:rPr>
                <w:rFonts w:hint="eastAsia" w:eastAsia="宋体"/>
                <w:vertAlign w:val="baseline"/>
                <w:lang w:eastAsia="zh-CN"/>
              </w:rPr>
            </w:pPr>
            <w:r>
              <w:rPr>
                <w:rFonts w:hint="eastAsia" w:eastAsia="宋体"/>
                <w:vertAlign w:val="baseline"/>
                <w:lang w:eastAsia="zh-CN"/>
              </w:rPr>
              <w:t>三、教学软件</w:t>
            </w:r>
          </w:p>
          <w:p>
            <w:pPr>
              <w:jc w:val="both"/>
              <w:rPr>
                <w:rFonts w:hint="eastAsia" w:eastAsia="宋体"/>
                <w:vertAlign w:val="baseline"/>
                <w:lang w:eastAsia="zh-CN"/>
              </w:rPr>
            </w:pPr>
            <w:r>
              <w:rPr>
                <w:rFonts w:hint="eastAsia" w:eastAsia="宋体"/>
                <w:vertAlign w:val="baseline"/>
                <w:lang w:eastAsia="zh-CN"/>
              </w:rPr>
              <w:t>Ⅰ、PC端白板软件</w:t>
            </w:r>
          </w:p>
          <w:p>
            <w:pPr>
              <w:jc w:val="both"/>
              <w:rPr>
                <w:rFonts w:hint="eastAsia" w:eastAsia="宋体"/>
                <w:vertAlign w:val="baseline"/>
                <w:lang w:eastAsia="zh-CN"/>
              </w:rPr>
            </w:pPr>
            <w:r>
              <w:rPr>
                <w:rFonts w:hint="eastAsia" w:eastAsia="宋体"/>
                <w:vertAlign w:val="baseline"/>
                <w:lang w:eastAsia="zh-CN"/>
              </w:rPr>
              <w:t>1、软件支持账号密码或手机扫码快速登录，首次可通过微信扫码快速注册账户，切合用户实际需求，无需指定账户。</w:t>
            </w:r>
          </w:p>
          <w:p>
            <w:pPr>
              <w:jc w:val="both"/>
              <w:rPr>
                <w:rFonts w:hint="eastAsia" w:eastAsia="宋体"/>
                <w:vertAlign w:val="baseline"/>
                <w:lang w:eastAsia="zh-CN"/>
              </w:rPr>
            </w:pPr>
            <w:r>
              <w:rPr>
                <w:rFonts w:hint="eastAsia" w:eastAsia="宋体"/>
                <w:vertAlign w:val="baseline"/>
                <w:lang w:eastAsia="zh-CN"/>
              </w:rPr>
              <w:t>2、软件支持多种云存储模式，除可以保存至教师个人账户云盘，也可保存至第三方云盘（如百度云盘）。</w:t>
            </w:r>
          </w:p>
          <w:p>
            <w:pPr>
              <w:jc w:val="both"/>
              <w:rPr>
                <w:rFonts w:hint="eastAsia" w:eastAsia="宋体"/>
                <w:vertAlign w:val="baseline"/>
                <w:lang w:eastAsia="zh-CN"/>
              </w:rPr>
            </w:pPr>
            <w:r>
              <w:rPr>
                <w:rFonts w:hint="eastAsia" w:eastAsia="宋体"/>
                <w:vertAlign w:val="baseline"/>
                <w:lang w:eastAsia="zh-CN"/>
              </w:rPr>
              <w:t>3、★文件胶囊：支持将课程所需演示文稿、图片、视频等格式的文档拖入胶囊之中，胶囊中的所有文件可进行轮巡播放及照片墙两种界面展示；支持检测到U盘接入后，文件胶囊自动显示U盘图标，支持直接拖拽U盘内媒体文件至软件页面之中展示；</w:t>
            </w:r>
          </w:p>
          <w:p>
            <w:pPr>
              <w:jc w:val="both"/>
              <w:rPr>
                <w:rFonts w:hint="eastAsia" w:eastAsia="宋体"/>
                <w:vertAlign w:val="baseline"/>
                <w:lang w:eastAsia="zh-CN"/>
              </w:rPr>
            </w:pPr>
            <w:r>
              <w:rPr>
                <w:rFonts w:hint="eastAsia" w:eastAsia="宋体"/>
                <w:vertAlign w:val="baseline"/>
                <w:lang w:eastAsia="zh-CN"/>
              </w:rPr>
              <w:t>4、★为方便用户，软件支持窗口化打开多种格式的素材文件;至少包含PPT文稿、视频、图片等；PPT文稿窗口化打开后，仍支持任意拖拽调节显示大小，并支持上下翻页，同时支持一键原文件格式打开。</w:t>
            </w:r>
          </w:p>
          <w:p>
            <w:pPr>
              <w:jc w:val="both"/>
              <w:rPr>
                <w:rFonts w:hint="eastAsia" w:eastAsia="宋体"/>
                <w:vertAlign w:val="baseline"/>
                <w:lang w:eastAsia="zh-CN"/>
              </w:rPr>
            </w:pPr>
            <w:r>
              <w:rPr>
                <w:rFonts w:hint="eastAsia" w:eastAsia="宋体"/>
                <w:vertAlign w:val="baseline"/>
                <w:lang w:eastAsia="zh-CN"/>
              </w:rPr>
              <w:t>5、★软件内置互动课堂，不接受多个软件方式，可通过大屏软件端或移动端一键开启互动课堂功能；支持投票、抢答、随机选人、弹幕、发送屏幕、发送文件等常用功能；其中投票支持字母、数字、文字、判断、评分、白板等至少6种方式，方便不同题型互动，投票结果均支持快速调取或插入页面显示。</w:t>
            </w:r>
          </w:p>
          <w:p>
            <w:pPr>
              <w:jc w:val="both"/>
              <w:rPr>
                <w:rFonts w:hint="eastAsia" w:eastAsia="宋体"/>
                <w:vertAlign w:val="baseline"/>
                <w:lang w:eastAsia="zh-CN"/>
              </w:rPr>
            </w:pPr>
            <w:r>
              <w:rPr>
                <w:rFonts w:hint="eastAsia" w:eastAsia="宋体"/>
                <w:vertAlign w:val="baseline"/>
                <w:lang w:eastAsia="zh-CN"/>
              </w:rPr>
              <w:t>6、★软件内置移动讲台接收端；支持扫描二维码下载移动端软件；</w:t>
            </w:r>
          </w:p>
          <w:p>
            <w:pPr>
              <w:jc w:val="both"/>
              <w:rPr>
                <w:rFonts w:hint="eastAsia" w:eastAsia="宋体"/>
                <w:vertAlign w:val="baseline"/>
                <w:lang w:eastAsia="zh-CN"/>
              </w:rPr>
            </w:pPr>
            <w:r>
              <w:rPr>
                <w:rFonts w:hint="eastAsia" w:eastAsia="宋体"/>
                <w:vertAlign w:val="baseline"/>
                <w:lang w:eastAsia="zh-CN"/>
              </w:rPr>
              <w:t>7、★软件内置浏览器，支持将网页上的图片快速插入页面内；支持将网页上的文字快速插入页面内。</w:t>
            </w:r>
          </w:p>
          <w:p>
            <w:pPr>
              <w:jc w:val="both"/>
              <w:rPr>
                <w:rFonts w:hint="eastAsia" w:eastAsia="宋体"/>
                <w:vertAlign w:val="baseline"/>
                <w:lang w:eastAsia="zh-CN"/>
              </w:rPr>
            </w:pPr>
            <w:r>
              <w:rPr>
                <w:rFonts w:hint="eastAsia" w:eastAsia="宋体"/>
                <w:vertAlign w:val="baseline"/>
                <w:lang w:eastAsia="zh-CN"/>
              </w:rPr>
              <w:t>8、书写：支持多人书写及手势擦除；提供硬笔、软笔、排笔、马克笔、激光笔、魔法笔、纹理笔等≥7种属性笔；提供≥4种笔迹宽度预置及≥10、种基础色可选，并支持调节笔迹透明度。</w:t>
            </w:r>
          </w:p>
          <w:p>
            <w:pPr>
              <w:jc w:val="both"/>
              <w:rPr>
                <w:rFonts w:hint="eastAsia" w:eastAsia="宋体"/>
                <w:vertAlign w:val="baseline"/>
                <w:lang w:eastAsia="zh-CN"/>
              </w:rPr>
            </w:pPr>
            <w:r>
              <w:rPr>
                <w:rFonts w:hint="eastAsia" w:eastAsia="宋体"/>
                <w:vertAlign w:val="baseline"/>
                <w:lang w:eastAsia="zh-CN"/>
              </w:rPr>
              <w:t>9、擦除：提供圈擦、对象擦、点擦除、全擦等≥4种擦除方式。</w:t>
            </w:r>
          </w:p>
          <w:p>
            <w:pPr>
              <w:jc w:val="both"/>
              <w:rPr>
                <w:rFonts w:hint="eastAsia" w:eastAsia="宋体"/>
                <w:vertAlign w:val="baseline"/>
                <w:lang w:eastAsia="zh-CN"/>
              </w:rPr>
            </w:pPr>
            <w:r>
              <w:rPr>
                <w:rFonts w:hint="eastAsia" w:eastAsia="宋体"/>
                <w:vertAlign w:val="baseline"/>
                <w:lang w:eastAsia="zh-CN"/>
              </w:rPr>
              <w:t>10、★漫游：书写画布可实现无限漫游功能，并支持快速预览整个画布的全局内容，并支持快速定位到所选内容处。</w:t>
            </w:r>
          </w:p>
          <w:p>
            <w:pPr>
              <w:jc w:val="both"/>
              <w:rPr>
                <w:rFonts w:hint="eastAsia" w:eastAsia="宋体"/>
                <w:vertAlign w:val="baseline"/>
                <w:lang w:eastAsia="zh-CN"/>
              </w:rPr>
            </w:pPr>
            <w:r>
              <w:rPr>
                <w:rFonts w:hint="eastAsia" w:eastAsia="宋体"/>
                <w:vertAlign w:val="baseline"/>
                <w:lang w:eastAsia="zh-CN"/>
              </w:rPr>
              <w:t>11、幕布：支持遮挡页面全部区域及页面中的指定区域，移动指定区域的幕布后支持快速复位；幕布支持更换为本地的图片。</w:t>
            </w:r>
          </w:p>
          <w:p>
            <w:pPr>
              <w:jc w:val="both"/>
              <w:rPr>
                <w:rFonts w:hint="eastAsia" w:eastAsia="宋体"/>
                <w:vertAlign w:val="baseline"/>
                <w:lang w:eastAsia="zh-CN"/>
              </w:rPr>
            </w:pPr>
            <w:r>
              <w:rPr>
                <w:rFonts w:hint="eastAsia" w:eastAsia="宋体"/>
                <w:vertAlign w:val="baseline"/>
                <w:lang w:eastAsia="zh-CN"/>
              </w:rPr>
              <w:t>12、形状工具，包含基础几何图形，不少于10种；常用符号图形，不少于30种，涂色卡图形，不少于12种。</w:t>
            </w:r>
          </w:p>
          <w:p>
            <w:pPr>
              <w:jc w:val="both"/>
              <w:rPr>
                <w:rFonts w:hint="eastAsia" w:eastAsia="宋体"/>
                <w:vertAlign w:val="baseline"/>
                <w:lang w:eastAsia="zh-CN"/>
              </w:rPr>
            </w:pPr>
            <w:r>
              <w:rPr>
                <w:rFonts w:hint="eastAsia" w:eastAsia="宋体"/>
                <w:vertAlign w:val="baseline"/>
                <w:lang w:eastAsia="zh-CN"/>
              </w:rPr>
              <w:t>13、★矢量图标，包含动物35个或以上，建筑30个或以上，食物20个或以上，蔬菜20个或以上，昆虫15个或以上，实验30个或以上，海洋15个或以上，自然25个或以上，符号20个或以上，工具20个或以上，交通20个或以上。所有图标可任意缩放。</w:t>
            </w:r>
          </w:p>
          <w:p>
            <w:pPr>
              <w:jc w:val="both"/>
              <w:rPr>
                <w:rFonts w:hint="eastAsia" w:eastAsia="宋体"/>
                <w:vertAlign w:val="baseline"/>
                <w:lang w:eastAsia="zh-CN"/>
              </w:rPr>
            </w:pPr>
            <w:r>
              <w:rPr>
                <w:rFonts w:hint="eastAsia" w:eastAsia="宋体"/>
                <w:vertAlign w:val="baseline"/>
                <w:lang w:eastAsia="zh-CN"/>
              </w:rPr>
              <w:t>14、★玲珑画板：支持自建画板内容，可快速绘制正多面体，正多边形，并自动标记顶点；创建多种对象时，支持交点、等分点、中心点的快速生成，亦可自动显示角平分线、垂线、平行线等。</w:t>
            </w:r>
          </w:p>
          <w:p>
            <w:pPr>
              <w:jc w:val="both"/>
              <w:rPr>
                <w:rFonts w:hint="eastAsia" w:eastAsia="宋体"/>
                <w:vertAlign w:val="baseline"/>
                <w:lang w:eastAsia="zh-CN"/>
              </w:rPr>
            </w:pPr>
            <w:r>
              <w:rPr>
                <w:rFonts w:hint="eastAsia" w:eastAsia="宋体"/>
                <w:vertAlign w:val="baseline"/>
                <w:lang w:eastAsia="zh-CN"/>
              </w:rPr>
              <w:t>15、函数绘制：支持快速绘制常用函数图像，包含圆锥曲线、三角函数、对数函数、指数函数、幂函数、反比例函数、标准正态分布等。</w:t>
            </w:r>
          </w:p>
          <w:p>
            <w:pPr>
              <w:jc w:val="both"/>
              <w:rPr>
                <w:rFonts w:hint="eastAsia" w:eastAsia="宋体"/>
                <w:vertAlign w:val="baseline"/>
                <w:lang w:eastAsia="zh-CN"/>
              </w:rPr>
            </w:pPr>
            <w:r>
              <w:rPr>
                <w:rFonts w:hint="eastAsia" w:eastAsia="宋体"/>
                <w:vertAlign w:val="baseline"/>
                <w:lang w:eastAsia="zh-CN"/>
              </w:rPr>
              <w:t>16、页面元素：点击页面上的元素，可通过属性板快速编辑所需内容，属性板可左右切换，方便大屏使用。</w:t>
            </w:r>
          </w:p>
          <w:p>
            <w:pPr>
              <w:jc w:val="both"/>
              <w:rPr>
                <w:rFonts w:hint="eastAsia" w:eastAsia="宋体"/>
                <w:vertAlign w:val="baseline"/>
                <w:lang w:eastAsia="zh-CN"/>
              </w:rPr>
            </w:pPr>
            <w:r>
              <w:rPr>
                <w:rFonts w:hint="eastAsia" w:eastAsia="宋体"/>
                <w:vertAlign w:val="baseline"/>
                <w:lang w:eastAsia="zh-CN"/>
              </w:rPr>
              <w:t>17、★当在页面中选中两个图形或图片元素时，即可进行结合、组合、相交、剪去、分割等5个运算；便于老师讲解图形关系及更好的处理图片元素。</w:t>
            </w:r>
          </w:p>
          <w:p>
            <w:pPr>
              <w:jc w:val="both"/>
              <w:rPr>
                <w:rFonts w:hint="eastAsia" w:eastAsia="宋体"/>
                <w:vertAlign w:val="baseline"/>
                <w:lang w:eastAsia="zh-CN"/>
              </w:rPr>
            </w:pPr>
            <w:r>
              <w:rPr>
                <w:rFonts w:hint="eastAsia" w:eastAsia="宋体"/>
                <w:vertAlign w:val="baseline"/>
                <w:lang w:eastAsia="zh-CN"/>
              </w:rPr>
              <w:t>Ⅱ、移动端白板软件</w:t>
            </w:r>
          </w:p>
          <w:p>
            <w:pPr>
              <w:jc w:val="both"/>
              <w:rPr>
                <w:rFonts w:hint="eastAsia" w:eastAsia="宋体"/>
                <w:vertAlign w:val="baseline"/>
                <w:lang w:eastAsia="zh-CN"/>
              </w:rPr>
            </w:pPr>
            <w:r>
              <w:rPr>
                <w:rFonts w:hint="eastAsia" w:eastAsia="宋体"/>
                <w:vertAlign w:val="baseline"/>
                <w:lang w:eastAsia="zh-CN"/>
              </w:rPr>
              <w:t>18、★课件预览：支持查看云盘课件，快速预览且支持将课件或课件组通过微信、朋友圈、二维码、链接等方式进行分享，分享支持加密，有效期可自定义。</w:t>
            </w:r>
          </w:p>
          <w:p>
            <w:pPr>
              <w:jc w:val="both"/>
              <w:rPr>
                <w:rFonts w:hint="eastAsia" w:eastAsia="宋体"/>
                <w:vertAlign w:val="baseline"/>
                <w:lang w:eastAsia="zh-CN"/>
              </w:rPr>
            </w:pPr>
            <w:r>
              <w:rPr>
                <w:rFonts w:hint="eastAsia" w:eastAsia="宋体"/>
                <w:vertAlign w:val="baseline"/>
                <w:lang w:eastAsia="zh-CN"/>
              </w:rPr>
              <w:t>19、移动讲台：支持手机、pad移动端与交互智能平板连接后，实现常用功能如影像上传、投屏、播放课件、直播；支持同时上传多张照片进行同屏对比，并可通过移动端实现激光笔、聚光灯、双向批注及撤销功能，其中批注功能支持3 种或以上颜色选择；手机与交互智能平板电脑画面双向互传，可实现手机实时控制、随时批注交互智能平板电脑桌面；</w:t>
            </w:r>
          </w:p>
          <w:p>
            <w:pPr>
              <w:jc w:val="both"/>
              <w:rPr>
                <w:rFonts w:hint="eastAsia" w:eastAsia="宋体"/>
                <w:vertAlign w:val="baseline"/>
                <w:lang w:eastAsia="zh-CN"/>
              </w:rPr>
            </w:pPr>
            <w:r>
              <w:rPr>
                <w:rFonts w:hint="eastAsia" w:eastAsia="宋体"/>
                <w:vertAlign w:val="baseline"/>
                <w:lang w:eastAsia="zh-CN"/>
              </w:rPr>
              <w:t>20、支持Office或白板软件课件远程同步，可通过移动端对交互智能平板上的课件实现页面预览、远程翻页、双向批注、激光笔等功能，其中批注功能支持3 种或以上颜色选择</w:t>
            </w:r>
          </w:p>
          <w:p>
            <w:pPr>
              <w:jc w:val="both"/>
              <w:rPr>
                <w:rFonts w:hint="eastAsia" w:eastAsia="宋体"/>
                <w:vertAlign w:val="baseline"/>
                <w:lang w:eastAsia="zh-CN"/>
              </w:rPr>
            </w:pPr>
            <w:r>
              <w:rPr>
                <w:rFonts w:hint="eastAsia" w:eastAsia="宋体"/>
                <w:vertAlign w:val="baseline"/>
                <w:lang w:eastAsia="zh-CN"/>
              </w:rPr>
              <w:t>21、★语音助手：支持手机、pad移动端与交互智能平板连接后一键开启语音助手，可通过移动端语音控制软件操作，至少支持语音控制，实现以下功能：上下翻页、调用聚光灯、幕布、截图、计时器、日历、时钟、小白板等工具。</w:t>
            </w:r>
          </w:p>
          <w:p>
            <w:pPr>
              <w:jc w:val="both"/>
              <w:rPr>
                <w:rFonts w:hint="eastAsia" w:eastAsia="宋体"/>
                <w:vertAlign w:val="baseline"/>
                <w:lang w:eastAsia="zh-CN"/>
              </w:rPr>
            </w:pPr>
            <w:r>
              <w:rPr>
                <w:rFonts w:hint="eastAsia" w:eastAsia="宋体"/>
                <w:vertAlign w:val="baseline"/>
                <w:lang w:eastAsia="zh-CN"/>
              </w:rPr>
              <w:t>22、★文件胶囊：支持手机、pad移动端与交互智能平板连接后，支持将移动端中图片、视频、文档等文件快速添加至移动端胶囊中，同时可同步大屏端胶囊中内容至移动端；可通过点击文件快速在大屏端展示。</w:t>
            </w:r>
          </w:p>
          <w:p>
            <w:pPr>
              <w:jc w:val="both"/>
              <w:rPr>
                <w:rFonts w:hint="eastAsia" w:eastAsia="宋体"/>
                <w:vertAlign w:val="baseline"/>
                <w:lang w:eastAsia="zh-CN"/>
              </w:rPr>
            </w:pPr>
            <w:r>
              <w:rPr>
                <w:rFonts w:hint="eastAsia" w:eastAsia="宋体"/>
                <w:vertAlign w:val="baseline"/>
                <w:lang w:eastAsia="zh-CN"/>
              </w:rPr>
              <w:t>Ⅲ、共享社区</w:t>
            </w:r>
          </w:p>
          <w:p>
            <w:pPr>
              <w:jc w:val="both"/>
              <w:rPr>
                <w:rFonts w:hint="eastAsia" w:eastAsia="宋体"/>
                <w:vertAlign w:val="baseline"/>
                <w:lang w:eastAsia="zh-CN"/>
              </w:rPr>
            </w:pPr>
            <w:r>
              <w:rPr>
                <w:rFonts w:hint="eastAsia" w:eastAsia="宋体"/>
                <w:vertAlign w:val="baseline"/>
                <w:lang w:eastAsia="zh-CN"/>
              </w:rPr>
              <w:t>23、★无需特定软件或设备，通过浏览器即可进入云课件社区，使用白板账户登录，即可查看管理个人云课件；支持在网页上快速预览并全屏播放课件。</w:t>
            </w:r>
          </w:p>
          <w:p>
            <w:pPr>
              <w:jc w:val="both"/>
              <w:rPr>
                <w:rFonts w:hint="eastAsia" w:eastAsia="宋体"/>
                <w:vertAlign w:val="baseline"/>
                <w:lang w:eastAsia="zh-CN"/>
              </w:rPr>
            </w:pPr>
            <w:r>
              <w:rPr>
                <w:rFonts w:hint="eastAsia" w:eastAsia="宋体"/>
                <w:vertAlign w:val="baseline"/>
                <w:lang w:eastAsia="zh-CN"/>
              </w:rPr>
              <w:t>24、在社区个人中心，可将个人课件共享到社区，共享的课件可供社区所有用户查看、收藏、下载。</w:t>
            </w:r>
          </w:p>
          <w:p>
            <w:pPr>
              <w:jc w:val="both"/>
              <w:rPr>
                <w:rFonts w:hint="eastAsia" w:eastAsia="宋体"/>
                <w:vertAlign w:val="baseline"/>
                <w:lang w:eastAsia="zh-CN"/>
              </w:rPr>
            </w:pPr>
            <w:r>
              <w:rPr>
                <w:rFonts w:hint="eastAsia" w:eastAsia="宋体"/>
                <w:vertAlign w:val="baseline"/>
                <w:lang w:eastAsia="zh-CN"/>
              </w:rPr>
              <w:t>25、在社区中也可查看热门课件，最新动态，及关注的用户所分享内容。以便校本资源建设。</w:t>
            </w:r>
          </w:p>
          <w:p>
            <w:pPr>
              <w:jc w:val="both"/>
              <w:rPr>
                <w:rFonts w:hint="eastAsia" w:eastAsia="宋体"/>
                <w:vertAlign w:val="baseline"/>
                <w:lang w:eastAsia="zh-CN"/>
              </w:rPr>
            </w:pPr>
            <w:r>
              <w:rPr>
                <w:rFonts w:hint="eastAsia" w:eastAsia="宋体"/>
                <w:vertAlign w:val="baseline"/>
                <w:lang w:eastAsia="zh-CN"/>
              </w:rPr>
              <w:t>26、课件榜单：在榜单中可查看最热门课件内容，方便社区成员快速获取优质课件。</w:t>
            </w:r>
          </w:p>
          <w:p>
            <w:pPr>
              <w:jc w:val="both"/>
              <w:rPr>
                <w:rFonts w:hint="eastAsia" w:eastAsia="宋体"/>
                <w:vertAlign w:val="baseline"/>
                <w:lang w:eastAsia="zh-CN"/>
              </w:rPr>
            </w:pPr>
            <w:r>
              <w:rPr>
                <w:rFonts w:hint="eastAsia" w:eastAsia="宋体"/>
                <w:vertAlign w:val="baseline"/>
                <w:lang w:eastAsia="zh-CN"/>
              </w:rPr>
              <w:t>Ⅳ、教学资源</w:t>
            </w:r>
          </w:p>
          <w:p>
            <w:pPr>
              <w:jc w:val="both"/>
              <w:rPr>
                <w:rFonts w:hint="eastAsia" w:eastAsia="宋体"/>
                <w:vertAlign w:val="baseline"/>
                <w:lang w:eastAsia="zh-CN"/>
              </w:rPr>
            </w:pPr>
            <w:r>
              <w:rPr>
                <w:rFonts w:hint="eastAsia" w:eastAsia="宋体"/>
                <w:vertAlign w:val="baseline"/>
                <w:lang w:eastAsia="zh-CN"/>
              </w:rPr>
              <w:t>27、★视频课堂：提供涵盖小学和初中的微视频课程，视频课程均按照教材版本同步知识点讲解，每个知识点讲解时长超过5分钟；至少包含人民教育出版社、北京师范大学出版社、江苏凤凰教育出版社、语文教育出版社、河北教育出版社、山东教育出版社、北京出版社等出版社；至少包含语文、数学、英语、物理、化学、生物、地理、历史、道德与法治、思想品德等主要学科；视频数量超8000个。</w:t>
            </w:r>
          </w:p>
          <w:p>
            <w:pPr>
              <w:jc w:val="both"/>
              <w:rPr>
                <w:rFonts w:hint="eastAsia" w:eastAsia="宋体"/>
                <w:vertAlign w:val="baseline"/>
                <w:lang w:eastAsia="zh-CN"/>
              </w:rPr>
            </w:pPr>
            <w:r>
              <w:rPr>
                <w:rFonts w:hint="eastAsia" w:eastAsia="宋体"/>
                <w:vertAlign w:val="baseline"/>
                <w:lang w:eastAsia="zh-CN"/>
              </w:rPr>
              <w:t>28、★电子课本：提供与用户纸质教材相同的电子课本，支持目录导航、单双页切换显示、区域放大、书签等功能；电子课本包含K12年级语文、数学、英语、物理、化学、生物、地理、历史、思想政治、音乐、美术、思想品德、体育与健康、书法、信息技术等15个科目；至少涵盖人民教育出版社、北京师范大学出版社、江苏凤凰教育出版社、语文教育出版社、河北教育出版社、山东教育出版社、北京出版社、上海教育出版社、外研社、西南师范大学出版社、教育科学等出版社。</w:t>
            </w:r>
          </w:p>
          <w:p>
            <w:pPr>
              <w:jc w:val="both"/>
              <w:rPr>
                <w:rFonts w:hint="eastAsia" w:eastAsia="宋体"/>
                <w:vertAlign w:val="baseline"/>
                <w:lang w:eastAsia="zh-CN"/>
              </w:rPr>
            </w:pPr>
            <w:r>
              <w:rPr>
                <w:rFonts w:hint="eastAsia" w:eastAsia="宋体"/>
                <w:vertAlign w:val="baseline"/>
                <w:lang w:eastAsia="zh-CN"/>
              </w:rPr>
              <w:t>29、★3D仿真：根据教学大纲和主流教材上的演示实验和学生实验的内容，通过3D的方式展现与互动；各实验包含实验目的、注意事项、实验器材、实验步骤、讨论与思考等模块；涵盖K12年级物理、化学、生物、科学等学科，并以知识模块进行组织，方便教师直接使用，总数超过160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Align w:val="center"/>
          </w:tcPr>
          <w:p>
            <w:pPr>
              <w:jc w:val="center"/>
              <w:rPr>
                <w:rFonts w:hint="default" w:eastAsia="宋体"/>
                <w:vertAlign w:val="baseline"/>
                <w:lang w:val="en-US" w:eastAsia="zh-CN"/>
              </w:rPr>
            </w:pPr>
            <w:r>
              <w:rPr>
                <w:rFonts w:hint="eastAsia" w:eastAsia="宋体"/>
                <w:vertAlign w:val="baseline"/>
                <w:lang w:val="en-US" w:eastAsia="zh-CN"/>
              </w:rPr>
              <w:t>2</w:t>
            </w:r>
          </w:p>
        </w:tc>
        <w:tc>
          <w:tcPr>
            <w:tcW w:w="1141" w:type="dxa"/>
            <w:vAlign w:val="center"/>
          </w:tcPr>
          <w:p>
            <w:pPr>
              <w:jc w:val="center"/>
              <w:rPr>
                <w:rFonts w:hint="eastAsia" w:eastAsia="宋体"/>
                <w:vertAlign w:val="baseline"/>
                <w:lang w:eastAsia="zh-CN"/>
              </w:rPr>
            </w:pPr>
            <w:r>
              <w:rPr>
                <w:rFonts w:hint="eastAsia" w:eastAsia="宋体"/>
                <w:vertAlign w:val="baseline"/>
                <w:lang w:eastAsia="zh-CN"/>
              </w:rPr>
              <w:t>壁挂展台</w:t>
            </w:r>
          </w:p>
        </w:tc>
        <w:tc>
          <w:tcPr>
            <w:tcW w:w="916" w:type="dxa"/>
            <w:vAlign w:val="center"/>
          </w:tcPr>
          <w:p>
            <w:pPr>
              <w:keepNext w:val="0"/>
              <w:keepLines w:val="0"/>
              <w:widowControl/>
              <w:suppressLineNumbers w:val="0"/>
              <w:jc w:val="center"/>
              <w:textAlignment w:val="center"/>
              <w:rPr>
                <w:rFonts w:hint="eastAsia" w:eastAsia="宋体"/>
                <w:vertAlign w:val="baseline"/>
                <w:lang w:eastAsia="zh-CN"/>
              </w:rPr>
            </w:pPr>
            <w:r>
              <w:rPr>
                <w:rFonts w:hint="eastAsia" w:ascii="Calibri" w:hAnsi="Calibri" w:eastAsia="宋体" w:cs="Calibri"/>
                <w:i w:val="0"/>
                <w:color w:val="000000"/>
                <w:kern w:val="0"/>
                <w:sz w:val="22"/>
                <w:szCs w:val="22"/>
                <w:u w:val="none"/>
                <w:lang w:val="en-US" w:eastAsia="zh-CN" w:bidi="ar"/>
              </w:rPr>
              <w:t>6</w:t>
            </w:r>
          </w:p>
        </w:tc>
        <w:tc>
          <w:tcPr>
            <w:tcW w:w="782" w:type="dxa"/>
            <w:vAlign w:val="center"/>
          </w:tcPr>
          <w:p>
            <w:pPr>
              <w:keepNext w:val="0"/>
              <w:keepLines w:val="0"/>
              <w:widowControl/>
              <w:suppressLineNumbers w:val="0"/>
              <w:jc w:val="center"/>
              <w:textAlignment w:val="center"/>
              <w:rPr>
                <w:rFonts w:hint="eastAsia" w:eastAsia="宋体"/>
                <w:vertAlign w:val="baseline"/>
                <w:lang w:eastAsia="zh-CN"/>
              </w:rPr>
            </w:pPr>
            <w:r>
              <w:rPr>
                <w:rFonts w:hint="default" w:ascii="Calibri" w:hAnsi="Calibri" w:eastAsia="宋体" w:cs="Calibri"/>
                <w:i w:val="0"/>
                <w:color w:val="000000"/>
                <w:kern w:val="0"/>
                <w:sz w:val="22"/>
                <w:szCs w:val="22"/>
                <w:u w:val="none"/>
                <w:lang w:val="en-US" w:eastAsia="zh-CN" w:bidi="ar"/>
              </w:rPr>
              <w:t>台</w:t>
            </w:r>
          </w:p>
        </w:tc>
        <w:tc>
          <w:tcPr>
            <w:tcW w:w="1066" w:type="dxa"/>
            <w:vAlign w:val="center"/>
          </w:tcPr>
          <w:p>
            <w:pPr>
              <w:keepNext w:val="0"/>
              <w:keepLines w:val="0"/>
              <w:widowControl/>
              <w:suppressLineNumbers w:val="0"/>
              <w:jc w:val="center"/>
              <w:textAlignment w:val="center"/>
              <w:rPr>
                <w:rFonts w:hint="eastAsia" w:eastAsia="宋体"/>
                <w:vertAlign w:val="baseline"/>
                <w:lang w:eastAsia="zh-CN"/>
              </w:rPr>
            </w:pPr>
            <w:r>
              <w:rPr>
                <w:rFonts w:hint="default" w:ascii="Calibri" w:hAnsi="Calibri" w:eastAsia="宋体" w:cs="Calibri"/>
                <w:i w:val="0"/>
                <w:color w:val="000000"/>
                <w:kern w:val="0"/>
                <w:sz w:val="22"/>
                <w:szCs w:val="22"/>
                <w:u w:val="none"/>
                <w:lang w:val="en-US" w:eastAsia="zh-CN" w:bidi="ar"/>
              </w:rPr>
              <w:t>1380</w:t>
            </w:r>
          </w:p>
        </w:tc>
        <w:tc>
          <w:tcPr>
            <w:tcW w:w="966" w:type="dxa"/>
            <w:vAlign w:val="center"/>
          </w:tcPr>
          <w:p>
            <w:pPr>
              <w:keepNext w:val="0"/>
              <w:keepLines w:val="0"/>
              <w:widowControl/>
              <w:suppressLineNumbers w:val="0"/>
              <w:jc w:val="center"/>
              <w:textAlignment w:val="center"/>
              <w:rPr>
                <w:rFonts w:hint="default" w:eastAsia="宋体"/>
                <w:vertAlign w:val="baseline"/>
                <w:lang w:val="en-US" w:eastAsia="zh-CN"/>
              </w:rPr>
            </w:pPr>
            <w:r>
              <w:rPr>
                <w:rFonts w:hint="eastAsia" w:ascii="Calibri" w:hAnsi="Calibri" w:eastAsia="宋体" w:cs="Calibri"/>
                <w:i w:val="0"/>
                <w:color w:val="000000"/>
                <w:kern w:val="0"/>
                <w:sz w:val="22"/>
                <w:szCs w:val="22"/>
                <w:u w:val="none"/>
                <w:lang w:val="en-US" w:eastAsia="zh-CN" w:bidi="ar"/>
              </w:rPr>
              <w:t>8280</w:t>
            </w:r>
          </w:p>
        </w:tc>
        <w:tc>
          <w:tcPr>
            <w:tcW w:w="5061" w:type="dxa"/>
            <w:vAlign w:val="top"/>
          </w:tcPr>
          <w:p>
            <w:pPr>
              <w:jc w:val="both"/>
            </w:pPr>
            <w:r>
              <w:rPr>
                <w:rFonts w:hint="eastAsia"/>
              </w:rPr>
              <w:t>一、硬件要求</w:t>
            </w:r>
          </w:p>
          <w:p>
            <w:pPr>
              <w:jc w:val="both"/>
              <w:rPr>
                <w:rFonts w:hint="eastAsia"/>
              </w:rPr>
            </w:pPr>
            <w:r>
              <w:rPr>
                <w:rFonts w:hint="eastAsia"/>
              </w:rPr>
              <w:t>1、箱体采用全金属冷轧钢材质环保超窄超薄箱体，壁挂式安装，整体厚度不超过7CM，采用金属三折叠式加宽超薄底板，收藏方便轻巧，超强承重耐用不变形；</w:t>
            </w:r>
          </w:p>
          <w:p>
            <w:pPr>
              <w:jc w:val="both"/>
              <w:rPr>
                <w:rFonts w:hint="eastAsia"/>
              </w:rPr>
            </w:pPr>
            <w:r>
              <w:rPr>
                <w:rFonts w:hint="eastAsia"/>
              </w:rPr>
              <w:t>2、本机采用 800万像素高清内置式定焦COMS镜头，在展台机箱上可以实现物理按键一键开机（关机）、一键拍照、旋转、放大、缩小等功能；摄像头支臂可实现90°垂直折叠，收藏于视频展台箱体内，防止灰尘等物体进入；可拍摄≥A4画幅文本、实物等；</w:t>
            </w:r>
          </w:p>
          <w:p>
            <w:pPr>
              <w:jc w:val="both"/>
            </w:pPr>
            <w:r>
              <w:rPr>
                <w:rFonts w:hint="eastAsia"/>
              </w:rPr>
              <w:t>3、本机采用顶部USB2.0接口3组，其中单根USB线实现视频展台供电、高清数据传输需求，另外2组接口可以作为鼠标控制和U盘存储等使用；本机摄像头支臂内置隐藏式均光罩LED10粒补光灯，光线不足时可进行亮度补充，采用支臂顶部触摸感应循环四级调光设计；</w:t>
            </w:r>
          </w:p>
          <w:p>
            <w:pPr>
              <w:jc w:val="both"/>
              <w:rPr>
                <w:rFonts w:hint="eastAsia"/>
              </w:rPr>
            </w:pPr>
            <w:r>
              <w:rPr>
                <w:rFonts w:hint="eastAsia"/>
              </w:rPr>
              <w:t>二、软件要求</w:t>
            </w:r>
          </w:p>
          <w:p>
            <w:pPr>
              <w:jc w:val="both"/>
              <w:rPr>
                <w:rFonts w:hint="eastAsia"/>
              </w:rPr>
            </w:pPr>
            <w:r>
              <w:rPr>
                <w:rFonts w:hint="eastAsia"/>
              </w:rPr>
              <w:t>1、</w:t>
            </w:r>
            <w:r>
              <w:rPr>
                <w:rFonts w:hint="eastAsia"/>
              </w:rPr>
              <w:tab/>
            </w:r>
            <w:r>
              <w:rPr>
                <w:rFonts w:hint="eastAsia"/>
              </w:rPr>
              <w:t>支持对展台实时画面进行放大、缩小、旋转、自适应等操作。</w:t>
            </w:r>
          </w:p>
          <w:p>
            <w:pPr>
              <w:jc w:val="both"/>
              <w:rPr>
                <w:rFonts w:hint="eastAsia"/>
              </w:rPr>
            </w:pPr>
            <w:r>
              <w:rPr>
                <w:rFonts w:hint="eastAsia"/>
              </w:rPr>
              <w:t>2、</w:t>
            </w:r>
            <w:r>
              <w:rPr>
                <w:rFonts w:hint="eastAsia"/>
              </w:rPr>
              <w:tab/>
            </w:r>
            <w:r>
              <w:rPr>
                <w:rFonts w:hint="eastAsia"/>
              </w:rPr>
              <w:t>界面与功能图标内嵌中文，清晰易用，无需查看帮助就可使用，减少误操作。</w:t>
            </w:r>
          </w:p>
          <w:p>
            <w:pPr>
              <w:jc w:val="both"/>
              <w:rPr>
                <w:rFonts w:hint="eastAsia"/>
              </w:rPr>
            </w:pPr>
            <w:r>
              <w:rPr>
                <w:rFonts w:hint="eastAsia"/>
              </w:rPr>
              <w:t>3、</w:t>
            </w:r>
            <w:r>
              <w:rPr>
                <w:rFonts w:hint="eastAsia"/>
              </w:rPr>
              <w:tab/>
            </w:r>
            <w:r>
              <w:rPr>
                <w:rFonts w:hint="eastAsia"/>
              </w:rPr>
              <w:t>支持展台画面实时批注，预设多种笔划粗细及颜色供选择，且支持对展台画面联同批注内容进行同步缩放、移动。</w:t>
            </w:r>
          </w:p>
          <w:p>
            <w:pPr>
              <w:jc w:val="both"/>
              <w:rPr>
                <w:rFonts w:hint="eastAsia"/>
              </w:rPr>
            </w:pPr>
            <w:r>
              <w:rPr>
                <w:rFonts w:hint="eastAsia"/>
              </w:rPr>
              <w:t>4、</w:t>
            </w:r>
            <w:r>
              <w:rPr>
                <w:rFonts w:hint="eastAsia"/>
              </w:rPr>
              <w:tab/>
            </w:r>
            <w:r>
              <w:rPr>
                <w:rFonts w:hint="eastAsia"/>
              </w:rPr>
              <w:t>支持展台画面拍照、冻结并进行多图预览，可对任一图片进行全屏显示。</w:t>
            </w:r>
          </w:p>
          <w:p>
            <w:pPr>
              <w:jc w:val="both"/>
              <w:rPr>
                <w:rFonts w:hint="eastAsia"/>
              </w:rPr>
            </w:pPr>
            <w:r>
              <w:rPr>
                <w:rFonts w:hint="eastAsia"/>
              </w:rPr>
              <w:t>5、</w:t>
            </w:r>
            <w:r>
              <w:rPr>
                <w:rFonts w:hint="eastAsia"/>
              </w:rPr>
              <w:tab/>
            </w:r>
            <w:r>
              <w:rPr>
                <w:rFonts w:hint="eastAsia"/>
              </w:rPr>
              <w:t>支持分屏展示功能，可选择动态展台画面、拍照画面及本地图片进行2分屏或4分屏对比展示。</w:t>
            </w:r>
          </w:p>
          <w:p>
            <w:pPr>
              <w:jc w:val="both"/>
              <w:rPr>
                <w:rFonts w:hint="eastAsia" w:eastAsia="宋体"/>
                <w:vertAlign w:val="baseline"/>
                <w:lang w:eastAsia="zh-CN"/>
              </w:rPr>
            </w:pPr>
            <w:r>
              <w:rPr>
                <w:rFonts w:hint="eastAsia"/>
              </w:rPr>
              <w:t>6、</w:t>
            </w:r>
            <w:r>
              <w:rPr>
                <w:rFonts w:hint="eastAsia"/>
              </w:rPr>
              <w:tab/>
            </w:r>
            <w:r>
              <w:rPr>
                <w:rFonts w:hint="eastAsia"/>
              </w:rPr>
              <w:t>具备二维码扫描功能，一键自动扫描，方面识别教材或资源中二维码的链接内容。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604" w:type="dxa"/>
            <w:vAlign w:val="center"/>
          </w:tcPr>
          <w:p>
            <w:pPr>
              <w:jc w:val="center"/>
              <w:rPr>
                <w:rFonts w:hint="eastAsia" w:eastAsia="宋体"/>
                <w:vertAlign w:val="baseline"/>
                <w:lang w:val="en-US" w:eastAsia="zh-CN"/>
              </w:rPr>
            </w:pPr>
            <w:r>
              <w:rPr>
                <w:rFonts w:hint="eastAsia" w:eastAsia="宋体"/>
                <w:vertAlign w:val="baseline"/>
                <w:lang w:val="en-US" w:eastAsia="zh-CN"/>
              </w:rPr>
              <w:t>3</w:t>
            </w:r>
          </w:p>
        </w:tc>
        <w:tc>
          <w:tcPr>
            <w:tcW w:w="1141" w:type="dxa"/>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eastAsia="宋体"/>
                <w:vertAlign w:val="baseline"/>
                <w:lang w:eastAsia="zh-CN"/>
              </w:rPr>
              <w:t>塑胶地板</w:t>
            </w:r>
          </w:p>
        </w:tc>
        <w:tc>
          <w:tcPr>
            <w:tcW w:w="916" w:type="dxa"/>
            <w:vAlign w:val="center"/>
          </w:tcPr>
          <w:p>
            <w:pPr>
              <w:keepNext w:val="0"/>
              <w:keepLines w:val="0"/>
              <w:widowControl/>
              <w:suppressLineNumbers w:val="0"/>
              <w:jc w:val="center"/>
              <w:textAlignment w:val="center"/>
              <w:rPr>
                <w:rFonts w:hint="eastAsia" w:eastAsia="宋体"/>
                <w:vertAlign w:val="baseline"/>
                <w:lang w:val="en-US" w:eastAsia="zh-CN"/>
              </w:rPr>
            </w:pPr>
            <w:r>
              <w:rPr>
                <w:rFonts w:hint="eastAsia" w:ascii="宋体" w:hAnsi="宋体" w:eastAsia="宋体" w:cs="宋体"/>
                <w:i w:val="0"/>
                <w:color w:val="000000"/>
                <w:kern w:val="0"/>
                <w:sz w:val="22"/>
                <w:szCs w:val="22"/>
                <w:u w:val="none"/>
                <w:lang w:val="en-US" w:eastAsia="zh-CN" w:bidi="ar"/>
              </w:rPr>
              <w:t>1240</w:t>
            </w:r>
          </w:p>
        </w:tc>
        <w:tc>
          <w:tcPr>
            <w:tcW w:w="782" w:type="dxa"/>
            <w:vAlign w:val="center"/>
          </w:tcPr>
          <w:p>
            <w:pPr>
              <w:keepNext w:val="0"/>
              <w:keepLines w:val="0"/>
              <w:widowControl/>
              <w:suppressLineNumbers w:val="0"/>
              <w:jc w:val="center"/>
              <w:textAlignment w:val="center"/>
              <w:rPr>
                <w:rFonts w:hint="eastAsia" w:eastAsia="宋体"/>
                <w:vertAlign w:val="baseline"/>
                <w:lang w:eastAsia="zh-CN"/>
              </w:rPr>
            </w:pPr>
            <w:r>
              <w:rPr>
                <w:rFonts w:hint="eastAsia" w:ascii="宋体" w:hAnsi="宋体" w:eastAsia="宋体" w:cs="宋体"/>
                <w:i w:val="0"/>
                <w:color w:val="000000"/>
                <w:kern w:val="0"/>
                <w:sz w:val="22"/>
                <w:szCs w:val="22"/>
                <w:u w:val="none"/>
                <w:lang w:val="en-US" w:eastAsia="zh-CN" w:bidi="ar"/>
              </w:rPr>
              <w:t>㎡</w:t>
            </w:r>
          </w:p>
        </w:tc>
        <w:tc>
          <w:tcPr>
            <w:tcW w:w="106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190</w:t>
            </w:r>
          </w:p>
        </w:tc>
        <w:tc>
          <w:tcPr>
            <w:tcW w:w="96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default" w:ascii="Calibri" w:hAnsi="Calibri" w:eastAsia="宋体" w:cs="Calibri"/>
                <w:i w:val="0"/>
                <w:color w:val="000000"/>
                <w:kern w:val="0"/>
                <w:sz w:val="22"/>
                <w:szCs w:val="22"/>
                <w:u w:val="none"/>
                <w:lang w:val="en-US" w:eastAsia="zh-CN" w:bidi="ar"/>
              </w:rPr>
              <w:t>235600</w:t>
            </w:r>
          </w:p>
        </w:tc>
        <w:tc>
          <w:tcPr>
            <w:tcW w:w="5061"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适用区域 EN685 23-34-43</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总厚度 EN428 2.0mm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耐磨层厚度 EN429 0.35mm/0.55mm/0.7mm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表面特殊处理 EN423 UV</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平均重量 EN430 2.85kg/㎡</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产品宽幅 EN426 2m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标准长度 EN426 20m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标准卷重量  115kg</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可燃性能 EN13501 Bf1-S1</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防滑等级 DIN51130 R9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抗压性能 EN433 ≦0.10mm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家具椅腿抗刮性能 EN424 Very Good</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加热翘曲 EN434 ≦8mm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导电性能 EN1081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可溶性铅≤20mg/㎡</w:t>
            </w:r>
          </w:p>
          <w:p>
            <w:pPr>
              <w:keepNext w:val="0"/>
              <w:keepLines w:val="0"/>
              <w:widowControl/>
              <w:suppressLineNumbers w:val="0"/>
              <w:jc w:val="left"/>
              <w:textAlignment w:val="center"/>
              <w:rPr>
                <w:rFonts w:hint="eastAsia" w:eastAsia="宋体"/>
                <w:vertAlign w:val="baseline"/>
                <w:lang w:eastAsia="zh-CN"/>
              </w:rPr>
            </w:pPr>
            <w:r>
              <w:rPr>
                <w:rFonts w:hint="eastAsia" w:ascii="宋体" w:hAnsi="宋体" w:eastAsia="宋体" w:cs="宋体"/>
                <w:i w:val="0"/>
                <w:color w:val="000000"/>
                <w:kern w:val="0"/>
                <w:sz w:val="22"/>
                <w:szCs w:val="22"/>
                <w:u w:val="none"/>
                <w:lang w:val="en-US" w:eastAsia="zh-CN" w:bidi="ar"/>
              </w:rPr>
              <w:t>挥发物限量≤40g/㎡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Align w:val="center"/>
          </w:tcPr>
          <w:p>
            <w:pPr>
              <w:jc w:val="center"/>
              <w:rPr>
                <w:rFonts w:hint="eastAsia" w:eastAsia="宋体"/>
                <w:vertAlign w:val="baseline"/>
                <w:lang w:val="en-US" w:eastAsia="zh-CN"/>
              </w:rPr>
            </w:pPr>
            <w:r>
              <w:rPr>
                <w:rFonts w:hint="eastAsia" w:eastAsia="宋体"/>
                <w:vertAlign w:val="baseline"/>
                <w:lang w:val="en-US" w:eastAsia="zh-CN"/>
              </w:rPr>
              <w:t>4</w:t>
            </w:r>
          </w:p>
        </w:tc>
        <w:tc>
          <w:tcPr>
            <w:tcW w:w="1141"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自流平</w:t>
            </w:r>
          </w:p>
        </w:tc>
        <w:tc>
          <w:tcPr>
            <w:tcW w:w="916" w:type="dxa"/>
            <w:vAlign w:val="center"/>
          </w:tcPr>
          <w:p>
            <w:pPr>
              <w:keepNext w:val="0"/>
              <w:keepLines w:val="0"/>
              <w:widowControl/>
              <w:suppressLineNumbers w:val="0"/>
              <w:jc w:val="center"/>
              <w:textAlignment w:val="center"/>
              <w:rPr>
                <w:rFonts w:hint="eastAsia" w:eastAsia="宋体"/>
                <w:vertAlign w:val="baseline"/>
                <w:lang w:val="en-US" w:eastAsia="zh-CN"/>
              </w:rPr>
            </w:pPr>
            <w:r>
              <w:rPr>
                <w:rFonts w:hint="eastAsia" w:ascii="宋体" w:hAnsi="宋体" w:eastAsia="宋体" w:cs="宋体"/>
                <w:i w:val="0"/>
                <w:color w:val="000000"/>
                <w:kern w:val="0"/>
                <w:sz w:val="22"/>
                <w:szCs w:val="22"/>
                <w:u w:val="none"/>
                <w:lang w:val="en-US" w:eastAsia="zh-CN" w:bidi="ar"/>
              </w:rPr>
              <w:t>380</w:t>
            </w:r>
          </w:p>
        </w:tc>
        <w:tc>
          <w:tcPr>
            <w:tcW w:w="782" w:type="dxa"/>
            <w:vAlign w:val="center"/>
          </w:tcPr>
          <w:p>
            <w:pPr>
              <w:keepNext w:val="0"/>
              <w:keepLines w:val="0"/>
              <w:widowControl/>
              <w:suppressLineNumbers w:val="0"/>
              <w:jc w:val="center"/>
              <w:textAlignment w:val="center"/>
              <w:rPr>
                <w:rFonts w:hint="eastAsia" w:eastAsia="宋体"/>
                <w:vertAlign w:val="baseline"/>
                <w:lang w:eastAsia="zh-CN"/>
              </w:rPr>
            </w:pPr>
            <w:r>
              <w:rPr>
                <w:rFonts w:hint="eastAsia" w:ascii="宋体" w:hAnsi="宋体" w:eastAsia="宋体" w:cs="宋体"/>
                <w:i w:val="0"/>
                <w:color w:val="000000"/>
                <w:kern w:val="0"/>
                <w:sz w:val="22"/>
                <w:szCs w:val="22"/>
                <w:u w:val="none"/>
                <w:lang w:val="en-US" w:eastAsia="zh-CN" w:bidi="ar"/>
              </w:rPr>
              <w:t>袋</w:t>
            </w:r>
          </w:p>
        </w:tc>
        <w:tc>
          <w:tcPr>
            <w:tcW w:w="106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85</w:t>
            </w:r>
          </w:p>
        </w:tc>
        <w:tc>
          <w:tcPr>
            <w:tcW w:w="96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default" w:ascii="Calibri" w:hAnsi="Calibri" w:eastAsia="宋体" w:cs="Calibri"/>
                <w:i w:val="0"/>
                <w:color w:val="000000"/>
                <w:kern w:val="0"/>
                <w:sz w:val="22"/>
                <w:szCs w:val="22"/>
                <w:u w:val="none"/>
                <w:lang w:val="en-US" w:eastAsia="zh-CN" w:bidi="ar"/>
              </w:rPr>
              <w:t>32300</w:t>
            </w:r>
          </w:p>
        </w:tc>
        <w:tc>
          <w:tcPr>
            <w:tcW w:w="5061" w:type="dxa"/>
            <w:vAlign w:val="center"/>
          </w:tcPr>
          <w:p>
            <w:pPr>
              <w:keepNext w:val="0"/>
              <w:keepLines w:val="0"/>
              <w:widowControl/>
              <w:suppressLineNumbers w:val="0"/>
              <w:jc w:val="left"/>
              <w:textAlignment w:val="center"/>
              <w:rPr>
                <w:rFonts w:hint="eastAsia" w:eastAsia="宋体"/>
                <w:vertAlign w:val="baseline"/>
                <w:lang w:eastAsia="zh-CN"/>
              </w:rPr>
            </w:pPr>
            <w:r>
              <w:rPr>
                <w:rFonts w:hint="eastAsia" w:ascii="宋体" w:hAnsi="宋体" w:eastAsia="宋体" w:cs="宋体"/>
                <w:i w:val="0"/>
                <w:color w:val="000000"/>
                <w:kern w:val="0"/>
                <w:sz w:val="22"/>
                <w:szCs w:val="22"/>
                <w:u w:val="none"/>
                <w:lang w:val="en-US" w:eastAsia="zh-CN" w:bidi="ar"/>
              </w:rPr>
              <w:t>流动度： 240~280 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凝结时间：初凝4~8h，终凝：5~12h</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抗压强度（28d）：22~35 MPa</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粘结强度：≧2.8 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Align w:val="center"/>
          </w:tcPr>
          <w:p>
            <w:pPr>
              <w:jc w:val="center"/>
              <w:rPr>
                <w:rFonts w:hint="eastAsia" w:eastAsia="宋体"/>
                <w:vertAlign w:val="baseline"/>
                <w:lang w:val="en-US" w:eastAsia="zh-CN"/>
              </w:rPr>
            </w:pPr>
            <w:r>
              <w:rPr>
                <w:rFonts w:hint="eastAsia" w:eastAsia="宋体"/>
                <w:vertAlign w:val="baseline"/>
                <w:lang w:val="en-US" w:eastAsia="zh-CN"/>
              </w:rPr>
              <w:t>5</w:t>
            </w:r>
          </w:p>
        </w:tc>
        <w:tc>
          <w:tcPr>
            <w:tcW w:w="1141"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地面胶</w:t>
            </w:r>
          </w:p>
        </w:tc>
        <w:tc>
          <w:tcPr>
            <w:tcW w:w="916" w:type="dxa"/>
            <w:vAlign w:val="center"/>
          </w:tcPr>
          <w:p>
            <w:pPr>
              <w:keepNext w:val="0"/>
              <w:keepLines w:val="0"/>
              <w:widowControl/>
              <w:suppressLineNumbers w:val="0"/>
              <w:jc w:val="center"/>
              <w:textAlignment w:val="center"/>
              <w:rPr>
                <w:rFonts w:hint="eastAsia" w:eastAsia="宋体"/>
                <w:vertAlign w:val="baseline"/>
                <w:lang w:val="en-US" w:eastAsia="zh-CN"/>
              </w:rPr>
            </w:pPr>
            <w:r>
              <w:rPr>
                <w:rFonts w:hint="eastAsia" w:ascii="宋体" w:hAnsi="宋体" w:eastAsia="宋体" w:cs="宋体"/>
                <w:i w:val="0"/>
                <w:color w:val="000000"/>
                <w:kern w:val="0"/>
                <w:sz w:val="22"/>
                <w:szCs w:val="22"/>
                <w:u w:val="none"/>
                <w:lang w:val="en-US" w:eastAsia="zh-CN" w:bidi="ar"/>
              </w:rPr>
              <w:t>12</w:t>
            </w:r>
          </w:p>
        </w:tc>
        <w:tc>
          <w:tcPr>
            <w:tcW w:w="782" w:type="dxa"/>
            <w:vAlign w:val="center"/>
          </w:tcPr>
          <w:p>
            <w:pPr>
              <w:keepNext w:val="0"/>
              <w:keepLines w:val="0"/>
              <w:widowControl/>
              <w:suppressLineNumbers w:val="0"/>
              <w:jc w:val="center"/>
              <w:textAlignment w:val="center"/>
              <w:rPr>
                <w:rFonts w:hint="eastAsia" w:eastAsia="宋体"/>
                <w:vertAlign w:val="baseline"/>
                <w:lang w:eastAsia="zh-CN"/>
              </w:rPr>
            </w:pPr>
            <w:r>
              <w:rPr>
                <w:rFonts w:hint="eastAsia" w:ascii="宋体" w:hAnsi="宋体" w:eastAsia="宋体" w:cs="宋体"/>
                <w:i w:val="0"/>
                <w:color w:val="000000"/>
                <w:kern w:val="0"/>
                <w:sz w:val="22"/>
                <w:szCs w:val="22"/>
                <w:u w:val="none"/>
                <w:lang w:val="en-US" w:eastAsia="zh-CN" w:bidi="ar"/>
              </w:rPr>
              <w:t>桶</w:t>
            </w:r>
          </w:p>
        </w:tc>
        <w:tc>
          <w:tcPr>
            <w:tcW w:w="106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460</w:t>
            </w:r>
          </w:p>
        </w:tc>
        <w:tc>
          <w:tcPr>
            <w:tcW w:w="96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default" w:ascii="Calibri" w:hAnsi="Calibri" w:eastAsia="宋体" w:cs="Calibri"/>
                <w:i w:val="0"/>
                <w:color w:val="000000"/>
                <w:kern w:val="0"/>
                <w:sz w:val="22"/>
                <w:szCs w:val="22"/>
                <w:u w:val="none"/>
                <w:lang w:val="en-US" w:eastAsia="zh-CN" w:bidi="ar"/>
              </w:rPr>
              <w:t>5520</w:t>
            </w:r>
          </w:p>
        </w:tc>
        <w:tc>
          <w:tcPr>
            <w:tcW w:w="5061"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1、苯  g/kg   ≤5.0   符合GB18583-2008标准</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2、甲苯+二甲苯  g/kg    ≤200   符合GB18583-2008标准</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3、总挥发性有机物 g/L   ≤700   符合GB18583-2008标准</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4、游离甲醛 g/kg        ≤0.50  符合GB18583-2008标准</w:t>
            </w:r>
          </w:p>
          <w:p>
            <w:pPr>
              <w:keepNext w:val="0"/>
              <w:keepLines w:val="0"/>
              <w:widowControl/>
              <w:suppressLineNumbers w:val="0"/>
              <w:jc w:val="left"/>
              <w:textAlignment w:val="center"/>
              <w:rPr>
                <w:rFonts w:hint="eastAsia" w:eastAsia="宋体"/>
                <w:vertAlign w:val="baseline"/>
                <w:lang w:eastAsia="zh-CN"/>
              </w:rPr>
            </w:pPr>
            <w:r>
              <w:rPr>
                <w:rFonts w:hint="eastAsia" w:ascii="宋体" w:hAnsi="宋体" w:eastAsia="宋体" w:cs="宋体"/>
                <w:i w:val="0"/>
                <w:color w:val="000000"/>
                <w:kern w:val="0"/>
                <w:sz w:val="22"/>
                <w:szCs w:val="22"/>
                <w:u w:val="none"/>
                <w:lang w:val="en-US" w:eastAsia="zh-CN" w:bidi="ar"/>
              </w:rPr>
              <w:t>5、外观：乳白色到淡黄色粘稠状液体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6、粘度10mpa·s：≥0.5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7、固含量%：≥53</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8、PH值：7-9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9、重量：≥25kg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Align w:val="center"/>
          </w:tcPr>
          <w:p>
            <w:pPr>
              <w:jc w:val="center"/>
              <w:rPr>
                <w:rFonts w:hint="eastAsia" w:eastAsia="宋体"/>
                <w:vertAlign w:val="baseline"/>
                <w:lang w:val="en-US" w:eastAsia="zh-CN"/>
              </w:rPr>
            </w:pPr>
            <w:r>
              <w:rPr>
                <w:rFonts w:hint="eastAsia" w:eastAsia="宋体"/>
                <w:vertAlign w:val="baseline"/>
                <w:lang w:val="en-US" w:eastAsia="zh-CN"/>
              </w:rPr>
              <w:t>6</w:t>
            </w:r>
          </w:p>
        </w:tc>
        <w:tc>
          <w:tcPr>
            <w:tcW w:w="1141"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界面剂</w:t>
            </w:r>
          </w:p>
        </w:tc>
        <w:tc>
          <w:tcPr>
            <w:tcW w:w="916" w:type="dxa"/>
            <w:vAlign w:val="center"/>
          </w:tcPr>
          <w:p>
            <w:pPr>
              <w:keepNext w:val="0"/>
              <w:keepLines w:val="0"/>
              <w:widowControl/>
              <w:suppressLineNumbers w:val="0"/>
              <w:jc w:val="center"/>
              <w:textAlignment w:val="center"/>
              <w:rPr>
                <w:rFonts w:hint="eastAsia" w:eastAsia="宋体"/>
                <w:vertAlign w:val="baseline"/>
                <w:lang w:val="en-US" w:eastAsia="zh-CN"/>
              </w:rPr>
            </w:pPr>
            <w:r>
              <w:rPr>
                <w:rFonts w:hint="eastAsia" w:ascii="宋体" w:hAnsi="宋体" w:eastAsia="宋体" w:cs="宋体"/>
                <w:i w:val="0"/>
                <w:color w:val="000000"/>
                <w:kern w:val="0"/>
                <w:sz w:val="22"/>
                <w:szCs w:val="22"/>
                <w:u w:val="none"/>
                <w:lang w:val="en-US" w:eastAsia="zh-CN" w:bidi="ar"/>
              </w:rPr>
              <w:t>12</w:t>
            </w:r>
          </w:p>
        </w:tc>
        <w:tc>
          <w:tcPr>
            <w:tcW w:w="782" w:type="dxa"/>
            <w:vAlign w:val="center"/>
          </w:tcPr>
          <w:p>
            <w:pPr>
              <w:keepNext w:val="0"/>
              <w:keepLines w:val="0"/>
              <w:widowControl/>
              <w:suppressLineNumbers w:val="0"/>
              <w:jc w:val="center"/>
              <w:textAlignment w:val="center"/>
              <w:rPr>
                <w:rFonts w:hint="eastAsia" w:eastAsia="宋体"/>
                <w:vertAlign w:val="baseline"/>
                <w:lang w:eastAsia="zh-CN"/>
              </w:rPr>
            </w:pPr>
            <w:r>
              <w:rPr>
                <w:rFonts w:hint="eastAsia" w:ascii="宋体" w:hAnsi="宋体" w:eastAsia="宋体" w:cs="宋体"/>
                <w:i w:val="0"/>
                <w:color w:val="000000"/>
                <w:kern w:val="0"/>
                <w:sz w:val="22"/>
                <w:szCs w:val="22"/>
                <w:u w:val="none"/>
                <w:lang w:val="en-US" w:eastAsia="zh-CN" w:bidi="ar"/>
              </w:rPr>
              <w:t>桶</w:t>
            </w:r>
          </w:p>
        </w:tc>
        <w:tc>
          <w:tcPr>
            <w:tcW w:w="106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390</w:t>
            </w:r>
          </w:p>
        </w:tc>
        <w:tc>
          <w:tcPr>
            <w:tcW w:w="96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default" w:ascii="Calibri" w:hAnsi="Calibri" w:eastAsia="宋体" w:cs="Calibri"/>
                <w:i w:val="0"/>
                <w:color w:val="000000"/>
                <w:kern w:val="0"/>
                <w:sz w:val="22"/>
                <w:szCs w:val="22"/>
                <w:u w:val="none"/>
                <w:lang w:val="en-US" w:eastAsia="zh-CN" w:bidi="ar"/>
              </w:rPr>
              <w:t>4680</w:t>
            </w:r>
          </w:p>
        </w:tc>
        <w:tc>
          <w:tcPr>
            <w:tcW w:w="5061" w:type="dxa"/>
            <w:vAlign w:val="center"/>
          </w:tcPr>
          <w:p>
            <w:pPr>
              <w:keepNext w:val="0"/>
              <w:keepLines w:val="0"/>
              <w:widowControl/>
              <w:suppressLineNumbers w:val="0"/>
              <w:jc w:val="left"/>
              <w:textAlignment w:val="center"/>
              <w:rPr>
                <w:rFonts w:hint="eastAsia" w:eastAsia="宋体"/>
                <w:vertAlign w:val="baseline"/>
                <w:lang w:eastAsia="zh-CN"/>
              </w:rPr>
            </w:pPr>
            <w:r>
              <w:rPr>
                <w:rFonts w:hint="eastAsia" w:ascii="宋体" w:hAnsi="宋体" w:eastAsia="宋体" w:cs="宋体"/>
                <w:i w:val="0"/>
                <w:color w:val="000000"/>
                <w:kern w:val="0"/>
                <w:sz w:val="22"/>
                <w:szCs w:val="22"/>
                <w:u w:val="none"/>
                <w:lang w:val="en-US" w:eastAsia="zh-CN" w:bidi="ar"/>
              </w:rPr>
              <w:t xml:space="preserve">剪切粘结强度MPa I型≥1.0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拉伸粘结强度MPa I型≥0.5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晾置时间≥10min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Align w:val="center"/>
          </w:tcPr>
          <w:p>
            <w:pPr>
              <w:jc w:val="center"/>
              <w:rPr>
                <w:rFonts w:hint="eastAsia" w:eastAsia="宋体"/>
                <w:vertAlign w:val="baseline"/>
                <w:lang w:val="en-US" w:eastAsia="zh-CN"/>
              </w:rPr>
            </w:pPr>
            <w:r>
              <w:rPr>
                <w:rFonts w:hint="eastAsia" w:eastAsia="宋体"/>
                <w:vertAlign w:val="baseline"/>
                <w:lang w:val="en-US" w:eastAsia="zh-CN"/>
              </w:rPr>
              <w:t>合计</w:t>
            </w:r>
          </w:p>
        </w:tc>
        <w:tc>
          <w:tcPr>
            <w:tcW w:w="114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916" w:type="dxa"/>
            <w:vAlign w:val="center"/>
          </w:tcPr>
          <w:p>
            <w:pPr>
              <w:jc w:val="center"/>
              <w:rPr>
                <w:rFonts w:hint="eastAsia" w:eastAsia="宋体"/>
                <w:vertAlign w:val="baseline"/>
                <w:lang w:val="en-US" w:eastAsia="zh-CN"/>
              </w:rPr>
            </w:pPr>
          </w:p>
        </w:tc>
        <w:tc>
          <w:tcPr>
            <w:tcW w:w="782" w:type="dxa"/>
            <w:vAlign w:val="center"/>
          </w:tcPr>
          <w:p>
            <w:pPr>
              <w:jc w:val="center"/>
              <w:rPr>
                <w:rFonts w:hint="eastAsia" w:eastAsia="宋体"/>
                <w:vertAlign w:val="baseline"/>
                <w:lang w:eastAsia="zh-CN"/>
              </w:rPr>
            </w:pPr>
          </w:p>
        </w:tc>
        <w:tc>
          <w:tcPr>
            <w:tcW w:w="1066" w:type="dxa"/>
            <w:vAlign w:val="center"/>
          </w:tcPr>
          <w:p>
            <w:pPr>
              <w:jc w:val="center"/>
              <w:rPr>
                <w:rFonts w:hint="eastAsia" w:eastAsia="宋体"/>
                <w:vertAlign w:val="baseline"/>
                <w:lang w:val="en-US" w:eastAsia="zh-CN"/>
              </w:rPr>
            </w:pPr>
          </w:p>
        </w:tc>
        <w:tc>
          <w:tcPr>
            <w:tcW w:w="966" w:type="dxa"/>
            <w:vAlign w:val="center"/>
          </w:tcPr>
          <w:p>
            <w:pPr>
              <w:keepNext w:val="0"/>
              <w:keepLines w:val="0"/>
              <w:widowControl/>
              <w:suppressLineNumbers w:val="0"/>
              <w:jc w:val="left"/>
              <w:textAlignment w:val="center"/>
              <w:rPr>
                <w:rFonts w:hint="default" w:eastAsia="宋体"/>
                <w:vertAlign w:val="baseline"/>
                <w:lang w:val="en-US" w:eastAsia="zh-CN"/>
              </w:rPr>
            </w:pPr>
            <w:r>
              <w:rPr>
                <w:rFonts w:hint="eastAsia" w:eastAsia="宋体"/>
                <w:vertAlign w:val="baseline"/>
                <w:lang w:val="en-US" w:eastAsia="zh-CN"/>
              </w:rPr>
              <w:t>455100</w:t>
            </w:r>
          </w:p>
        </w:tc>
        <w:tc>
          <w:tcPr>
            <w:tcW w:w="5061" w:type="dxa"/>
          </w:tcPr>
          <w:p>
            <w:pPr>
              <w:jc w:val="left"/>
              <w:rPr>
                <w:rFonts w:hint="eastAsia" w:eastAsia="宋体"/>
                <w:vertAlign w:val="baseline"/>
                <w:lang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yNzJiNzQyMWZkN2ZiYjg5MTNkMjdkYmMwNGMwNGUifQ=="/>
  </w:docVars>
  <w:rsids>
    <w:rsidRoot w:val="33151DBC"/>
    <w:rsid w:val="0E196C57"/>
    <w:rsid w:val="0F9855B7"/>
    <w:rsid w:val="100D35E1"/>
    <w:rsid w:val="31FB42A3"/>
    <w:rsid w:val="33151DBC"/>
    <w:rsid w:val="39161E3B"/>
    <w:rsid w:val="3C5E4CFE"/>
    <w:rsid w:val="688339F6"/>
    <w:rsid w:val="714556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360" w:lineRule="auto"/>
      <w:jc w:val="center"/>
      <w:outlineLvl w:val="0"/>
    </w:pPr>
    <w:rPr>
      <w:rFonts w:ascii="Times New Roman" w:hAnsi="Times New Roman" w:eastAsia="黑体"/>
      <w:b/>
      <w:kern w:val="44"/>
      <w:sz w:val="44"/>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6576</Words>
  <Characters>7629</Characters>
  <Lines>0</Lines>
  <Paragraphs>0</Paragraphs>
  <TotalTime>23</TotalTime>
  <ScaleCrop>false</ScaleCrop>
  <LinksUpToDate>false</LinksUpToDate>
  <CharactersWithSpaces>7851</CharactersWithSpaces>
  <Application>WPS Office_11.1.0.12349_F1E327BC-269C-435d-A152-05C5408002CA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2022-03-05T01:24:00Z</dcterms:created>
  <dc:creator>白城市丽敏文教用品经销处</dc:creator>
  <cp:lastModifiedBy>玉宇微尘</cp:lastModifiedBy>
  <dcterms:modified xsi:type="dcterms:W3CDTF">2022-08-25T01:37:39Z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2052-11.1.0.12349</vt:lpwstr>
  </property>
  <property fmtid="{D5CDD505-2E9C-101B-9397-08002B2CF9AE}" pid="3" name="ICV">
    <vt:lpwstr>788D132CD03944FE9DD8254C08BE8B69</vt:lpwstr>
  </property>
</Properties>
</file>