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（一）考核标准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1、综合管理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员工在岗期间须保持仪容仪表、言行举止符合各项规定。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328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考核标准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在岗员工未着统一制服，未佩戴工牌，衣衫不洁、不整，领口、衣袖未按规定方式扣紧，未穿黑色鞋。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男性员工前发过眉、侧发过耳、后发过领，留胡须、留长指甲；女性员工长发未盘起，化浓妆，将头发染成鲜艳颜色；佩戴夸张首饰、饰物。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3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在岗期间姿态松懈，站姿不标准，走路姿势不规范。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4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在展区未保持肃静，大声喧哗，走路时鞋与地面接触发出异常明显声响。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5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服务意识差，服务时不热情、未面带微笑，服务态度差，未完成领导交办的工作。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6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在岗期间吃食物、饮水，聚集聊天、嬉笑、打闹，看报纸书刊、看电视，玩手机、接打私人电话。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7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发生空岗、人员缺少，服务响应不及时。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8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服务时所携带手机未调至静音状态，对讲机声音过大。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9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本人不明确岗位职责。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10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工作期间进行打扑克、打麻将等活动。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11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不会正确使用各类消防器械和设备。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12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在岗期间与任何人发生争吵、打斗。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</w:t>
            </w:r>
          </w:p>
        </w:tc>
        <w:tc>
          <w:tcPr>
            <w:tcW w:w="6328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在馆内吸烟、饮酒。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发现一次扣20分</w:t>
            </w:r>
          </w:p>
        </w:tc>
      </w:tr>
    </w:tbl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注：发生第12、13条情况时，除考评扣分外，并要求将相关人员调离展馆。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2、安全保卫、秩序维护服务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确保物业范围内人身、财产安全，维持展馆的正常工作秩序。</w:t>
      </w:r>
    </w:p>
    <w:tbl>
      <w:tblPr>
        <w:tblStyle w:val="2"/>
        <w:tblW w:w="9134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24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序号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ind w:firstLine="480" w:firstLineChars="20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考核标准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ind w:firstLine="720" w:firstLineChars="300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不具备防盗、消防的基本常识，不熟知治安管理有关法律法规，不能正确使用各类物防、技防器械和设备。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不熟知本物业范围内环境、消防控制室、变电所、发电机房、配电室、消防水泵房、生活水箱等关键设备的位置。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对安全隐患未能及时发现或发现后未及时上报。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对管区内乱贴乱画、破坏物品未能及时发现和处理。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接到报警后未能在3分钟内赶到现场并及时通报馆方。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各岗位未严格按规定时间值班、交接班，值班记录本填写不认真。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7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未按规定时间、路线巡逻。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8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值岗期间不注意保持卫生，岗台物品摆放凌乱。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9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开馆期间未能保证正门入口前区域秩序正常，未能杜绝影响参观者出入的活动。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10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视频监控值班人员未能发现监控区域的违章现象。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消防设施检查不到位，灭火器、消火栓失效、丢失。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未做到每半年至少组织1次消防演练。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消防监控值班人员名单、排班表未提前一周公布张贴。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消防监控室有非本岗工作人员进入。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消防监控值班员未依法持证上岗。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消防监控值班员24小时值班发生空岗。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17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值岗期间睡觉。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因管理疏忽发生治安案件、火灾。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发现一次扣20分</w:t>
            </w:r>
          </w:p>
        </w:tc>
      </w:tr>
    </w:tbl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3、卫生保洁服务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保证物业范围内的环境卫生。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31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序号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ind w:firstLine="480" w:firstLineChars="20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考核标准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地面（地毯）有灰尘、垃圾、脚印、污渍、水迹，未能保持地面材质原貌。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天棚、墙面及设施（如电源开关、灯饰、指示牌）有明显灰尘、污渍、手印、蛛网，有乱贴乱画。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3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门窗、玻璃、把手、窗帘等有明显灰尘、污渍、手印。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4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各种金属件表面有灰尘、污渍，未能保持金属光泽。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5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展台、展板上有明显灰尘、污渍、手印。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6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消防器材、灯具、空调风口有积尘、蛛网。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7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绿化盆栽叶面、花盆等有灰尘、污渍，枯枝败叶未清理。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8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垃圾箱、桶内外不干净、有异味，垃圾超过2/3，垃圾未做到当日清运到指定地点。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9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未定期消杀“四害”，馆内发生鼠害、虫害。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10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卫生间通风不良、有异味，便池不洁净光亮，镜面、台面有水痕、手印。手纸、洗手液未保持正常提供。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11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电梯门、轿厢壁、呼梯盒有手印、污渍，地坎内有灰尘、杂物，轿厢内空气不清新。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12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室外停车场、道路、台阶、花坛、门窗、外墙下部、屋面露台等有垃圾、积水、明显污渍、乱贴乱画等。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门禁设施、交通设施有明显灰尘、污渍，亮化灯饰灯盖玻璃未保持明亮清洁。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14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室外绿化因未定期浇水、养护导致萎蔫、发生病虫害。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保洁员使用洗手盆洗拖布，随意封闭卫生间隔间妨碍正常使用，洗涤公司制服以外的衣物。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16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保洁服务未按免打扰方式进行。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firstLine="0" w:firstLineChars="0"/>
              <w:jc w:val="both"/>
              <w:textAlignment w:val="auto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发现一处扣1分</w:t>
            </w:r>
          </w:p>
        </w:tc>
      </w:tr>
    </w:tbl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4、楼宇设施设备运行、维护管理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保证物业范围内房屋及配套设施完好、运行正常。</w:t>
      </w:r>
    </w:p>
    <w:tbl>
      <w:tblPr>
        <w:tblStyle w:val="2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312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序号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  <w:tab w:val="left" w:pos="5017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考核标准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房屋及配套设施完好率低于98%。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设施设备台帐不完整，巡检、运行、安全检查、维修养护记录不齐全，内容不符合规范要求。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3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年度设施设备维修养护计划不完善，未按维护要求提醒馆方提前做好维保安排。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4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各专业岗位人员配置不符合合同、行业操作要求，上岗人员未按规定具备相应资格证书。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绝缘、计量用具清单不完整，未按规定检测。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6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未做到对用电、用水定期监控、统计、分析，节能、节水措施未落实到位。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7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未建议馆方储备合理数量的常用材料，以及突发事件应急物资。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8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未严格按规定时间值班、交接班，值班记录本填写不认真，由非专业人员替岗。因巡查不到位未能及时发现故障、损坏、隐患等并做出处理。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9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设备、机房及重点部位安全管理措施不完善，作业时未严格遵守操作规程与保养规范。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设备机房管理、安全责任人不明确，安全警示标志不齐全。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11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停电、限电、停水未提前通知馆方（应急处置除外）。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12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不爱护馆方提供的工具、机器、设备等，不节约使用耗材。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13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临时用电管理制度不完善，管理落实不到位。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14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未依照相关法律法规定期组织对生活用水设施设备进行清洗、消毒并做好记录。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15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排水、排污管道不通畅。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16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未确保监控系统、门禁系统、安检系统等设备正常运行和有效使用，监控记录未按规定时间保存，无法满足查询需求。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17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每年供暖期前未对供热系统进行彻底检修保养，致使设施设备在供暖期不能持续正常运转。供暖期内因维护不到位致使管路、阀门、散热器发生因冻受损。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18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未保证空调系统设备运行正常。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19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未能做到积极协助馆方配合专业机构依法依规对消防设施设备、电梯系统、防雷设施等进行检测。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20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未能对消防设施设备、电梯系统的故障做出应急处理，对专业维保公司的维护保养工作不配合。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21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普通维修接报后10分钟内未到达现场，电梯故障接报后5分钟内未到达现场。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22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疏散指示和事故照明设施完好率低于99%，出现故障未及时排除。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23</w:t>
            </w:r>
          </w:p>
        </w:tc>
        <w:tc>
          <w:tcPr>
            <w:tcW w:w="631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未严格按馆方要求定时开关序厅照明、室外亮化照明、空调机组、热风幕等。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</w:tbl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hint="eastAsia" w:ascii="宋体" w:hAnsi="宋体"/>
          <w:snapToGrid w:val="0"/>
          <w:sz w:val="24"/>
        </w:rPr>
      </w:pP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5、客户服务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按规定培训员工、进行投诉处理等工作。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21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序号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ind w:firstLine="480" w:firstLineChars="20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考核标准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ind w:firstLine="720" w:firstLineChars="300"/>
              <w:jc w:val="both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员工培训不到位，培训合格率未达到100%。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2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月有效投诉超过1次。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3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公示的投诉渠道不通畅，未及时对客户投诉做出回应。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4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处理投诉态度不端正，敷衍了事，未能与客户达成一致。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5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投诉回访率未达到100%。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6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投诉记录档案不完整、详实。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7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发生投诉经核实认定为物业人员责任的。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8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物业档案资料不齐全，完好率未达到98%。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9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馆方客户满意度半年测评低于90%。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10</w:t>
            </w:r>
          </w:p>
        </w:tc>
        <w:tc>
          <w:tcPr>
            <w:tcW w:w="6215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未达到馆方要求人数的95%。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spacing w:line="380" w:lineRule="exact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/>
                <w:snapToGrid w:val="0"/>
                <w:sz w:val="24"/>
              </w:rPr>
              <w:t>发现一次扣1分</w:t>
            </w:r>
          </w:p>
        </w:tc>
      </w:tr>
    </w:tbl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注：发生第10条情况时，每人次每天扣1分。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（二）处罚标准</w:t>
      </w:r>
    </w:p>
    <w:p>
      <w:pPr>
        <w:tabs>
          <w:tab w:val="left" w:pos="1019"/>
        </w:tabs>
        <w:snapToGrid w:val="0"/>
        <w:spacing w:line="380" w:lineRule="exact"/>
        <w:ind w:firstLine="480" w:firstLineChars="200"/>
        <w:rPr>
          <w:rFonts w:ascii="宋体" w:hAnsi="宋体"/>
          <w:b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每</w:t>
      </w:r>
      <w:r>
        <w:rPr>
          <w:rFonts w:hint="eastAsia" w:ascii="宋体" w:hAnsi="宋体"/>
          <w:snapToGrid w:val="0"/>
          <w:sz w:val="24"/>
          <w:lang w:val="en-US" w:eastAsia="zh-CN"/>
        </w:rPr>
        <w:t>季度</w:t>
      </w:r>
      <w:r>
        <w:rPr>
          <w:rFonts w:hint="eastAsia" w:ascii="宋体" w:hAnsi="宋体"/>
          <w:snapToGrid w:val="0"/>
          <w:sz w:val="24"/>
        </w:rPr>
        <w:t>累计扣分超过</w:t>
      </w:r>
      <w:r>
        <w:rPr>
          <w:rFonts w:hint="eastAsia" w:ascii="宋体" w:hAnsi="宋体"/>
          <w:snapToGrid w:val="0"/>
          <w:sz w:val="24"/>
          <w:lang w:val="en-US" w:eastAsia="zh-CN"/>
        </w:rPr>
        <w:t>40</w:t>
      </w:r>
      <w:r>
        <w:rPr>
          <w:rFonts w:hint="eastAsia" w:ascii="宋体" w:hAnsi="宋体"/>
          <w:snapToGrid w:val="0"/>
          <w:sz w:val="24"/>
        </w:rPr>
        <w:t>分，采购人将扣除</w:t>
      </w:r>
      <w:r>
        <w:rPr>
          <w:rFonts w:hint="eastAsia" w:ascii="宋体" w:hAnsi="宋体"/>
          <w:snapToGrid w:val="0"/>
          <w:sz w:val="24"/>
          <w:lang w:val="en-US" w:eastAsia="zh-CN"/>
        </w:rPr>
        <w:t>季度</w:t>
      </w:r>
      <w:r>
        <w:rPr>
          <w:rFonts w:hint="eastAsia" w:ascii="宋体" w:hAnsi="宋体"/>
          <w:snapToGrid w:val="0"/>
          <w:sz w:val="24"/>
        </w:rPr>
        <w:t>服务费用</w:t>
      </w:r>
      <w:r>
        <w:rPr>
          <w:rFonts w:hint="eastAsia" w:ascii="宋体" w:hAnsi="宋体"/>
          <w:snapToGrid w:val="0"/>
          <w:sz w:val="24"/>
          <w:lang w:val="en-US" w:eastAsia="zh-CN"/>
        </w:rPr>
        <w:t>5</w:t>
      </w:r>
      <w:r>
        <w:rPr>
          <w:rFonts w:ascii="宋体" w:hAnsi="宋体"/>
          <w:snapToGrid w:val="0"/>
          <w:sz w:val="24"/>
        </w:rPr>
        <w:t>%</w:t>
      </w:r>
      <w:r>
        <w:rPr>
          <w:rFonts w:hint="eastAsia" w:ascii="宋体" w:hAnsi="宋体"/>
          <w:snapToGrid w:val="0"/>
          <w:sz w:val="24"/>
        </w:rPr>
        <w:t>予以处罚，连续</w:t>
      </w:r>
      <w:r>
        <w:rPr>
          <w:rFonts w:hint="eastAsia" w:ascii="宋体" w:hAnsi="宋体"/>
          <w:snapToGrid w:val="0"/>
          <w:sz w:val="24"/>
          <w:lang w:val="en-US" w:eastAsia="zh-CN"/>
        </w:rPr>
        <w:t>两季度</w:t>
      </w:r>
      <w:r>
        <w:rPr>
          <w:rFonts w:hint="eastAsia" w:ascii="宋体" w:hAnsi="宋体"/>
          <w:snapToGrid w:val="0"/>
          <w:sz w:val="24"/>
        </w:rPr>
        <w:t>扣分超过</w:t>
      </w:r>
      <w:r>
        <w:rPr>
          <w:rFonts w:hint="eastAsia" w:ascii="宋体" w:hAnsi="宋体"/>
          <w:snapToGrid w:val="0"/>
          <w:sz w:val="24"/>
          <w:lang w:val="en-US" w:eastAsia="zh-CN"/>
        </w:rPr>
        <w:t>40</w:t>
      </w:r>
      <w:r>
        <w:rPr>
          <w:rFonts w:hint="eastAsia" w:ascii="宋体" w:hAnsi="宋体"/>
          <w:snapToGrid w:val="0"/>
          <w:sz w:val="24"/>
        </w:rPr>
        <w:t>分，即认为中标人服务不合格，采购人可终止合同。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YmExNDMxODUzNmRiOWZhNGJmNmNlNzlmMWY3MjQifQ=="/>
  </w:docVars>
  <w:rsids>
    <w:rsidRoot w:val="00000000"/>
    <w:rsid w:val="1B7343EF"/>
    <w:rsid w:val="1FFD13B0"/>
    <w:rsid w:val="42156510"/>
    <w:rsid w:val="52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2023-09-25T08:30:00Z</dcterms:created>
  <dc:creator>Administrator</dc:creator>
  <cp:lastModifiedBy> </cp:lastModifiedBy>
  <dcterms:modified xsi:type="dcterms:W3CDTF">2023-09-25T09:47:37Z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A2B7179FC8424386810425DA6CF3F2A1_12</vt:lpwstr>
  </property>
</Properties>
</file>