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sz w:val="24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分项报价一览表</w:t>
      </w:r>
    </w:p>
    <w:bookmarkEnd w:id="0"/>
    <w:p/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06"/>
        <w:gridCol w:w="892"/>
        <w:gridCol w:w="2725"/>
        <w:gridCol w:w="1586"/>
        <w:gridCol w:w="1479"/>
        <w:gridCol w:w="1345"/>
        <w:gridCol w:w="1368"/>
        <w:gridCol w:w="1059"/>
        <w:gridCol w:w="1094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规格型号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品牌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产地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制造商名称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可编程控制器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可编程控制器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可编程控制器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可编程控制器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可编程控制器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可编程控制器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可编程控制器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可编程控制器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集成接口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液位开关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液位开关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液体压力变送器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水流开关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水道温度传感器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水流量计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防冻开关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过滤网压差开关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风道温度传感器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风道温湿度传感器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CO2变送器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室外温湿度变送器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调节型电动风阀执行器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开关型电动风阀执行器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DDC控制盘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DDC控制盘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DDC控制盘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DDC控制盘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DDC控制盘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超六类网线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穿线管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室外光纤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节能控制设备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照明控制器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485存在感应器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4位智能面板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6位智能面板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智能照明配电箱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智能照明配电箱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智能照明配电箱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智能照明配电箱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智能照明配电箱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智能照明配电箱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智能照明配电箱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DDC控制盘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超六类网线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穿线管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室外光纤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能源控制设备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能源网关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DDC控制盘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超六类网线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穿线管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室外光纤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集中控制设备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一体数据管理设备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（核心产品）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UPS电源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液晶拼接屏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电视墙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拼接处理器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音频处理器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超六类网线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14）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穿线管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合计（元）</w:t>
            </w:r>
          </w:p>
        </w:tc>
        <w:tc>
          <w:tcPr>
            <w:tcW w:w="264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大写：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2EyMzA1ZTJlYTdlYWExN2FlMDYwYjZmM2Y4YWQifQ=="/>
  </w:docVars>
  <w:rsids>
    <w:rsidRoot w:val="2A67777C"/>
    <w:rsid w:val="2A67777C"/>
    <w:rsid w:val="63891B9B"/>
    <w:rsid w:val="6A2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3"/>
    <w:uiPriority w:val="0"/>
    <w:rPr>
      <w:rFonts w:ascii="Verdana" w:hAnsi="Verdana" w:cs="Verdan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2023-11-15T03:02:00Z</dcterms:created>
  <dc:creator>WPS_1666332101</dc:creator>
  <cp:lastModifiedBy>qq</cp:lastModifiedBy>
  <dcterms:modified xsi:type="dcterms:W3CDTF">2023-11-15T06:56:41Z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09C6B65F517B4387B8C019C6ACFA9D34_13</vt:lpwstr>
  </property>
</Properties>
</file>