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方正小标宋简体" w:hAnsi="方正小标宋简体" w:eastAsia="方正小标宋简体" w:cs="方正小标宋简体"/>
          <w:bCs/>
          <w:sz w:val="44"/>
          <w:szCs w:val="44"/>
        </w:rPr>
      </w:pPr>
    </w:p>
    <w:p>
      <w:pPr>
        <w:spacing w:line="500" w:lineRule="exact"/>
        <w:jc w:val="center"/>
        <w:rPr>
          <w:rFonts w:ascii="文星简小标宋" w:hAnsi="文星简小标宋" w:eastAsia="文星简小标宋" w:cs="文星简小标宋"/>
          <w:sz w:val="44"/>
          <w:szCs w:val="44"/>
        </w:rPr>
      </w:pPr>
      <w:r>
        <w:rPr>
          <w:rFonts w:hint="eastAsia" w:ascii="文星简小标宋" w:hAnsi="文星简小标宋" w:eastAsia="文星简小标宋" w:cs="文星简小标宋"/>
          <w:sz w:val="44"/>
          <w:szCs w:val="44"/>
        </w:rPr>
        <w:t>哈尔滨市科学技术局</w:t>
      </w:r>
    </w:p>
    <w:p>
      <w:pPr>
        <w:spacing w:line="500" w:lineRule="exact"/>
        <w:jc w:val="center"/>
        <w:rPr>
          <w:rFonts w:ascii="黑体" w:hAnsi="黑体" w:eastAsia="黑体" w:cs="黑体"/>
          <w:kern w:val="0"/>
          <w:sz w:val="28"/>
          <w:szCs w:val="28"/>
        </w:rPr>
      </w:pPr>
      <w:r>
        <w:rPr>
          <w:rFonts w:hint="eastAsia" w:ascii="文星简小标宋" w:hAnsi="文星简小标宋" w:eastAsia="文星简小标宋" w:cs="文星简小标宋"/>
          <w:sz w:val="44"/>
          <w:szCs w:val="44"/>
        </w:rPr>
        <w:t>实验动物监督检验项目采购概况</w:t>
      </w:r>
    </w:p>
    <w:p>
      <w:pPr>
        <w:pStyle w:val="7"/>
        <w:tabs>
          <w:tab w:val="left" w:pos="0"/>
        </w:tabs>
        <w:spacing w:after="0" w:line="500" w:lineRule="exact"/>
        <w:ind w:left="0" w:leftChars="0" w:firstLine="560" w:firstLineChars="200"/>
        <w:rPr>
          <w:rFonts w:ascii="黑体" w:hAnsi="黑体" w:eastAsia="黑体" w:cs="黑体"/>
          <w:kern w:val="0"/>
          <w:sz w:val="28"/>
          <w:szCs w:val="28"/>
        </w:rPr>
      </w:pPr>
    </w:p>
    <w:p>
      <w:pPr>
        <w:pStyle w:val="7"/>
        <w:tabs>
          <w:tab w:val="left" w:pos="0"/>
        </w:tabs>
        <w:spacing w:after="0" w:line="500" w:lineRule="exact"/>
        <w:ind w:left="0" w:leftChars="0" w:firstLine="640" w:firstLineChars="200"/>
        <w:rPr>
          <w:rFonts w:ascii="仿宋_GB2312" w:hAnsi="仿宋_GB2312" w:eastAsia="黑体" w:cs="仿宋_GB2312"/>
          <w:kern w:val="0"/>
          <w:sz w:val="32"/>
          <w:szCs w:val="32"/>
        </w:rPr>
      </w:pPr>
      <w:r>
        <w:rPr>
          <w:rFonts w:hint="eastAsia" w:ascii="黑体" w:hAnsi="黑体" w:eastAsia="黑体" w:cs="黑体"/>
          <w:kern w:val="0"/>
          <w:sz w:val="32"/>
          <w:szCs w:val="32"/>
        </w:rPr>
        <w:t>一、采购及技术服务内容</w:t>
      </w:r>
    </w:p>
    <w:p>
      <w:pPr>
        <w:pStyle w:val="7"/>
        <w:tabs>
          <w:tab w:val="left" w:pos="0"/>
        </w:tabs>
        <w:spacing w:after="0" w:line="500" w:lineRule="exact"/>
        <w:ind w:left="0" w:leftChars="0" w:firstLine="642"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（一）采购内容</w:t>
      </w:r>
    </w:p>
    <w:p>
      <w:pPr>
        <w:pStyle w:val="7"/>
        <w:tabs>
          <w:tab w:val="left" w:pos="0"/>
        </w:tabs>
        <w:spacing w:after="0" w:line="50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哈尔滨市实验动物质量监督检验检测主要涉及32家受检单位，共52个实验动物许可证（包括实验动物生产许可证15个、实验动物使用许可证37个），检测方式为监督检验、抽样检测。本次招标单位委托检测有10个品类，样本689个，分别为：</w:t>
      </w:r>
    </w:p>
    <w:p>
      <w:pPr>
        <w:pStyle w:val="7"/>
        <w:tabs>
          <w:tab w:val="left" w:pos="0"/>
        </w:tabs>
        <w:spacing w:after="0" w:line="50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1.啮齿类实验动物质量检测260只，其中普通级实验兔60只、普通级豚鼠60只、清洁级大鼠30只、清洁级小鼠110只，检测项目</w:t>
      </w:r>
      <w:r>
        <w:rPr>
          <w:rFonts w:ascii="仿宋_GB2312" w:hAnsi="仿宋_GB2312" w:eastAsia="仿宋_GB2312" w:cs="仿宋_GB2312"/>
          <w:kern w:val="0"/>
          <w:sz w:val="32"/>
          <w:szCs w:val="32"/>
        </w:rPr>
        <w:t>11</w:t>
      </w:r>
      <w:r>
        <w:rPr>
          <w:rFonts w:hint="eastAsia" w:ascii="仿宋_GB2312" w:hAnsi="仿宋_GB2312" w:eastAsia="仿宋_GB2312" w:cs="仿宋_GB2312"/>
          <w:kern w:val="0"/>
          <w:sz w:val="32"/>
          <w:szCs w:val="32"/>
        </w:rPr>
        <w:t>项；</w:t>
      </w:r>
    </w:p>
    <w:p>
      <w:pPr>
        <w:pStyle w:val="7"/>
        <w:tabs>
          <w:tab w:val="left" w:pos="0"/>
        </w:tabs>
        <w:spacing w:after="0" w:line="50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2.SPF鸡检测120只，检测项目19项；</w:t>
      </w:r>
    </w:p>
    <w:p>
      <w:pPr>
        <w:pStyle w:val="7"/>
        <w:tabs>
          <w:tab w:val="left" w:pos="0"/>
        </w:tabs>
        <w:spacing w:after="0" w:line="500" w:lineRule="exact"/>
        <w:ind w:left="0" w:leftChars="0" w:firstLine="640" w:firstLineChars="200"/>
        <w:rPr>
          <w:rFonts w:ascii="仿宋_GB2312" w:hAnsi="仿宋_GB2312" w:eastAsia="仿宋_GB2312" w:cs="仿宋_GB2312"/>
          <w:kern w:val="0"/>
          <w:sz w:val="32"/>
          <w:szCs w:val="32"/>
          <w:lang w:val="en"/>
        </w:rPr>
      </w:pPr>
      <w:r>
        <w:rPr>
          <w:rFonts w:hint="eastAsia" w:ascii="仿宋_GB2312" w:hAnsi="仿宋_GB2312" w:eastAsia="仿宋_GB2312" w:cs="仿宋_GB2312"/>
          <w:kern w:val="0"/>
          <w:sz w:val="32"/>
          <w:szCs w:val="32"/>
        </w:rPr>
        <w:t>3.SPF鸭培育检测70只，检测项目1</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项（其中2种国标方法检测；1</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种非标方法检测）</w:t>
      </w:r>
      <w:r>
        <w:rPr>
          <w:rFonts w:ascii="仿宋_GB2312" w:hAnsi="仿宋_GB2312" w:eastAsia="仿宋_GB2312" w:cs="仿宋_GB2312"/>
          <w:kern w:val="0"/>
          <w:sz w:val="32"/>
          <w:szCs w:val="32"/>
          <w:lang w:val="en"/>
        </w:rPr>
        <w:t>;</w:t>
      </w:r>
    </w:p>
    <w:p>
      <w:pPr>
        <w:pStyle w:val="7"/>
        <w:tabs>
          <w:tab w:val="left" w:pos="0"/>
        </w:tabs>
        <w:spacing w:after="0" w:line="50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4.SPF猪检测40只，检测项目1</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项；</w:t>
      </w:r>
    </w:p>
    <w:p>
      <w:pPr>
        <w:pStyle w:val="7"/>
        <w:tabs>
          <w:tab w:val="left" w:pos="0"/>
        </w:tabs>
        <w:spacing w:after="0" w:line="50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5.实验动物饲料检测40份，检测项目11项；</w:t>
      </w:r>
    </w:p>
    <w:p>
      <w:pPr>
        <w:pStyle w:val="7"/>
        <w:tabs>
          <w:tab w:val="left" w:pos="0"/>
        </w:tabs>
        <w:spacing w:after="0" w:line="50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6.普通环境检测80个，检测项目6项；</w:t>
      </w:r>
    </w:p>
    <w:p>
      <w:pPr>
        <w:pStyle w:val="7"/>
        <w:tabs>
          <w:tab w:val="left" w:pos="0"/>
        </w:tabs>
        <w:spacing w:after="0" w:line="50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7.屏障环境检测30个，检测项目9项；</w:t>
      </w:r>
    </w:p>
    <w:p>
      <w:pPr>
        <w:pStyle w:val="7"/>
        <w:tabs>
          <w:tab w:val="left" w:pos="0"/>
        </w:tabs>
        <w:spacing w:after="0" w:line="50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8.隔离环境（IVC笼具）检测20个，检测项目9项；</w:t>
      </w:r>
    </w:p>
    <w:p>
      <w:pPr>
        <w:pStyle w:val="7"/>
        <w:tabs>
          <w:tab w:val="left" w:pos="0"/>
        </w:tabs>
        <w:spacing w:after="0" w:line="50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9.隔离环境（隔离器）检测15个，检测项目9项；</w:t>
      </w:r>
    </w:p>
    <w:p>
      <w:pPr>
        <w:pStyle w:val="7"/>
        <w:tabs>
          <w:tab w:val="left" w:pos="0"/>
        </w:tabs>
        <w:spacing w:after="0" w:line="50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10.超净工作台检测14个，检测项目6项。</w:t>
      </w:r>
    </w:p>
    <w:p>
      <w:pPr>
        <w:pStyle w:val="7"/>
        <w:tabs>
          <w:tab w:val="left" w:pos="0"/>
        </w:tabs>
        <w:spacing w:after="0" w:line="500" w:lineRule="exact"/>
        <w:ind w:left="0" w:leftChars="0" w:firstLine="642"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（二）技术服务内容</w:t>
      </w:r>
    </w:p>
    <w:p>
      <w:pPr>
        <w:pStyle w:val="7"/>
        <w:tabs>
          <w:tab w:val="left" w:pos="0"/>
        </w:tabs>
        <w:spacing w:after="0" w:line="500" w:lineRule="exact"/>
        <w:ind w:left="0" w:leftChars="0" w:firstLine="642" w:firstLineChars="200"/>
        <w:rPr>
          <w:rFonts w:ascii="仿宋_GB2312" w:hAnsi="仿宋_GB2312" w:eastAsia="仿宋_GB2312" w:cs="仿宋_GB2312"/>
          <w:b/>
          <w:bCs/>
          <w:kern w:val="0"/>
          <w:sz w:val="32"/>
          <w:szCs w:val="32"/>
        </w:rPr>
      </w:pPr>
    </w:p>
    <w:p>
      <w:pPr>
        <w:pStyle w:val="7"/>
        <w:tabs>
          <w:tab w:val="left" w:pos="0"/>
        </w:tabs>
        <w:spacing w:after="0" w:line="500" w:lineRule="exact"/>
        <w:ind w:left="0" w:leftChars="0" w:firstLine="642" w:firstLineChars="200"/>
        <w:rPr>
          <w:rFonts w:ascii="仿宋_GB2312" w:hAnsi="仿宋_GB2312" w:eastAsia="仿宋_GB2312" w:cs="仿宋_GB2312"/>
          <w:b/>
          <w:bCs/>
          <w:kern w:val="0"/>
          <w:sz w:val="32"/>
          <w:szCs w:val="32"/>
        </w:rPr>
      </w:pPr>
    </w:p>
    <w:tbl>
      <w:tblPr>
        <w:tblStyle w:val="12"/>
        <w:tblW w:w="10548" w:type="dxa"/>
        <w:tblInd w:w="-811" w:type="dxa"/>
        <w:tblLayout w:type="fixed"/>
        <w:tblCellMar>
          <w:top w:w="15" w:type="dxa"/>
          <w:left w:w="15" w:type="dxa"/>
          <w:bottom w:w="15" w:type="dxa"/>
          <w:right w:w="15" w:type="dxa"/>
        </w:tblCellMar>
      </w:tblPr>
      <w:tblGrid>
        <w:gridCol w:w="1624"/>
        <w:gridCol w:w="2886"/>
        <w:gridCol w:w="6038"/>
      </w:tblGrid>
      <w:tr>
        <w:tblPrEx>
          <w:tblCellMar>
            <w:top w:w="15" w:type="dxa"/>
            <w:left w:w="15" w:type="dxa"/>
            <w:bottom w:w="15" w:type="dxa"/>
            <w:right w:w="15" w:type="dxa"/>
          </w:tblCellMar>
        </w:tblPrEx>
        <w:trPr>
          <w:trHeight w:val="373" w:hRule="atLeast"/>
        </w:trPr>
        <w:tc>
          <w:tcPr>
            <w:tcW w:w="1624" w:type="dxa"/>
            <w:vMerge w:val="restart"/>
            <w:tcBorders>
              <w:top w:val="single" w:color="000000" w:sz="4" w:space="0"/>
              <w:left w:val="single" w:color="000000" w:sz="4" w:space="0"/>
              <w:right w:val="single" w:color="000000" w:sz="4" w:space="0"/>
            </w:tcBorders>
            <w:shd w:val="clear" w:color="auto" w:fill="auto"/>
            <w:vAlign w:val="center"/>
          </w:tcPr>
          <w:p>
            <w:pPr>
              <w:widowControl/>
              <w:spacing w:line="460" w:lineRule="exact"/>
              <w:jc w:val="left"/>
              <w:textAlignment w:val="center"/>
              <w:rPr>
                <w:rFonts w:ascii="仿宋_GB2312" w:hAnsi="仿宋_GB2312" w:eastAsia="仿宋_GB2312" w:cs="仿宋_GB2312"/>
                <w:color w:val="000000"/>
                <w:kern w:val="0"/>
                <w:sz w:val="28"/>
                <w:szCs w:val="28"/>
                <w:lang w:bidi="ar"/>
              </w:rPr>
            </w:pPr>
          </w:p>
          <w:p>
            <w:pPr>
              <w:widowControl/>
              <w:spacing w:line="460" w:lineRule="exact"/>
              <w:jc w:val="left"/>
              <w:textAlignment w:val="center"/>
              <w:rPr>
                <w:rFonts w:ascii="仿宋_GB2312" w:hAnsi="仿宋_GB2312" w:eastAsia="仿宋_GB2312" w:cs="仿宋_GB2312"/>
                <w:color w:val="000000"/>
                <w:kern w:val="0"/>
                <w:sz w:val="28"/>
                <w:szCs w:val="28"/>
                <w:lang w:bidi="ar"/>
              </w:rPr>
            </w:pPr>
          </w:p>
          <w:p>
            <w:pPr>
              <w:widowControl/>
              <w:spacing w:line="460" w:lineRule="exact"/>
              <w:jc w:val="left"/>
              <w:textAlignment w:val="center"/>
              <w:rPr>
                <w:rFonts w:ascii="仿宋_GB2312" w:hAnsi="仿宋_GB2312" w:eastAsia="仿宋_GB2312" w:cs="仿宋_GB2312"/>
                <w:color w:val="000000"/>
                <w:kern w:val="0"/>
                <w:sz w:val="28"/>
                <w:szCs w:val="28"/>
                <w:lang w:bidi="ar"/>
              </w:rPr>
            </w:pPr>
          </w:p>
          <w:p>
            <w:pPr>
              <w:widowControl/>
              <w:spacing w:line="460" w:lineRule="exact"/>
              <w:jc w:val="left"/>
              <w:textAlignment w:val="center"/>
              <w:rPr>
                <w:rFonts w:ascii="仿宋_GB2312" w:hAnsi="仿宋_GB2312" w:eastAsia="仿宋_GB2312" w:cs="仿宋_GB2312"/>
                <w:color w:val="000000"/>
                <w:kern w:val="0"/>
                <w:sz w:val="28"/>
                <w:szCs w:val="28"/>
                <w:lang w:bidi="ar"/>
              </w:rPr>
            </w:pPr>
          </w:p>
          <w:p>
            <w:pPr>
              <w:widowControl/>
              <w:spacing w:line="460" w:lineRule="exact"/>
              <w:jc w:val="left"/>
              <w:textAlignment w:val="center"/>
              <w:rPr>
                <w:rFonts w:ascii="仿宋_GB2312" w:hAnsi="仿宋_GB2312" w:eastAsia="仿宋_GB2312" w:cs="仿宋_GB2312"/>
                <w:color w:val="000000"/>
                <w:kern w:val="0"/>
                <w:sz w:val="28"/>
                <w:szCs w:val="28"/>
                <w:lang w:bidi="ar"/>
              </w:rPr>
            </w:pPr>
          </w:p>
          <w:p>
            <w:pPr>
              <w:widowControl/>
              <w:spacing w:line="460" w:lineRule="exact"/>
              <w:jc w:val="left"/>
              <w:textAlignment w:val="center"/>
              <w:rPr>
                <w:rFonts w:ascii="仿宋_GB2312" w:hAnsi="仿宋_GB2312" w:eastAsia="仿宋_GB2312" w:cs="仿宋_GB2312"/>
                <w:color w:val="000000"/>
                <w:kern w:val="0"/>
                <w:sz w:val="28"/>
                <w:szCs w:val="28"/>
                <w:lang w:bidi="ar"/>
              </w:rPr>
            </w:pPr>
          </w:p>
          <w:p>
            <w:pPr>
              <w:widowControl/>
              <w:spacing w:line="460" w:lineRule="exact"/>
              <w:jc w:val="left"/>
              <w:textAlignment w:val="center"/>
              <w:rPr>
                <w:rFonts w:ascii="仿宋_GB2312" w:hAnsi="仿宋_GB2312" w:eastAsia="仿宋_GB2312" w:cs="仿宋_GB2312"/>
                <w:color w:val="000000"/>
                <w:kern w:val="0"/>
                <w:sz w:val="28"/>
                <w:szCs w:val="28"/>
                <w:lang w:bidi="ar"/>
              </w:rPr>
            </w:pPr>
          </w:p>
          <w:p>
            <w:pPr>
              <w:widowControl/>
              <w:spacing w:line="460" w:lineRule="exact"/>
              <w:jc w:val="left"/>
              <w:textAlignment w:val="center"/>
              <w:rPr>
                <w:rFonts w:ascii="仿宋_GB2312" w:hAnsi="仿宋_GB2312" w:eastAsia="仿宋_GB2312" w:cs="仿宋_GB2312"/>
                <w:color w:val="000000"/>
                <w:kern w:val="0"/>
                <w:sz w:val="28"/>
                <w:szCs w:val="28"/>
                <w:lang w:bidi="ar"/>
              </w:rPr>
            </w:pPr>
          </w:p>
          <w:p>
            <w:pPr>
              <w:widowControl/>
              <w:spacing w:line="460" w:lineRule="exact"/>
              <w:jc w:val="left"/>
              <w:textAlignment w:val="center"/>
              <w:rPr>
                <w:rFonts w:ascii="仿宋_GB2312" w:hAnsi="仿宋_GB2312" w:eastAsia="仿宋_GB2312" w:cs="仿宋_GB2312"/>
                <w:color w:val="000000"/>
                <w:kern w:val="0"/>
                <w:sz w:val="28"/>
                <w:szCs w:val="28"/>
                <w:lang w:bidi="ar"/>
              </w:rPr>
            </w:pPr>
          </w:p>
          <w:p>
            <w:pPr>
              <w:widowControl/>
              <w:spacing w:line="460" w:lineRule="exact"/>
              <w:jc w:val="left"/>
              <w:textAlignment w:val="center"/>
              <w:rPr>
                <w:rFonts w:ascii="仿宋_GB2312" w:hAnsi="仿宋_GB2312" w:eastAsia="仿宋_GB2312" w:cs="仿宋_GB2312"/>
                <w:color w:val="000000"/>
                <w:kern w:val="0"/>
                <w:sz w:val="28"/>
                <w:szCs w:val="28"/>
                <w:lang w:bidi="ar"/>
              </w:rPr>
            </w:pPr>
          </w:p>
          <w:p>
            <w:pPr>
              <w:widowControl/>
              <w:spacing w:line="460" w:lineRule="exact"/>
              <w:jc w:val="left"/>
              <w:textAlignment w:val="center"/>
              <w:rPr>
                <w:rFonts w:ascii="仿宋_GB2312" w:hAnsi="仿宋_GB2312" w:eastAsia="仿宋_GB2312" w:cs="仿宋_GB2312"/>
                <w:color w:val="000000"/>
                <w:kern w:val="0"/>
                <w:sz w:val="28"/>
                <w:szCs w:val="28"/>
                <w:lang w:bidi="ar"/>
              </w:rPr>
            </w:pPr>
          </w:p>
          <w:p>
            <w:pPr>
              <w:widowControl/>
              <w:spacing w:line="460" w:lineRule="exact"/>
              <w:jc w:val="left"/>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一、实验动物质量监督检测</w:t>
            </w:r>
          </w:p>
        </w:tc>
        <w:tc>
          <w:tcPr>
            <w:tcW w:w="2886" w:type="dxa"/>
            <w:tcBorders>
              <w:top w:val="single" w:color="000000" w:sz="4" w:space="0"/>
              <w:left w:val="single" w:color="000000" w:sz="4" w:space="0"/>
              <w:right w:val="single" w:color="000000" w:sz="4" w:space="0"/>
            </w:tcBorders>
            <w:shd w:val="clear" w:color="auto" w:fill="auto"/>
            <w:vAlign w:val="center"/>
          </w:tcPr>
          <w:p>
            <w:pPr>
              <w:widowControl/>
              <w:spacing w:line="460" w:lineRule="exact"/>
              <w:jc w:val="left"/>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 xml:space="preserve">啮齿类实验动物（普通级实验兔、普通级豚鼠、清洁级大鼠、清洁级小鼠） </w:t>
            </w:r>
            <w:r>
              <w:rPr>
                <w:rFonts w:hint="eastAsia" w:ascii="仿宋_GB2312" w:hAnsi="仿宋_GB2312" w:eastAsia="仿宋_GB2312" w:cs="仿宋_GB2312"/>
                <w:color w:val="000000"/>
                <w:sz w:val="28"/>
                <w:szCs w:val="28"/>
              </w:rPr>
              <w:t>检测参数</w:t>
            </w:r>
            <w:r>
              <w:rPr>
                <w:rFonts w:hint="eastAsia" w:ascii="仿宋_GB2312" w:hAnsi="仿宋_GB2312" w:eastAsia="仿宋_GB2312" w:cs="仿宋_GB2312"/>
                <w:color w:val="000000"/>
                <w:kern w:val="0"/>
                <w:sz w:val="28"/>
                <w:szCs w:val="28"/>
                <w:lang w:bidi="ar"/>
              </w:rPr>
              <w:t xml:space="preserve">   </w:t>
            </w:r>
          </w:p>
        </w:tc>
        <w:tc>
          <w:tcPr>
            <w:tcW w:w="6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沙门氏菌、汉坦病毒、弓形虫、仙台病毒、支原体、鼠棒状杆菌、泰泽病原体、小鼠肝炎、鼠痘、淋巴细胞脉络丛、兔出血热</w:t>
            </w:r>
          </w:p>
        </w:tc>
      </w:tr>
      <w:tr>
        <w:tblPrEx>
          <w:tblCellMar>
            <w:top w:w="15" w:type="dxa"/>
            <w:left w:w="15" w:type="dxa"/>
            <w:bottom w:w="15" w:type="dxa"/>
            <w:right w:w="15" w:type="dxa"/>
          </w:tblCellMar>
        </w:tblPrEx>
        <w:trPr>
          <w:trHeight w:val="269" w:hRule="atLeast"/>
        </w:trPr>
        <w:tc>
          <w:tcPr>
            <w:tcW w:w="1624" w:type="dxa"/>
            <w:vMerge w:val="continue"/>
            <w:tcBorders>
              <w:left w:val="single" w:color="000000" w:sz="4" w:space="0"/>
              <w:right w:val="single" w:color="000000" w:sz="4" w:space="0"/>
            </w:tcBorders>
            <w:shd w:val="clear" w:color="auto" w:fill="auto"/>
            <w:vAlign w:val="center"/>
          </w:tcPr>
          <w:p>
            <w:pPr>
              <w:widowControl/>
              <w:spacing w:line="460" w:lineRule="exact"/>
              <w:rPr>
                <w:rFonts w:ascii="仿宋_GB2312" w:hAnsi="仿宋_GB2312" w:eastAsia="仿宋_GB2312" w:cs="仿宋_GB2312"/>
                <w:color w:val="000000"/>
                <w:sz w:val="28"/>
                <w:szCs w:val="28"/>
              </w:rPr>
            </w:pP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left"/>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SPF鸡</w:t>
            </w:r>
            <w:r>
              <w:rPr>
                <w:rFonts w:hint="eastAsia" w:ascii="仿宋_GB2312" w:hAnsi="仿宋_GB2312" w:eastAsia="仿宋_GB2312" w:cs="仿宋_GB2312"/>
                <w:color w:val="000000"/>
                <w:sz w:val="28"/>
                <w:szCs w:val="28"/>
              </w:rPr>
              <w:t>检测参数</w:t>
            </w:r>
          </w:p>
        </w:tc>
        <w:tc>
          <w:tcPr>
            <w:tcW w:w="6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left"/>
              <w:textAlignment w:val="center"/>
              <w:rPr>
                <w:rFonts w:ascii="仿宋_GB2312" w:hAnsi="仿宋_GB2312" w:eastAsia="仿宋_GB2312" w:cs="仿宋_GB2312"/>
                <w:color w:val="auto"/>
                <w:kern w:val="0"/>
                <w:sz w:val="28"/>
                <w:szCs w:val="28"/>
                <w:lang w:bidi="ar"/>
              </w:rPr>
            </w:pPr>
            <w:r>
              <w:rPr>
                <w:rFonts w:hint="eastAsia" w:ascii="仿宋_GB2312" w:hAnsi="仿宋_GB2312" w:eastAsia="仿宋_GB2312" w:cs="仿宋_GB2312"/>
                <w:kern w:val="0"/>
                <w:sz w:val="28"/>
                <w:szCs w:val="28"/>
                <w:lang w:bidi="ar"/>
              </w:rPr>
              <w:t>鸡白痢沙门氏菌、副鸡嗜血杆菌、多杀性巴氏杆菌、</w:t>
            </w:r>
            <w:r>
              <w:rPr>
                <w:rFonts w:hint="eastAsia" w:ascii="仿宋_GB2312" w:hAnsi="仿宋_GB2312" w:eastAsia="仿宋_GB2312" w:cs="仿宋_GB2312"/>
                <w:color w:val="auto"/>
                <w:kern w:val="0"/>
                <w:sz w:val="28"/>
                <w:szCs w:val="28"/>
                <w:lang w:bidi="ar"/>
              </w:rPr>
              <w:t>鸡毒支原体、滑液囊支原体、禽流感病毒、新城疫病毒、传染性支气管炎病毒、传染性喉气管炎病毒、传染性法氏囊病病毒、淋巴白血病病毒、网状内皮增生症病毒、马立克氏病毒、鸡传染性贫血病毒、禽呼肠孤病毒(病毒性关节炎)、禽脑脊髓炎病毒、禽腺病毒I群、禽腺病毒Ⅲ群(EDS)、禽痘病毒</w:t>
            </w:r>
          </w:p>
        </w:tc>
      </w:tr>
      <w:tr>
        <w:tblPrEx>
          <w:tblCellMar>
            <w:top w:w="15" w:type="dxa"/>
            <w:left w:w="15" w:type="dxa"/>
            <w:bottom w:w="15" w:type="dxa"/>
            <w:right w:w="15" w:type="dxa"/>
          </w:tblCellMar>
        </w:tblPrEx>
        <w:trPr>
          <w:trHeight w:val="429" w:hRule="atLeast"/>
        </w:trPr>
        <w:tc>
          <w:tcPr>
            <w:tcW w:w="1624"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460" w:lineRule="exact"/>
              <w:rPr>
                <w:rFonts w:ascii="仿宋_GB2312" w:hAnsi="仿宋_GB2312" w:eastAsia="仿宋_GB2312" w:cs="仿宋_GB2312"/>
                <w:color w:val="000000"/>
                <w:sz w:val="28"/>
                <w:szCs w:val="28"/>
              </w:rPr>
            </w:pPr>
          </w:p>
        </w:tc>
        <w:tc>
          <w:tcPr>
            <w:tcW w:w="288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SPF鸭检测参数</w:t>
            </w:r>
          </w:p>
          <w:p>
            <w:pPr>
              <w:widowControl/>
              <w:spacing w:line="460" w:lineRule="exact"/>
              <w:rPr>
                <w:rFonts w:ascii="仿宋_GB2312" w:hAnsi="仿宋_GB2312" w:eastAsia="仿宋_GB2312" w:cs="仿宋_GB2312"/>
                <w:color w:val="000000"/>
                <w:sz w:val="28"/>
                <w:szCs w:val="28"/>
              </w:rPr>
            </w:pPr>
          </w:p>
        </w:tc>
        <w:tc>
          <w:tcPr>
            <w:tcW w:w="6038"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60" w:lineRule="exact"/>
              <w:jc w:val="left"/>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国标方法检测：新城疫病毒、禽流感病毒</w:t>
            </w:r>
          </w:p>
          <w:p>
            <w:pPr>
              <w:widowControl/>
              <w:spacing w:line="460" w:lineRule="exact"/>
              <w:jc w:val="left"/>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非标方法检测:鸭甲型病毒性肝炎、鸭减蛋综合症、鸭衣原体、鸭坦布苏病毒、鸭病毒性肠炎、鸭呼肠孤病毒、鸭乙型病毒性肝炎、鹅细小病毒、鸭圆环病毒、鸭疫里氏杆菌</w:t>
            </w:r>
          </w:p>
        </w:tc>
      </w:tr>
      <w:tr>
        <w:trPr>
          <w:trHeight w:val="411" w:hRule="atLeast"/>
        </w:trPr>
        <w:tc>
          <w:tcPr>
            <w:tcW w:w="1624"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460" w:lineRule="exact"/>
              <w:rPr>
                <w:rFonts w:ascii="仿宋_GB2312" w:hAnsi="仿宋_GB2312" w:eastAsia="仿宋_GB2312" w:cs="仿宋_GB2312"/>
                <w:color w:val="000000"/>
                <w:sz w:val="28"/>
                <w:szCs w:val="28"/>
              </w:rPr>
            </w:pPr>
          </w:p>
        </w:tc>
        <w:tc>
          <w:tcPr>
            <w:tcW w:w="288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4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SPF猪检测参数</w:t>
            </w:r>
          </w:p>
        </w:tc>
        <w:tc>
          <w:tcPr>
            <w:tcW w:w="603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left"/>
              <w:textAlignment w:val="center"/>
              <w:rPr>
                <w:rFonts w:cs="仿宋_GB2312" w:asciiTheme="minorEastAsia" w:hAnsiTheme="minorEastAsia"/>
                <w:color w:val="000000"/>
                <w:kern w:val="0"/>
                <w:sz w:val="28"/>
                <w:szCs w:val="28"/>
                <w:lang w:bidi="ar"/>
              </w:rPr>
            </w:pPr>
            <w:r>
              <w:rPr>
                <w:rFonts w:hint="eastAsia" w:ascii="仿宋_GB2312" w:hAnsi="仿宋_GB2312" w:eastAsia="仿宋_GB2312" w:cs="仿宋_GB2312"/>
                <w:color w:val="000000"/>
                <w:kern w:val="0"/>
                <w:sz w:val="28"/>
                <w:szCs w:val="28"/>
                <w:lang w:bidi="ar"/>
              </w:rPr>
              <w:t>猪伪狂犬病、猪传染性胃肠炎病毒、猪流行性腹泻、猪萎缩性鼻炎、猪传染性胸膜肺炎、猪巴氏杆菌病、猪丹毒、猪繁殖与呼吸综合征病毒、猪痢疾、猪水泡病</w:t>
            </w:r>
          </w:p>
        </w:tc>
      </w:tr>
      <w:tr>
        <w:tblPrEx>
          <w:tblCellMar>
            <w:top w:w="15" w:type="dxa"/>
            <w:left w:w="15" w:type="dxa"/>
            <w:bottom w:w="15" w:type="dxa"/>
            <w:right w:w="15" w:type="dxa"/>
          </w:tblCellMar>
        </w:tblPrEx>
        <w:trPr>
          <w:trHeight w:val="437" w:hRule="atLeast"/>
        </w:trPr>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left"/>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二、实验动物饲料检测</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left"/>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实验动物饲料</w:t>
            </w:r>
            <w:r>
              <w:rPr>
                <w:rFonts w:hint="eastAsia" w:ascii="仿宋_GB2312" w:hAnsi="仿宋_GB2312" w:eastAsia="仿宋_GB2312" w:cs="仿宋_GB2312"/>
                <w:color w:val="000000"/>
                <w:sz w:val="28"/>
                <w:szCs w:val="28"/>
              </w:rPr>
              <w:t>检测参数</w:t>
            </w:r>
          </w:p>
        </w:tc>
        <w:tc>
          <w:tcPr>
            <w:tcW w:w="6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left"/>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细菌总数、大肠杆菌、霉菌、沙门氏菌、水分、粗脂肪、粗蛋白、粗纤维、粗灰分、钙、磷</w:t>
            </w:r>
          </w:p>
        </w:tc>
      </w:tr>
      <w:tr>
        <w:tblPrEx>
          <w:tblCellMar>
            <w:top w:w="15" w:type="dxa"/>
            <w:left w:w="15" w:type="dxa"/>
            <w:bottom w:w="15" w:type="dxa"/>
            <w:right w:w="15" w:type="dxa"/>
          </w:tblCellMar>
        </w:tblPrEx>
        <w:trPr>
          <w:trHeight w:val="90" w:hRule="atLeast"/>
        </w:trPr>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left"/>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三、实验动物环境设施、设备检测</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left"/>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普通环境</w:t>
            </w:r>
            <w:r>
              <w:rPr>
                <w:rFonts w:hint="eastAsia" w:ascii="仿宋_GB2312" w:hAnsi="仿宋_GB2312" w:eastAsia="仿宋_GB2312" w:cs="仿宋_GB2312"/>
                <w:color w:val="000000"/>
                <w:sz w:val="28"/>
                <w:szCs w:val="28"/>
              </w:rPr>
              <w:t>检测参数</w:t>
            </w:r>
          </w:p>
        </w:tc>
        <w:tc>
          <w:tcPr>
            <w:tcW w:w="6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left"/>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温度、湿度、照度、噪声、气流速度、换气次数</w:t>
            </w:r>
          </w:p>
        </w:tc>
      </w:tr>
      <w:tr>
        <w:tblPrEx>
          <w:tblCellMar>
            <w:top w:w="15" w:type="dxa"/>
            <w:left w:w="15" w:type="dxa"/>
            <w:bottom w:w="15" w:type="dxa"/>
            <w:right w:w="15" w:type="dxa"/>
          </w:tblCellMar>
        </w:tblPrEx>
        <w:trPr>
          <w:trHeight w:val="90" w:hRule="atLeast"/>
        </w:trPr>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left"/>
              <w:textAlignment w:val="center"/>
              <w:rPr>
                <w:rFonts w:ascii="仿宋_GB2312" w:hAnsi="仿宋_GB2312" w:eastAsia="仿宋_GB2312" w:cs="仿宋_GB2312"/>
                <w:color w:val="000000"/>
                <w:kern w:val="0"/>
                <w:sz w:val="28"/>
                <w:szCs w:val="28"/>
                <w:lang w:bidi="ar"/>
              </w:rPr>
            </w:pP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left"/>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屏障环境</w:t>
            </w:r>
            <w:r>
              <w:rPr>
                <w:rFonts w:hint="eastAsia" w:ascii="仿宋_GB2312" w:hAnsi="仿宋_GB2312" w:eastAsia="仿宋_GB2312" w:cs="仿宋_GB2312"/>
                <w:color w:val="000000"/>
                <w:sz w:val="28"/>
                <w:szCs w:val="28"/>
              </w:rPr>
              <w:t>检测参数</w:t>
            </w:r>
          </w:p>
        </w:tc>
        <w:tc>
          <w:tcPr>
            <w:tcW w:w="6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left"/>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温度、湿度、照度、噪声、气流速度、换气次数、落下菌数、洁净度、压差</w:t>
            </w:r>
          </w:p>
        </w:tc>
      </w:tr>
      <w:tr>
        <w:trPr>
          <w:trHeight w:val="90" w:hRule="atLeast"/>
        </w:trPr>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left"/>
              <w:textAlignment w:val="center"/>
              <w:rPr>
                <w:rFonts w:ascii="仿宋_GB2312" w:hAnsi="仿宋_GB2312" w:eastAsia="仿宋_GB2312" w:cs="仿宋_GB2312"/>
                <w:color w:val="000000"/>
                <w:kern w:val="0"/>
                <w:sz w:val="28"/>
                <w:szCs w:val="28"/>
                <w:lang w:bidi="ar"/>
              </w:rPr>
            </w:pP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left"/>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隔离环境（IVC笼具、</w:t>
            </w:r>
          </w:p>
          <w:p>
            <w:pPr>
              <w:widowControl/>
              <w:spacing w:line="460" w:lineRule="exact"/>
              <w:jc w:val="left"/>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隔离器）</w:t>
            </w:r>
            <w:r>
              <w:rPr>
                <w:rFonts w:hint="eastAsia" w:ascii="仿宋_GB2312" w:hAnsi="仿宋_GB2312" w:eastAsia="仿宋_GB2312" w:cs="仿宋_GB2312"/>
                <w:color w:val="000000"/>
                <w:sz w:val="28"/>
                <w:szCs w:val="28"/>
              </w:rPr>
              <w:t>检测参数</w:t>
            </w:r>
          </w:p>
        </w:tc>
        <w:tc>
          <w:tcPr>
            <w:tcW w:w="6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left"/>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温度、湿度、照度、噪声、气流速度、换气次数、落下菌数、洁净度、压差</w:t>
            </w:r>
          </w:p>
        </w:tc>
      </w:tr>
      <w:tr>
        <w:tblPrEx>
          <w:tblCellMar>
            <w:top w:w="15" w:type="dxa"/>
            <w:left w:w="15" w:type="dxa"/>
            <w:bottom w:w="15" w:type="dxa"/>
            <w:right w:w="15" w:type="dxa"/>
          </w:tblCellMar>
        </w:tblPrEx>
        <w:trPr>
          <w:trHeight w:val="142" w:hRule="atLeast"/>
        </w:trPr>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left"/>
              <w:textAlignment w:val="center"/>
              <w:rPr>
                <w:rFonts w:ascii="仿宋_GB2312" w:hAnsi="仿宋_GB2312" w:eastAsia="仿宋_GB2312" w:cs="仿宋_GB2312"/>
                <w:color w:val="000000"/>
                <w:kern w:val="0"/>
                <w:sz w:val="28"/>
                <w:szCs w:val="28"/>
                <w:lang w:bidi="ar"/>
              </w:rPr>
            </w:pP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left"/>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超净工作台</w:t>
            </w:r>
            <w:r>
              <w:rPr>
                <w:rFonts w:hint="eastAsia" w:ascii="仿宋_GB2312" w:hAnsi="仿宋_GB2312" w:eastAsia="仿宋_GB2312" w:cs="仿宋_GB2312"/>
                <w:color w:val="000000"/>
                <w:sz w:val="28"/>
                <w:szCs w:val="28"/>
              </w:rPr>
              <w:t>检测参数</w:t>
            </w:r>
          </w:p>
        </w:tc>
        <w:tc>
          <w:tcPr>
            <w:tcW w:w="6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left"/>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温度、湿度、照度、噪声、气流速度、洁净度</w:t>
            </w:r>
          </w:p>
        </w:tc>
      </w:tr>
    </w:tbl>
    <w:p>
      <w:pPr>
        <w:pStyle w:val="7"/>
        <w:tabs>
          <w:tab w:val="left" w:pos="0"/>
        </w:tabs>
        <w:spacing w:after="0" w:line="50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所发生的实验动物质量监督检验费用参考《国家发展改革委、财政部关于调整药品检验收费标准及有关事项的通知》（发改价格［2003］213号）进行测算，价格为人民币50.17万元。</w:t>
      </w:r>
    </w:p>
    <w:p>
      <w:pPr>
        <w:pStyle w:val="7"/>
        <w:tabs>
          <w:tab w:val="left" w:pos="0"/>
        </w:tabs>
        <w:spacing w:after="0" w:line="50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1．技术服务目标：</w:t>
      </w:r>
    </w:p>
    <w:p>
      <w:pPr>
        <w:pStyle w:val="7"/>
        <w:tabs>
          <w:tab w:val="left" w:pos="0"/>
        </w:tabs>
        <w:spacing w:after="0" w:line="50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依据《黑龙江省实验动物管理条例》和《黑龙江省实验动物管理条例实施细则》，规范和加强哈尔滨市行政区域内实验动物管理工作，维护公共卫生安全，保障科学研究和社会发展需要。严格按照实验动物质量检测国家、行业标准，保证实验动物和动物实验质量。</w:t>
      </w:r>
    </w:p>
    <w:p>
      <w:pPr>
        <w:pStyle w:val="7"/>
        <w:tabs>
          <w:tab w:val="left" w:pos="0"/>
        </w:tabs>
        <w:spacing w:after="0" w:line="50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2．技术服务项目：</w:t>
      </w:r>
    </w:p>
    <w:p>
      <w:pPr>
        <w:pStyle w:val="7"/>
        <w:tabs>
          <w:tab w:val="left" w:pos="0"/>
        </w:tabs>
        <w:spacing w:after="0" w:line="50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哈尔滨市行政区域内取得实验动物许可证的单位或个人进行年度相关检查核验，并出具相应的报告（包括整改建议），协助甲方对相关申请材料（包括实验动物来源、引种证明、规章制度、操作规程等）进行审核把关；进行实验动物疫病检测、动物实验环境及设施内环境参数检测。检测项目包括：病毒学检测、细菌学检测、饲料营养学检测、遗传学检测、环境检测等。</w:t>
      </w:r>
    </w:p>
    <w:p>
      <w:pPr>
        <w:pStyle w:val="7"/>
        <w:tabs>
          <w:tab w:val="left" w:pos="0"/>
        </w:tabs>
        <w:spacing w:after="0" w:line="50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3．技术服务方式：</w:t>
      </w:r>
    </w:p>
    <w:p>
      <w:pPr>
        <w:pStyle w:val="7"/>
        <w:tabs>
          <w:tab w:val="left" w:pos="0"/>
        </w:tabs>
        <w:spacing w:after="0" w:line="50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作为受聘的实验动物质量监督检验机构，应依据《黑龙江省实验动物管理条例》和《黑龙江省实验动物管理条例实施细则》中规定的相应检测标准和操作规程，采取现场勘查、采样和实验室检测等方式，协助哈尔滨市科学技术局对哈尔滨市行政区域内从事实验动物及其相关产品生产与使用的单位和个人进行监督检查。</w:t>
      </w:r>
    </w:p>
    <w:p>
      <w:pPr>
        <w:pStyle w:val="7"/>
        <w:tabs>
          <w:tab w:val="left" w:pos="0"/>
        </w:tabs>
        <w:spacing w:after="0" w:line="500" w:lineRule="exact"/>
        <w:ind w:left="0" w:leftChars="0" w:firstLine="642" w:firstLineChars="200"/>
        <w:rPr>
          <w:rFonts w:ascii="仿宋_GB2312" w:hAnsi="仿宋_GB2312" w:eastAsia="仿宋_GB2312" w:cs="仿宋_GB2312"/>
          <w:b/>
          <w:bCs/>
          <w:kern w:val="0"/>
          <w:sz w:val="32"/>
          <w:szCs w:val="32"/>
        </w:rPr>
      </w:pPr>
      <w:bookmarkStart w:id="0" w:name="_GoBack"/>
      <w:bookmarkEnd w:id="0"/>
      <w:r>
        <w:rPr>
          <w:rFonts w:hint="eastAsia" w:ascii="仿宋_GB2312" w:hAnsi="仿宋_GB2312" w:eastAsia="仿宋_GB2312" w:cs="仿宋_GB2312"/>
          <w:b/>
          <w:bCs/>
          <w:kern w:val="0"/>
          <w:sz w:val="32"/>
          <w:szCs w:val="32"/>
        </w:rPr>
        <w:t>（三）技术服务要求</w:t>
      </w:r>
    </w:p>
    <w:p>
      <w:pPr>
        <w:pStyle w:val="7"/>
        <w:tabs>
          <w:tab w:val="left" w:pos="0"/>
        </w:tabs>
        <w:spacing w:after="0" w:line="50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1．技术服务地点：黑龙江省哈尔滨市</w:t>
      </w:r>
    </w:p>
    <w:p>
      <w:pPr>
        <w:pStyle w:val="7"/>
        <w:tabs>
          <w:tab w:val="left" w:pos="0"/>
        </w:tabs>
        <w:spacing w:after="0" w:line="50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2．技术服务期限：2022年8-12月  </w:t>
      </w:r>
    </w:p>
    <w:p>
      <w:pPr>
        <w:pStyle w:val="7"/>
        <w:tabs>
          <w:tab w:val="left" w:pos="0"/>
        </w:tabs>
        <w:spacing w:after="0" w:line="50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3．技术服务具体要求：</w:t>
      </w:r>
    </w:p>
    <w:p>
      <w:pPr>
        <w:pStyle w:val="7"/>
        <w:tabs>
          <w:tab w:val="left" w:pos="0"/>
        </w:tabs>
        <w:spacing w:after="0" w:line="50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3.1协助哈尔滨市科学技术局对指定的实验动物许可证单位进行以下检验检测：</w:t>
      </w:r>
    </w:p>
    <w:p>
      <w:pPr>
        <w:pStyle w:val="7"/>
        <w:tabs>
          <w:tab w:val="left" w:pos="0"/>
        </w:tabs>
        <w:spacing w:after="0" w:line="50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3.1.1实验动物质量：实验动物生产许可证单位：实验动物种子来源于国家实验动物保种中心或国家认可的保种单位、种源单位，遗传背景清楚，质量符合现行的国家标准、生产的实验动物质量符合国家标准（种源单位出具的实验动物引种有关资料、生产的实验动物检测报告）</w:t>
      </w:r>
    </w:p>
    <w:p>
      <w:pPr>
        <w:pStyle w:val="7"/>
        <w:tabs>
          <w:tab w:val="left" w:pos="0"/>
        </w:tabs>
        <w:spacing w:after="0" w:line="50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实验动物使用许可证单位：使用的实验动物及相关产品必须来自有实验动物生产许可证的单位，质量合格(动物单位出具的实验动物合格证)；</w:t>
      </w:r>
    </w:p>
    <w:p>
      <w:pPr>
        <w:pStyle w:val="7"/>
        <w:tabs>
          <w:tab w:val="left" w:pos="0"/>
        </w:tabs>
        <w:spacing w:after="0" w:line="50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3.1.2环境设施运行情况：具备实验动物及相关产品质量的饲养、繁育、生产环境设施及检测技术（动物实验设施环境检测报告、实验动物设施检查报告、设施平面布局图设施、主要设施设备图片）；</w:t>
      </w:r>
    </w:p>
    <w:p>
      <w:pPr>
        <w:pStyle w:val="7"/>
        <w:tabs>
          <w:tab w:val="left" w:pos="0"/>
        </w:tabs>
        <w:spacing w:after="0" w:line="50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3.1.3实验动物饲养情况：使用的实验动物饲料、垫料及饮水等符合国家标准及相关要求（饲料合格证及检测报告屏障、隔离系统设施需出具饲料无菌检测报告、垫料笼器具及饮用水合格证明）；</w:t>
      </w:r>
    </w:p>
    <w:p>
      <w:pPr>
        <w:pStyle w:val="7"/>
        <w:tabs>
          <w:tab w:val="left" w:pos="0"/>
        </w:tabs>
        <w:spacing w:after="0" w:line="50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3.1.4实验动物从业人员情况：具有保证正常生产和保证动物质量的专业技术人员、熟练技术工人及检测人员（从业人员年度身体健康检查表、主要设施负责人简历、单位法人或主要负责人法规考核材料）；</w:t>
      </w:r>
    </w:p>
    <w:p>
      <w:pPr>
        <w:pStyle w:val="7"/>
        <w:tabs>
          <w:tab w:val="left" w:pos="0"/>
        </w:tabs>
        <w:spacing w:after="0" w:line="50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3.1.5实验动物管理软件建设情况：具有健全有效的质量管理制度（规章制度、操作规程SOP、各种运行记录、空白表格）；</w:t>
      </w:r>
    </w:p>
    <w:p>
      <w:pPr>
        <w:pStyle w:val="7"/>
        <w:tabs>
          <w:tab w:val="left" w:pos="0"/>
        </w:tabs>
        <w:spacing w:after="0" w:line="50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3.1.6法律法规中规定的其他待检事项。</w:t>
      </w:r>
    </w:p>
    <w:p>
      <w:pPr>
        <w:pStyle w:val="7"/>
        <w:tabs>
          <w:tab w:val="left" w:pos="0"/>
        </w:tabs>
        <w:spacing w:after="0" w:line="50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3.2受聘方有义务与哈尔滨市科学技术局联合对哈尔滨市行政区域内实验动物进行年度抽样检验检测，并按照相应检测标准和操作规程执行并出具客观、公正、准确的检验/检测报告，具体内容包括：</w:t>
      </w:r>
    </w:p>
    <w:p>
      <w:pPr>
        <w:pStyle w:val="7"/>
        <w:tabs>
          <w:tab w:val="left" w:pos="0"/>
        </w:tabs>
        <w:spacing w:after="0" w:line="50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3.2.1实验动物检查意见书：</w:t>
      </w:r>
    </w:p>
    <w:p>
      <w:pPr>
        <w:pStyle w:val="7"/>
        <w:tabs>
          <w:tab w:val="left" w:pos="0"/>
        </w:tabs>
        <w:spacing w:after="0" w:line="50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3.2.1.1实验动物设施环境监测报告；</w:t>
      </w:r>
    </w:p>
    <w:p>
      <w:pPr>
        <w:pStyle w:val="7"/>
        <w:tabs>
          <w:tab w:val="left" w:pos="0"/>
        </w:tabs>
        <w:spacing w:after="0" w:line="50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3.2.1.2饲料合格证及检测报告（屏障、隔离系统设施需出具饲料无菌检测报告）、垫料笼器具合格证明；</w:t>
      </w:r>
    </w:p>
    <w:p>
      <w:pPr>
        <w:pStyle w:val="7"/>
        <w:tabs>
          <w:tab w:val="left" w:pos="0"/>
        </w:tabs>
        <w:spacing w:after="0" w:line="50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3.2.1.3实验动物检测报告。</w:t>
      </w:r>
    </w:p>
    <w:p>
      <w:pPr>
        <w:pStyle w:val="7"/>
        <w:tabs>
          <w:tab w:val="left" w:pos="0"/>
        </w:tabs>
        <w:spacing w:after="0" w:line="50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3.2.2实验动物检查整改情况复审确认报告。</w:t>
      </w:r>
    </w:p>
    <w:p>
      <w:pPr>
        <w:pStyle w:val="7"/>
        <w:tabs>
          <w:tab w:val="left" w:pos="0"/>
        </w:tabs>
        <w:spacing w:after="0" w:line="50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4．技术服务质量要求：</w:t>
      </w:r>
    </w:p>
    <w:p>
      <w:pPr>
        <w:pStyle w:val="7"/>
        <w:tabs>
          <w:tab w:val="left" w:pos="0"/>
        </w:tabs>
        <w:spacing w:after="0" w:line="50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检验检测出具的相关报告均按照国家标准进行、行业标准、地方标准执行。</w:t>
      </w:r>
    </w:p>
    <w:p>
      <w:pPr>
        <w:pStyle w:val="7"/>
        <w:tabs>
          <w:tab w:val="left" w:pos="0"/>
        </w:tabs>
        <w:spacing w:after="0" w:line="50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5.经费使用要求：甲方所付款项按照国家规定统一管理，经费拨付后，应单独核算，保证专款专用，配合甲方适时进行监督检查；并出具符合国家标准的技术服务费总额发票。</w:t>
      </w:r>
    </w:p>
    <w:p>
      <w:pPr>
        <w:pStyle w:val="7"/>
        <w:tabs>
          <w:tab w:val="left" w:pos="0"/>
        </w:tabs>
        <w:spacing w:after="0" w:line="500" w:lineRule="exact"/>
        <w:ind w:left="0" w:leftChars="0" w:firstLine="642"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（四）工作验收</w:t>
      </w:r>
    </w:p>
    <w:p>
      <w:pPr>
        <w:pStyle w:val="7"/>
        <w:tabs>
          <w:tab w:val="left" w:pos="0"/>
        </w:tabs>
        <w:spacing w:after="0" w:line="50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1．完成技术服务工作的形式：出具检测报告。</w:t>
      </w:r>
    </w:p>
    <w:p>
      <w:pPr>
        <w:pStyle w:val="7"/>
        <w:tabs>
          <w:tab w:val="left" w:pos="0"/>
        </w:tabs>
        <w:spacing w:after="0" w:line="50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2．技术服务工作成果的验收标准：检测数据准确、结论客观公正。</w:t>
      </w:r>
    </w:p>
    <w:p>
      <w:pPr>
        <w:pStyle w:val="7"/>
        <w:tabs>
          <w:tab w:val="left" w:pos="0"/>
        </w:tabs>
        <w:spacing w:after="0" w:line="50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3．技术服务工作成果的验收方法：按时提供检测报告，为哈尔滨市科学技术局提供行政决策支撑和相关技术咨询服务。</w:t>
      </w:r>
    </w:p>
    <w:p>
      <w:pPr>
        <w:pStyle w:val="7"/>
        <w:tabs>
          <w:tab w:val="left" w:pos="0"/>
        </w:tabs>
        <w:spacing w:after="0" w:line="500" w:lineRule="exact"/>
        <w:ind w:left="0" w:leftChars="0" w:firstLine="640" w:firstLineChars="200"/>
        <w:rPr>
          <w:rFonts w:ascii="黑体" w:hAnsi="黑体" w:eastAsia="黑体" w:cs="黑体"/>
          <w:kern w:val="0"/>
          <w:sz w:val="32"/>
          <w:szCs w:val="32"/>
        </w:rPr>
      </w:pPr>
      <w:r>
        <w:rPr>
          <w:rFonts w:hint="eastAsia" w:ascii="黑体" w:hAnsi="黑体" w:eastAsia="黑体" w:cs="黑体"/>
          <w:kern w:val="0"/>
          <w:sz w:val="32"/>
          <w:szCs w:val="32"/>
        </w:rPr>
        <w:t>二、供应商的资格要求</w:t>
      </w:r>
    </w:p>
    <w:p>
      <w:pPr>
        <w:pStyle w:val="7"/>
        <w:tabs>
          <w:tab w:val="left" w:pos="0"/>
        </w:tabs>
        <w:spacing w:after="0" w:line="50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1.拟参加本项目投标报价的潜在供应商应具备《政府采购法》第二十二条供应商资格条件；</w:t>
      </w:r>
    </w:p>
    <w:p>
      <w:pPr>
        <w:pStyle w:val="7"/>
        <w:tabs>
          <w:tab w:val="left" w:pos="0"/>
        </w:tabs>
        <w:spacing w:after="0" w:line="50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2.对参加本次采购活动的供应商的资质要求:</w:t>
      </w:r>
    </w:p>
    <w:p>
      <w:pPr>
        <w:pStyle w:val="7"/>
        <w:tabs>
          <w:tab w:val="left" w:pos="0"/>
        </w:tabs>
        <w:spacing w:after="0" w:line="50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2.1具有独立法人或非独立法人地位的检验检测机构。</w:t>
      </w:r>
    </w:p>
    <w:p>
      <w:pPr>
        <w:pStyle w:val="7"/>
        <w:tabs>
          <w:tab w:val="left" w:pos="0"/>
        </w:tabs>
        <w:spacing w:after="0" w:line="500" w:lineRule="exact"/>
        <w:ind w:left="0" w:leftChars="0"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2.2</w:t>
      </w:r>
      <w:r>
        <w:rPr>
          <w:rFonts w:hint="eastAsia" w:ascii="仿宋_GB2312" w:hAnsi="仿宋_GB2312" w:eastAsia="仿宋_GB2312" w:cs="仿宋_GB2312"/>
          <w:kern w:val="0"/>
          <w:sz w:val="32"/>
          <w:szCs w:val="32"/>
        </w:rPr>
        <w:t>检验检测机构应具有省级市场监督管理局或国家认证认可监督管理委员会颁发实验动物专业的检验检测机构资质认定证书（CMA），且证书在有效期内；其资质认定证书附件所通过的检测参数包括普通级实验兔、普通级豚鼠、清洁级大鼠、清洁级小鼠、SPF猪、SPF鸡、SPF鸭、饲料、环境及设施所涉及的所有检测参数，且不得分包。供应商在8月初至12月末在全市32家受检单位提供驻场检测服务。</w:t>
      </w:r>
    </w:p>
    <w:p>
      <w:pPr>
        <w:pStyle w:val="7"/>
        <w:tabs>
          <w:tab w:val="left" w:pos="0"/>
        </w:tabs>
        <w:spacing w:after="0" w:line="50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供应商需提供（营业执照、实验动物专业检验检测机构资质认定证书及附件、组织机构代码证、税务登记证、开户行许可证、行贿犯罪档案查询结果告知函、报名成功结果截图、法人授权委托书、被授权人身份证等）原件及加盖公章的复印件、以及加盖公章的法定代表人身份证复印件并保证所提供材料真实有效，否则后果自负。</w:t>
      </w:r>
    </w:p>
    <w:p>
      <w:pPr>
        <w:pStyle w:val="7"/>
        <w:tabs>
          <w:tab w:val="left" w:pos="0"/>
        </w:tabs>
        <w:spacing w:after="0" w:line="500" w:lineRule="exact"/>
        <w:ind w:left="0" w:leftChars="0" w:firstLine="640" w:firstLineChars="200"/>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三、其他要求</w:t>
      </w:r>
    </w:p>
    <w:p>
      <w:pPr>
        <w:pStyle w:val="7"/>
        <w:tabs>
          <w:tab w:val="left" w:pos="0"/>
        </w:tabs>
        <w:spacing w:after="0" w:line="500" w:lineRule="exact"/>
        <w:ind w:left="0" w:leftChars="0"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长期服务类项目采购。对服务内容相对固定、连续性强、经费来源稳定、价格变化幅度小的长期服务类（如物业、印刷、运维、车辆租赁、商务服务等）政府采购项目，采购人可选择“1+1+1” 模式实施，即按第一年采购预算填报采购计划，并应在采购需求和采购文件中明确载明对供应商的履约评价和财政预算安排等续约条件和要求，合同总期限最长不超过了年（含)；第二年或第三年项目预算不变或变动幅度不超过第一年10%的，应在上年度合同到期前在网上流转当年采购计划，财政部门备案下达后可直接续签政府采购合同;预算变动幅度超过10%的，重新开展政府采购活动。</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楷体_GB2312">
    <w:altName w:val="楷体"/>
    <w:panose1 w:val="020B0604020202020204"/>
    <w:charset w:val="00"/>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文星简小标宋">
    <w:altName w:val="方正小标宋_GBK"/>
    <w:panose1 w:val="020B0604020202020204"/>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JiMTg5MzlmYjI0OTNkZGZkMTlkN2M3YTdiOTkzNjAifQ=="/>
  </w:docVars>
  <w:rsids>
    <w:rsidRoot w:val="1D955A03"/>
    <w:rsid w:val="00003C6A"/>
    <w:rsid w:val="000143AB"/>
    <w:rsid w:val="0005267B"/>
    <w:rsid w:val="00060078"/>
    <w:rsid w:val="00084178"/>
    <w:rsid w:val="00155A53"/>
    <w:rsid w:val="00232C7A"/>
    <w:rsid w:val="0027289A"/>
    <w:rsid w:val="002C1EEC"/>
    <w:rsid w:val="0030690E"/>
    <w:rsid w:val="003B5996"/>
    <w:rsid w:val="00452CA2"/>
    <w:rsid w:val="004929B7"/>
    <w:rsid w:val="0050517D"/>
    <w:rsid w:val="00541465"/>
    <w:rsid w:val="00746C4A"/>
    <w:rsid w:val="00771C65"/>
    <w:rsid w:val="00823589"/>
    <w:rsid w:val="008C566B"/>
    <w:rsid w:val="008D6A21"/>
    <w:rsid w:val="008E11A1"/>
    <w:rsid w:val="00A165C7"/>
    <w:rsid w:val="00A17786"/>
    <w:rsid w:val="00A4361B"/>
    <w:rsid w:val="00A928EC"/>
    <w:rsid w:val="00A97499"/>
    <w:rsid w:val="00AB3060"/>
    <w:rsid w:val="00B049E3"/>
    <w:rsid w:val="00B20DEE"/>
    <w:rsid w:val="00B67CDB"/>
    <w:rsid w:val="00B87B07"/>
    <w:rsid w:val="00B94804"/>
    <w:rsid w:val="00BA45F5"/>
    <w:rsid w:val="00BB2946"/>
    <w:rsid w:val="00C06708"/>
    <w:rsid w:val="00CD3198"/>
    <w:rsid w:val="00CE7EF4"/>
    <w:rsid w:val="00D5293C"/>
    <w:rsid w:val="00DA2F3C"/>
    <w:rsid w:val="00DC69E1"/>
    <w:rsid w:val="00E32088"/>
    <w:rsid w:val="00E40863"/>
    <w:rsid w:val="00E608A0"/>
    <w:rsid w:val="00EB42B4"/>
    <w:rsid w:val="00ED35D6"/>
    <w:rsid w:val="00F43897"/>
    <w:rsid w:val="00FD59C3"/>
    <w:rsid w:val="013D50D6"/>
    <w:rsid w:val="01F38910"/>
    <w:rsid w:val="02F077C2"/>
    <w:rsid w:val="04446F6F"/>
    <w:rsid w:val="049163EA"/>
    <w:rsid w:val="04B70785"/>
    <w:rsid w:val="05D129F9"/>
    <w:rsid w:val="060E796D"/>
    <w:rsid w:val="061B2F96"/>
    <w:rsid w:val="080502FD"/>
    <w:rsid w:val="084E3F8E"/>
    <w:rsid w:val="0A2C3053"/>
    <w:rsid w:val="0B6240E6"/>
    <w:rsid w:val="0C28640C"/>
    <w:rsid w:val="0CA17D81"/>
    <w:rsid w:val="0DA24543"/>
    <w:rsid w:val="0E370B89"/>
    <w:rsid w:val="0EAE266E"/>
    <w:rsid w:val="0F00530F"/>
    <w:rsid w:val="0FFC6D90"/>
    <w:rsid w:val="1122342A"/>
    <w:rsid w:val="124752CF"/>
    <w:rsid w:val="12775202"/>
    <w:rsid w:val="139D2D64"/>
    <w:rsid w:val="13A21C97"/>
    <w:rsid w:val="14896DDE"/>
    <w:rsid w:val="154F5727"/>
    <w:rsid w:val="198FE1B2"/>
    <w:rsid w:val="1CAE56BE"/>
    <w:rsid w:val="1D736C12"/>
    <w:rsid w:val="1D796AC8"/>
    <w:rsid w:val="1D955A03"/>
    <w:rsid w:val="1DF74DE1"/>
    <w:rsid w:val="1E211DAB"/>
    <w:rsid w:val="1E6C0C02"/>
    <w:rsid w:val="1FC41408"/>
    <w:rsid w:val="1FEA2E04"/>
    <w:rsid w:val="20152187"/>
    <w:rsid w:val="20E634F8"/>
    <w:rsid w:val="21D04C3A"/>
    <w:rsid w:val="21EB1616"/>
    <w:rsid w:val="224E3432"/>
    <w:rsid w:val="237F5550"/>
    <w:rsid w:val="244A1ED2"/>
    <w:rsid w:val="246D177B"/>
    <w:rsid w:val="247417FB"/>
    <w:rsid w:val="257D2624"/>
    <w:rsid w:val="27D71594"/>
    <w:rsid w:val="29445E19"/>
    <w:rsid w:val="2AFD4A94"/>
    <w:rsid w:val="2B7FC04A"/>
    <w:rsid w:val="2BCE331D"/>
    <w:rsid w:val="2E6E5358"/>
    <w:rsid w:val="2F17312A"/>
    <w:rsid w:val="30190481"/>
    <w:rsid w:val="31E15339"/>
    <w:rsid w:val="31F541FF"/>
    <w:rsid w:val="320104FF"/>
    <w:rsid w:val="342502D2"/>
    <w:rsid w:val="34774D3C"/>
    <w:rsid w:val="350A2D00"/>
    <w:rsid w:val="36A73AFF"/>
    <w:rsid w:val="37773C20"/>
    <w:rsid w:val="37EF4FD8"/>
    <w:rsid w:val="38FFCAEA"/>
    <w:rsid w:val="3A3E1183"/>
    <w:rsid w:val="3A4F678F"/>
    <w:rsid w:val="3B306F93"/>
    <w:rsid w:val="3B790AD7"/>
    <w:rsid w:val="3BE79A3F"/>
    <w:rsid w:val="3CFD67E1"/>
    <w:rsid w:val="3D014686"/>
    <w:rsid w:val="3D4D0900"/>
    <w:rsid w:val="3D7D0339"/>
    <w:rsid w:val="3DDF04DE"/>
    <w:rsid w:val="3E87CA61"/>
    <w:rsid w:val="3ED9B5F5"/>
    <w:rsid w:val="3F06076C"/>
    <w:rsid w:val="3F1332C8"/>
    <w:rsid w:val="3F87319D"/>
    <w:rsid w:val="3FFCD05B"/>
    <w:rsid w:val="3FFF22C1"/>
    <w:rsid w:val="41C94F50"/>
    <w:rsid w:val="420179EB"/>
    <w:rsid w:val="426035FC"/>
    <w:rsid w:val="426D4ABA"/>
    <w:rsid w:val="42A02220"/>
    <w:rsid w:val="443A2856"/>
    <w:rsid w:val="44BD7696"/>
    <w:rsid w:val="45DDA96F"/>
    <w:rsid w:val="45DF26B5"/>
    <w:rsid w:val="46D163B1"/>
    <w:rsid w:val="48285714"/>
    <w:rsid w:val="48CE660B"/>
    <w:rsid w:val="4912397A"/>
    <w:rsid w:val="4BDEBAE1"/>
    <w:rsid w:val="4CAD6B96"/>
    <w:rsid w:val="4CE70AA9"/>
    <w:rsid w:val="4D583803"/>
    <w:rsid w:val="4E011010"/>
    <w:rsid w:val="510A579F"/>
    <w:rsid w:val="51977479"/>
    <w:rsid w:val="52927709"/>
    <w:rsid w:val="53C340E5"/>
    <w:rsid w:val="55004DFD"/>
    <w:rsid w:val="55FE3948"/>
    <w:rsid w:val="576FD1E5"/>
    <w:rsid w:val="57FBCEFD"/>
    <w:rsid w:val="58160051"/>
    <w:rsid w:val="584332D9"/>
    <w:rsid w:val="58577639"/>
    <w:rsid w:val="586E6D33"/>
    <w:rsid w:val="5BE32FB6"/>
    <w:rsid w:val="5D0A3EBE"/>
    <w:rsid w:val="5DDD43CE"/>
    <w:rsid w:val="5DDFE09B"/>
    <w:rsid w:val="5DFD8060"/>
    <w:rsid w:val="5E6F5555"/>
    <w:rsid w:val="5E72AE28"/>
    <w:rsid w:val="5EEB3DC9"/>
    <w:rsid w:val="5F77B4FC"/>
    <w:rsid w:val="5FFC18DB"/>
    <w:rsid w:val="61BD19FC"/>
    <w:rsid w:val="638210D3"/>
    <w:rsid w:val="63CF5438"/>
    <w:rsid w:val="64E028BA"/>
    <w:rsid w:val="64F77332"/>
    <w:rsid w:val="659D5746"/>
    <w:rsid w:val="6694269D"/>
    <w:rsid w:val="66CF2639"/>
    <w:rsid w:val="66F6422B"/>
    <w:rsid w:val="66FFB15E"/>
    <w:rsid w:val="67B04461"/>
    <w:rsid w:val="67EC4F3E"/>
    <w:rsid w:val="68774C9D"/>
    <w:rsid w:val="68DD679C"/>
    <w:rsid w:val="691D440A"/>
    <w:rsid w:val="69C77840"/>
    <w:rsid w:val="6B9C4ADA"/>
    <w:rsid w:val="6C7216AA"/>
    <w:rsid w:val="6D821741"/>
    <w:rsid w:val="6DBF6DBA"/>
    <w:rsid w:val="6DEFB89A"/>
    <w:rsid w:val="6EC542B9"/>
    <w:rsid w:val="6F0633A7"/>
    <w:rsid w:val="6F3F367A"/>
    <w:rsid w:val="6FFF9C4E"/>
    <w:rsid w:val="704430E1"/>
    <w:rsid w:val="70C74796"/>
    <w:rsid w:val="71397083"/>
    <w:rsid w:val="71463359"/>
    <w:rsid w:val="71A76679"/>
    <w:rsid w:val="71FD0899"/>
    <w:rsid w:val="72573918"/>
    <w:rsid w:val="72D47AAE"/>
    <w:rsid w:val="73E6CAEC"/>
    <w:rsid w:val="74685A4A"/>
    <w:rsid w:val="74E530C0"/>
    <w:rsid w:val="761EF99D"/>
    <w:rsid w:val="76266384"/>
    <w:rsid w:val="765D7B9D"/>
    <w:rsid w:val="76A50AB6"/>
    <w:rsid w:val="775EF1AC"/>
    <w:rsid w:val="7777B8DD"/>
    <w:rsid w:val="77785D1B"/>
    <w:rsid w:val="77BF5D80"/>
    <w:rsid w:val="77DF0DEB"/>
    <w:rsid w:val="77FEAEC7"/>
    <w:rsid w:val="77FF92B3"/>
    <w:rsid w:val="795804B5"/>
    <w:rsid w:val="795853AD"/>
    <w:rsid w:val="79F8B526"/>
    <w:rsid w:val="7AB7385B"/>
    <w:rsid w:val="7B545B47"/>
    <w:rsid w:val="7B8E542B"/>
    <w:rsid w:val="7BF52705"/>
    <w:rsid w:val="7D0C4CB1"/>
    <w:rsid w:val="7D101C97"/>
    <w:rsid w:val="7D55340C"/>
    <w:rsid w:val="7DDF522B"/>
    <w:rsid w:val="7DEF5CA4"/>
    <w:rsid w:val="7E17079B"/>
    <w:rsid w:val="7E8FEC6B"/>
    <w:rsid w:val="7ECF8593"/>
    <w:rsid w:val="7FB725FE"/>
    <w:rsid w:val="7FD75874"/>
    <w:rsid w:val="7FD7BE70"/>
    <w:rsid w:val="7FDD021D"/>
    <w:rsid w:val="93FEC5A7"/>
    <w:rsid w:val="953D5F11"/>
    <w:rsid w:val="9F7BECF8"/>
    <w:rsid w:val="9FFE7F5C"/>
    <w:rsid w:val="B0FD03FF"/>
    <w:rsid w:val="B13D3A94"/>
    <w:rsid w:val="B75FA877"/>
    <w:rsid w:val="BCFFB365"/>
    <w:rsid w:val="BD9E59E1"/>
    <w:rsid w:val="BDDEDE37"/>
    <w:rsid w:val="BF3D1051"/>
    <w:rsid w:val="BF4EC611"/>
    <w:rsid w:val="BFFFA519"/>
    <w:rsid w:val="CDCB920A"/>
    <w:rsid w:val="CEAFA994"/>
    <w:rsid w:val="D5FFB233"/>
    <w:rsid w:val="D6E7CC64"/>
    <w:rsid w:val="D73B03B3"/>
    <w:rsid w:val="D9DD61DC"/>
    <w:rsid w:val="D9FB35E9"/>
    <w:rsid w:val="DBFDA611"/>
    <w:rsid w:val="DF7F0DE4"/>
    <w:rsid w:val="DFB42389"/>
    <w:rsid w:val="DFF70298"/>
    <w:rsid w:val="DFF77095"/>
    <w:rsid w:val="EAA61056"/>
    <w:rsid w:val="EFDFE193"/>
    <w:rsid w:val="EFF77218"/>
    <w:rsid w:val="EFFF9F6D"/>
    <w:rsid w:val="F4DF002E"/>
    <w:rsid w:val="F5DF42F3"/>
    <w:rsid w:val="F6BEFBDD"/>
    <w:rsid w:val="F7770701"/>
    <w:rsid w:val="F9D78327"/>
    <w:rsid w:val="FBF74200"/>
    <w:rsid w:val="FCFF6884"/>
    <w:rsid w:val="FDC39CAE"/>
    <w:rsid w:val="FDDE9C5B"/>
    <w:rsid w:val="FDFF3002"/>
    <w:rsid w:val="FED70C5E"/>
    <w:rsid w:val="FEDD0B9C"/>
    <w:rsid w:val="FF479F46"/>
    <w:rsid w:val="FFB50595"/>
    <w:rsid w:val="FFD0D129"/>
    <w:rsid w:val="FFF34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2"/>
      <w:lang w:val="en-US" w:eastAsia="zh-CN" w:bidi="ar-SA"/>
    </w:rPr>
  </w:style>
  <w:style w:type="paragraph" w:styleId="5">
    <w:name w:val="heading 3"/>
    <w:basedOn w:val="1"/>
    <w:next w:val="1"/>
    <w:qFormat/>
    <w:uiPriority w:val="0"/>
    <w:pPr>
      <w:keepNext/>
      <w:keepLines/>
      <w:spacing w:before="260" w:after="260" w:line="413" w:lineRule="auto"/>
      <w:outlineLvl w:val="2"/>
    </w:pPr>
    <w:rPr>
      <w:rFonts w:eastAsia="宋体"/>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章节题目"/>
    <w:basedOn w:val="3"/>
    <w:next w:val="1"/>
    <w:qFormat/>
    <w:uiPriority w:val="99"/>
    <w:pPr>
      <w:spacing w:before="720" w:after="400" w:line="540" w:lineRule="atLeast"/>
      <w:ind w:right="2160"/>
    </w:pPr>
    <w:rPr>
      <w:rFonts w:ascii="Times New Roman" w:hAnsi="Times New Roman" w:cs="Times New Roman"/>
      <w:spacing w:val="-40"/>
      <w:sz w:val="60"/>
      <w:szCs w:val="60"/>
    </w:rPr>
  </w:style>
  <w:style w:type="paragraph" w:customStyle="1" w:styleId="3">
    <w:name w:val="基准标题"/>
    <w:basedOn w:val="1"/>
    <w:next w:val="4"/>
    <w:qFormat/>
    <w:uiPriority w:val="99"/>
    <w:pPr>
      <w:keepNext/>
      <w:keepLines/>
      <w:spacing w:before="140" w:line="220" w:lineRule="atLeast"/>
    </w:pPr>
    <w:rPr>
      <w:rFonts w:ascii="Arial" w:hAnsi="Arial" w:cs="Arial"/>
      <w:spacing w:val="-4"/>
      <w:kern w:val="28"/>
      <w:sz w:val="22"/>
    </w:rPr>
  </w:style>
  <w:style w:type="paragraph" w:styleId="4">
    <w:name w:val="Body Text"/>
    <w:basedOn w:val="5"/>
    <w:next w:val="6"/>
    <w:qFormat/>
    <w:uiPriority w:val="0"/>
    <w:pPr>
      <w:spacing w:after="120"/>
    </w:pPr>
  </w:style>
  <w:style w:type="paragraph" w:styleId="6">
    <w:name w:val="Date"/>
    <w:basedOn w:val="1"/>
    <w:next w:val="1"/>
    <w:qFormat/>
    <w:uiPriority w:val="99"/>
    <w:pPr>
      <w:ind w:left="100" w:leftChars="2500"/>
    </w:pPr>
    <w:rPr>
      <w:rFonts w:ascii="楷体_GB2312" w:eastAsia="楷体_GB2312" w:cs="楷体_GB2312"/>
      <w:sz w:val="24"/>
      <w:szCs w:val="24"/>
    </w:rPr>
  </w:style>
  <w:style w:type="paragraph" w:styleId="7">
    <w:name w:val="Body Text Indent 2"/>
    <w:basedOn w:val="1"/>
    <w:qFormat/>
    <w:uiPriority w:val="0"/>
    <w:pPr>
      <w:spacing w:after="120" w:line="480" w:lineRule="auto"/>
      <w:ind w:left="420" w:leftChars="200"/>
    </w:pPr>
    <w:rPr>
      <w:rFonts w:ascii="Times New Roman" w:hAnsi="Times New Roman"/>
      <w:szCs w:val="20"/>
    </w:rPr>
  </w:style>
  <w:style w:type="paragraph" w:styleId="8">
    <w:name w:val="footer"/>
    <w:basedOn w:val="1"/>
    <w:link w:val="15"/>
    <w:qFormat/>
    <w:uiPriority w:val="0"/>
    <w:pPr>
      <w:tabs>
        <w:tab w:val="center" w:pos="4153"/>
        <w:tab w:val="right" w:pos="8306"/>
      </w:tabs>
      <w:snapToGrid w:val="0"/>
      <w:jc w:val="left"/>
    </w:pPr>
    <w:rPr>
      <w:sz w:val="18"/>
      <w:szCs w:val="18"/>
    </w:rPr>
  </w:style>
  <w:style w:type="paragraph" w:styleId="9">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Autospacing="1" w:afterAutospacing="1"/>
      <w:jc w:val="left"/>
    </w:pPr>
    <w:rPr>
      <w:rFonts w:cs="Times New Roman"/>
      <w:kern w:val="0"/>
      <w:sz w:val="24"/>
    </w:rPr>
  </w:style>
  <w:style w:type="character" w:customStyle="1" w:styleId="14">
    <w:name w:val="页眉 字符"/>
    <w:basedOn w:val="13"/>
    <w:link w:val="9"/>
    <w:qFormat/>
    <w:uiPriority w:val="0"/>
    <w:rPr>
      <w:rFonts w:ascii="Calibri" w:hAnsi="Calibri" w:eastAsiaTheme="minorEastAsia" w:cstheme="minorBidi"/>
      <w:kern w:val="2"/>
      <w:sz w:val="18"/>
      <w:szCs w:val="18"/>
    </w:rPr>
  </w:style>
  <w:style w:type="character" w:customStyle="1" w:styleId="15">
    <w:name w:val="页脚 字符"/>
    <w:basedOn w:val="13"/>
    <w:link w:val="8"/>
    <w:qFormat/>
    <w:uiPriority w:val="0"/>
    <w:rPr>
      <w:rFonts w:ascii="Calibri" w:hAnsi="Calibri" w:eastAsiaTheme="minorEastAsia" w:cstheme="minorBidi"/>
      <w:kern w:val="2"/>
      <w:sz w:val="18"/>
      <w:szCs w:val="18"/>
    </w:rPr>
  </w:style>
  <w:style w:type="paragraph" w:customStyle="1" w:styleId="16">
    <w:name w:val="Revision"/>
    <w:hidden/>
    <w:semiHidden/>
    <w:qFormat/>
    <w:uiPriority w:val="99"/>
    <w:rPr>
      <w:rFonts w:ascii="Calibri" w:hAnsi="Calibr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494</Words>
  <Characters>2819</Characters>
  <Lines>23</Lines>
  <Paragraphs>6</Paragraphs>
  <TotalTime>59</TotalTime>
  <ScaleCrop>false</ScaleCrop>
  <LinksUpToDate>false</LinksUpToDate>
  <CharactersWithSpaces>3307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2022-08-30T18:20:00Z</dcterms:created>
  <dc:creator>zy</dc:creator>
  <cp:lastModifiedBy>greatwall</cp:lastModifiedBy>
  <cp:lastPrinted>2022-08-31T14:14:54Z</cp:lastPrinted>
  <dcterms:modified xsi:type="dcterms:W3CDTF">2022-08-31T15:09:25Z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03D34D62B9234F1C8FC3B3EEC1D372FD</vt:lpwstr>
  </property>
</Properties>
</file>