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asciiTheme="minorEastAsia" w:hAnsiTheme="minorEastAsia"/>
          <w:b/>
          <w:sz w:val="24"/>
          <w:szCs w:val="24"/>
        </w:rPr>
        <w:t>哈尔滨市口腔医院边柜技术参数</w:t>
      </w:r>
    </w:p>
    <w:p>
      <w:pPr>
        <w:jc w:val="left"/>
        <w:rPr>
          <w:rFonts w:asciiTheme="minorEastAsia" w:hAnsiTheme="minorEastAsia"/>
          <w:b/>
          <w:sz w:val="24"/>
          <w:szCs w:val="24"/>
        </w:rPr>
      </w:pPr>
      <w:r>
        <w:rPr>
          <w:rFonts w:hint="eastAsia" w:asciiTheme="minorEastAsia" w:hAnsiTheme="minorEastAsia"/>
          <w:b/>
          <w:sz w:val="24"/>
          <w:szCs w:val="24"/>
        </w:rPr>
        <w:t>一、产品明细</w:t>
      </w:r>
      <w:bookmarkStart w:id="0" w:name="_GoBack"/>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259"/>
        <w:gridCol w:w="5103"/>
        <w:gridCol w:w="99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b/>
                <w:szCs w:val="21"/>
              </w:rPr>
            </w:pPr>
            <w:r>
              <w:rPr>
                <w:rFonts w:asciiTheme="minorEastAsia" w:hAnsiTheme="minorEastAsia"/>
                <w:b/>
                <w:szCs w:val="21"/>
              </w:rPr>
              <w:t>序号</w:t>
            </w:r>
          </w:p>
        </w:tc>
        <w:tc>
          <w:tcPr>
            <w:tcW w:w="1259" w:type="dxa"/>
            <w:vAlign w:val="center"/>
          </w:tcPr>
          <w:p>
            <w:pPr>
              <w:jc w:val="center"/>
              <w:rPr>
                <w:rFonts w:asciiTheme="minorEastAsia" w:hAnsiTheme="minorEastAsia"/>
                <w:b/>
                <w:szCs w:val="21"/>
              </w:rPr>
            </w:pPr>
            <w:r>
              <w:rPr>
                <w:rFonts w:asciiTheme="minorEastAsia" w:hAnsiTheme="minorEastAsia"/>
                <w:b/>
                <w:szCs w:val="21"/>
              </w:rPr>
              <w:t>产品名称</w:t>
            </w:r>
          </w:p>
        </w:tc>
        <w:tc>
          <w:tcPr>
            <w:tcW w:w="5103" w:type="dxa"/>
            <w:vAlign w:val="center"/>
          </w:tcPr>
          <w:p>
            <w:pPr>
              <w:jc w:val="center"/>
              <w:rPr>
                <w:rFonts w:asciiTheme="minorEastAsia" w:hAnsiTheme="minorEastAsia"/>
                <w:b/>
                <w:szCs w:val="21"/>
              </w:rPr>
            </w:pPr>
            <w:r>
              <w:rPr>
                <w:rFonts w:asciiTheme="minorEastAsia" w:hAnsiTheme="minorEastAsia"/>
                <w:b/>
                <w:szCs w:val="21"/>
              </w:rPr>
              <w:t>参考图及规格型号（长</w:t>
            </w:r>
            <w:r>
              <w:rPr>
                <w:rFonts w:hint="eastAsia" w:asciiTheme="minorEastAsia" w:hAnsiTheme="minorEastAsia"/>
                <w:b/>
                <w:szCs w:val="21"/>
              </w:rPr>
              <w:t>*宽*高mm</w:t>
            </w:r>
            <w:r>
              <w:rPr>
                <w:rFonts w:asciiTheme="minorEastAsia" w:hAnsiTheme="minorEastAsia"/>
                <w:b/>
                <w:szCs w:val="21"/>
              </w:rPr>
              <w:t>）</w:t>
            </w:r>
          </w:p>
        </w:tc>
        <w:tc>
          <w:tcPr>
            <w:tcW w:w="992" w:type="dxa"/>
            <w:vAlign w:val="center"/>
          </w:tcPr>
          <w:p>
            <w:pPr>
              <w:jc w:val="center"/>
              <w:rPr>
                <w:rFonts w:asciiTheme="minorEastAsia" w:hAnsiTheme="minorEastAsia"/>
                <w:b/>
                <w:szCs w:val="21"/>
              </w:rPr>
            </w:pPr>
            <w:r>
              <w:rPr>
                <w:rFonts w:asciiTheme="minorEastAsia" w:hAnsiTheme="minorEastAsia"/>
                <w:b/>
                <w:szCs w:val="21"/>
              </w:rPr>
              <w:t>单位</w:t>
            </w:r>
          </w:p>
        </w:tc>
        <w:tc>
          <w:tcPr>
            <w:tcW w:w="1666" w:type="dxa"/>
            <w:vAlign w:val="center"/>
          </w:tcPr>
          <w:p>
            <w:pPr>
              <w:jc w:val="center"/>
              <w:rPr>
                <w:rFonts w:asciiTheme="minorEastAsia" w:hAnsiTheme="minorEastAsia"/>
                <w:b/>
                <w:szCs w:val="21"/>
              </w:rPr>
            </w:pPr>
            <w:r>
              <w:rPr>
                <w:rFonts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w:t>
            </w:r>
          </w:p>
        </w:tc>
        <w:tc>
          <w:tcPr>
            <w:tcW w:w="1259" w:type="dxa"/>
            <w:vAlign w:val="center"/>
          </w:tcPr>
          <w:p>
            <w:pPr>
              <w:jc w:val="center"/>
              <w:rPr>
                <w:rFonts w:asciiTheme="minorEastAsia" w:hAnsiTheme="minorEastAsia"/>
                <w:szCs w:val="21"/>
              </w:rPr>
            </w:pPr>
            <w:r>
              <w:rPr>
                <w:rFonts w:asciiTheme="minorEastAsia" w:hAnsiTheme="minorEastAsia"/>
                <w:szCs w:val="21"/>
              </w:rPr>
              <w:t>五抽移动柜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799590" cy="1626870"/>
                  <wp:effectExtent l="0" t="0" r="0" b="0"/>
                  <wp:docPr id="1" name="图片 1" descr="E:\2022\张总\哈尔滨市口腔医院\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022\张总\哈尔滨市口腔医院\8.19\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00000" cy="16272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490*510*850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2</w:t>
            </w:r>
          </w:p>
        </w:tc>
        <w:tc>
          <w:tcPr>
            <w:tcW w:w="1259" w:type="dxa"/>
            <w:vAlign w:val="center"/>
          </w:tcPr>
          <w:p>
            <w:pPr>
              <w:jc w:val="center"/>
              <w:rPr>
                <w:rFonts w:asciiTheme="minorEastAsia" w:hAnsiTheme="minorEastAsia"/>
                <w:szCs w:val="21"/>
              </w:rPr>
            </w:pPr>
            <w:r>
              <w:rPr>
                <w:rFonts w:asciiTheme="minorEastAsia" w:hAnsiTheme="minorEastAsia"/>
                <w:szCs w:val="21"/>
              </w:rPr>
              <w:t>打印室边柜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223645"/>
                  <wp:effectExtent l="0" t="0" r="0" b="0"/>
                  <wp:docPr id="21" name="图片 21" descr="E:\2022\张总\哈尔滨市口腔医院\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2022\张总\哈尔滨市口腔医院\8.19\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60000" cy="1224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3480*800*800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3</w:t>
            </w:r>
          </w:p>
        </w:tc>
        <w:tc>
          <w:tcPr>
            <w:tcW w:w="1259" w:type="dxa"/>
            <w:vAlign w:val="center"/>
          </w:tcPr>
          <w:p>
            <w:pPr>
              <w:jc w:val="center"/>
              <w:rPr>
                <w:rFonts w:asciiTheme="minorEastAsia" w:hAnsiTheme="minorEastAsia"/>
                <w:szCs w:val="21"/>
              </w:rPr>
            </w:pPr>
            <w:r>
              <w:rPr>
                <w:rFonts w:asciiTheme="minorEastAsia" w:hAnsiTheme="minorEastAsia"/>
                <w:szCs w:val="21"/>
              </w:rPr>
              <w:t>处置室吊柜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295400"/>
                  <wp:effectExtent l="0" t="0" r="0" b="0"/>
                  <wp:docPr id="3" name="图片 3" descr="E:\2022\张总\哈尔滨市口腔医院\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022\张总\哈尔滨市口腔医院\8.19\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60000" cy="1296000"/>
                          </a:xfrm>
                          <a:prstGeom prst="rect">
                            <a:avLst/>
                          </a:prstGeom>
                          <a:noFill/>
                          <a:ln>
                            <a:noFill/>
                          </a:ln>
                        </pic:spPr>
                      </pic:pic>
                    </a:graphicData>
                  </a:graphic>
                </wp:inline>
              </w:drawing>
            </w:r>
          </w:p>
          <w:p>
            <w:pPr>
              <w:jc w:val="center"/>
              <w:rPr>
                <w:rFonts w:asciiTheme="minorEastAsia" w:hAnsiTheme="minorEastAsia"/>
                <w:szCs w:val="21"/>
              </w:rPr>
            </w:pPr>
            <w:r>
              <w:rPr>
                <w:rFonts w:asciiTheme="minorEastAsia" w:hAnsiTheme="minorEastAsia"/>
                <w:szCs w:val="21"/>
              </w:rPr>
              <w:t>长</w:t>
            </w:r>
            <w:r>
              <w:rPr>
                <w:rFonts w:hint="eastAsia" w:asciiTheme="minorEastAsia" w:hAnsiTheme="minorEastAsia"/>
                <w:szCs w:val="21"/>
              </w:rPr>
              <w:t>*350*600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4</w:t>
            </w:r>
          </w:p>
        </w:tc>
        <w:tc>
          <w:tcPr>
            <w:tcW w:w="1259" w:type="dxa"/>
            <w:vAlign w:val="center"/>
          </w:tcPr>
          <w:p>
            <w:pPr>
              <w:jc w:val="center"/>
              <w:rPr>
                <w:rFonts w:asciiTheme="minorEastAsia" w:hAnsiTheme="minorEastAsia"/>
                <w:szCs w:val="21"/>
              </w:rPr>
            </w:pPr>
            <w:r>
              <w:rPr>
                <w:rFonts w:asciiTheme="minorEastAsia" w:hAnsiTheme="minorEastAsia"/>
                <w:szCs w:val="21"/>
              </w:rPr>
              <w:t>处置室上柜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241425"/>
                  <wp:effectExtent l="0" t="0" r="0" b="0"/>
                  <wp:docPr id="4" name="图片 4" descr="E:\2022\张总\哈尔滨市口腔医院\8.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2\张总\哈尔滨市口腔医院\8.19\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60000" cy="1242000"/>
                          </a:xfrm>
                          <a:prstGeom prst="rect">
                            <a:avLst/>
                          </a:prstGeom>
                          <a:noFill/>
                          <a:ln>
                            <a:noFill/>
                          </a:ln>
                        </pic:spPr>
                      </pic:pic>
                    </a:graphicData>
                  </a:graphic>
                </wp:inline>
              </w:drawing>
            </w:r>
          </w:p>
          <w:p>
            <w:pPr>
              <w:jc w:val="center"/>
              <w:rPr>
                <w:rFonts w:asciiTheme="minorEastAsia" w:hAnsiTheme="minorEastAsia"/>
                <w:szCs w:val="21"/>
              </w:rPr>
            </w:pPr>
            <w:r>
              <w:rPr>
                <w:rFonts w:asciiTheme="minorEastAsia" w:hAnsiTheme="minorEastAsia"/>
                <w:szCs w:val="21"/>
              </w:rPr>
              <w:t>长</w:t>
            </w:r>
            <w:r>
              <w:rPr>
                <w:rFonts w:hint="eastAsia" w:asciiTheme="minorEastAsia" w:hAnsiTheme="minorEastAsia"/>
                <w:szCs w:val="21"/>
              </w:rPr>
              <w:t>*350*1200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5</w:t>
            </w:r>
          </w:p>
        </w:tc>
        <w:tc>
          <w:tcPr>
            <w:tcW w:w="1259" w:type="dxa"/>
            <w:vAlign w:val="center"/>
          </w:tcPr>
          <w:p>
            <w:pPr>
              <w:jc w:val="center"/>
              <w:rPr>
                <w:rFonts w:asciiTheme="minorEastAsia" w:hAnsiTheme="minorEastAsia"/>
                <w:szCs w:val="21"/>
              </w:rPr>
            </w:pPr>
            <w:r>
              <w:rPr>
                <w:rFonts w:asciiTheme="minorEastAsia" w:hAnsiTheme="minorEastAsia"/>
                <w:szCs w:val="21"/>
              </w:rPr>
              <w:t>模型柜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439545" cy="1569085"/>
                  <wp:effectExtent l="0" t="0" r="8255" b="0"/>
                  <wp:docPr id="5" name="图片 5" descr="E:\2022\张总\哈尔滨市口腔医院\8.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022\张总\哈尔滨市口腔医院\8.19\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000" cy="1569600"/>
                          </a:xfrm>
                          <a:prstGeom prst="rect">
                            <a:avLst/>
                          </a:prstGeom>
                          <a:noFill/>
                          <a:ln>
                            <a:noFill/>
                          </a:ln>
                        </pic:spPr>
                      </pic:pic>
                    </a:graphicData>
                  </a:graphic>
                </wp:inline>
              </w:drawing>
            </w:r>
          </w:p>
          <w:p>
            <w:pPr>
              <w:jc w:val="center"/>
              <w:rPr>
                <w:rFonts w:asciiTheme="minorEastAsia" w:hAnsiTheme="minorEastAsia"/>
                <w:szCs w:val="21"/>
              </w:rPr>
            </w:pPr>
            <w:r>
              <w:rPr>
                <w:rFonts w:asciiTheme="minorEastAsia" w:hAnsiTheme="minorEastAsia"/>
                <w:szCs w:val="21"/>
              </w:rPr>
              <w:t>长</w:t>
            </w:r>
            <w:r>
              <w:rPr>
                <w:rFonts w:hint="eastAsia" w:asciiTheme="minorEastAsia" w:hAnsiTheme="minorEastAsia"/>
                <w:szCs w:val="21"/>
              </w:rPr>
              <w:t>*250*2000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6</w:t>
            </w:r>
          </w:p>
        </w:tc>
        <w:tc>
          <w:tcPr>
            <w:tcW w:w="1259" w:type="dxa"/>
            <w:vAlign w:val="center"/>
          </w:tcPr>
          <w:p>
            <w:pPr>
              <w:jc w:val="center"/>
              <w:rPr>
                <w:rFonts w:asciiTheme="minorEastAsia" w:hAnsiTheme="minorEastAsia"/>
                <w:szCs w:val="21"/>
              </w:rPr>
            </w:pPr>
            <w:r>
              <w:rPr>
                <w:rFonts w:asciiTheme="minorEastAsia" w:hAnsiTheme="minorEastAsia"/>
                <w:szCs w:val="21"/>
              </w:rPr>
              <w:t>诊室台上柜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115695"/>
                  <wp:effectExtent l="0" t="0" r="0" b="8255"/>
                  <wp:docPr id="6" name="图片 6" descr="E:\2022\张总\哈尔滨市口腔医院\8.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2022\张总\哈尔滨市口腔医院\8.19\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60000" cy="1116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长*350*1150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201.61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7</w:t>
            </w:r>
          </w:p>
        </w:tc>
        <w:tc>
          <w:tcPr>
            <w:tcW w:w="1259" w:type="dxa"/>
            <w:vAlign w:val="center"/>
          </w:tcPr>
          <w:p>
            <w:pPr>
              <w:jc w:val="center"/>
              <w:rPr>
                <w:rFonts w:asciiTheme="minorEastAsia" w:hAnsiTheme="minorEastAsia"/>
                <w:szCs w:val="21"/>
              </w:rPr>
            </w:pPr>
            <w:r>
              <w:rPr>
                <w:rFonts w:asciiTheme="minorEastAsia" w:hAnsiTheme="minorEastAsia"/>
                <w:szCs w:val="21"/>
              </w:rPr>
              <w:t>诊室吊柜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126490"/>
                  <wp:effectExtent l="0" t="0" r="0" b="0"/>
                  <wp:docPr id="7" name="图片 7" descr="E:\2022\张总\哈尔滨市口腔医院\8.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022\张总\哈尔滨市口腔医院\8.19\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0000" cy="1126800"/>
                          </a:xfrm>
                          <a:prstGeom prst="rect">
                            <a:avLst/>
                          </a:prstGeom>
                          <a:noFill/>
                          <a:ln>
                            <a:noFill/>
                          </a:ln>
                        </pic:spPr>
                      </pic:pic>
                    </a:graphicData>
                  </a:graphic>
                </wp:inline>
              </w:drawing>
            </w:r>
          </w:p>
          <w:p>
            <w:pPr>
              <w:jc w:val="center"/>
              <w:rPr>
                <w:rFonts w:asciiTheme="minorEastAsia" w:hAnsiTheme="minorEastAsia"/>
                <w:szCs w:val="21"/>
              </w:rPr>
            </w:pPr>
            <w:r>
              <w:rPr>
                <w:rFonts w:asciiTheme="minorEastAsia" w:hAnsiTheme="minorEastAsia"/>
                <w:szCs w:val="21"/>
              </w:rPr>
              <w:t>长</w:t>
            </w:r>
            <w:r>
              <w:rPr>
                <w:rFonts w:hint="eastAsia" w:asciiTheme="minorEastAsia" w:hAnsiTheme="minorEastAsia"/>
                <w:szCs w:val="21"/>
              </w:rPr>
              <w:t>*350*600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8</w:t>
            </w:r>
          </w:p>
        </w:tc>
        <w:tc>
          <w:tcPr>
            <w:tcW w:w="1259" w:type="dxa"/>
            <w:vAlign w:val="center"/>
          </w:tcPr>
          <w:p>
            <w:pPr>
              <w:jc w:val="center"/>
              <w:rPr>
                <w:rFonts w:asciiTheme="minorEastAsia" w:hAnsiTheme="minorEastAsia"/>
                <w:szCs w:val="21"/>
              </w:rPr>
            </w:pPr>
            <w:r>
              <w:rPr>
                <w:rFonts w:asciiTheme="minorEastAsia" w:hAnsiTheme="minorEastAsia"/>
                <w:szCs w:val="21"/>
              </w:rPr>
              <w:t>诊室水池柜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504315" cy="1619885"/>
                  <wp:effectExtent l="0" t="0" r="635" b="0"/>
                  <wp:docPr id="8" name="图片 8" descr="E:\2022\张总\哈尔滨市口腔医院\8.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2022\张总\哈尔滨市口腔医院\8.19\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04800" cy="162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520*510*850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9</w:t>
            </w:r>
          </w:p>
        </w:tc>
        <w:tc>
          <w:tcPr>
            <w:tcW w:w="1259" w:type="dxa"/>
            <w:vAlign w:val="center"/>
          </w:tcPr>
          <w:p>
            <w:pPr>
              <w:jc w:val="center"/>
              <w:rPr>
                <w:rFonts w:asciiTheme="minorEastAsia" w:hAnsiTheme="minorEastAsia"/>
                <w:szCs w:val="21"/>
              </w:rPr>
            </w:pPr>
            <w:r>
              <w:rPr>
                <w:rFonts w:asciiTheme="minorEastAsia" w:hAnsiTheme="minorEastAsia"/>
                <w:szCs w:val="21"/>
              </w:rPr>
              <w:t>诊室台面</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389380"/>
                  <wp:effectExtent l="0" t="0" r="0" b="1270"/>
                  <wp:docPr id="9" name="图片 9" descr="E:\2022\张总\哈尔滨市口腔医院\8.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2022\张总\哈尔滨市口腔医院\8.19\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60000" cy="13896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1100*500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10</w:t>
            </w:r>
          </w:p>
        </w:tc>
        <w:tc>
          <w:tcPr>
            <w:tcW w:w="1259" w:type="dxa"/>
            <w:vAlign w:val="center"/>
          </w:tcPr>
          <w:p>
            <w:pPr>
              <w:jc w:val="center"/>
              <w:rPr>
                <w:rFonts w:asciiTheme="minorEastAsia" w:hAnsiTheme="minorEastAsia"/>
                <w:szCs w:val="21"/>
              </w:rPr>
            </w:pPr>
            <w:r>
              <w:rPr>
                <w:rFonts w:asciiTheme="minorEastAsia" w:hAnsiTheme="minorEastAsia"/>
                <w:szCs w:val="21"/>
              </w:rPr>
              <w:t>诊室衣柜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148080" cy="1619885"/>
                  <wp:effectExtent l="0" t="0" r="0" b="0"/>
                  <wp:docPr id="20" name="图片 20" descr="E:\2022\张总\哈尔滨市口腔医院\8.1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2022\张总\哈尔滨市口腔医院\8.19\1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8400" cy="162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500*500*2000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11</w:t>
            </w:r>
          </w:p>
        </w:tc>
        <w:tc>
          <w:tcPr>
            <w:tcW w:w="1259" w:type="dxa"/>
            <w:vAlign w:val="center"/>
          </w:tcPr>
          <w:p>
            <w:pPr>
              <w:jc w:val="center"/>
              <w:rPr>
                <w:rFonts w:asciiTheme="minorEastAsia" w:hAnsiTheme="minorEastAsia"/>
                <w:szCs w:val="21"/>
              </w:rPr>
            </w:pPr>
            <w:r>
              <w:rPr>
                <w:rFonts w:asciiTheme="minorEastAsia" w:hAnsiTheme="minorEastAsia"/>
                <w:szCs w:val="21"/>
              </w:rPr>
              <w:t>诊室衣柜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072515" cy="1439545"/>
                  <wp:effectExtent l="0" t="0" r="0" b="8255"/>
                  <wp:docPr id="10" name="图片 10" descr="E:\2022\张总\哈尔滨市口腔医院\8.1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2022\张总\哈尔滨市口腔医院\8.19\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72800" cy="144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450*500*2000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12</w:t>
            </w:r>
          </w:p>
        </w:tc>
        <w:tc>
          <w:tcPr>
            <w:tcW w:w="1259" w:type="dxa"/>
            <w:vAlign w:val="center"/>
          </w:tcPr>
          <w:p>
            <w:pPr>
              <w:jc w:val="center"/>
              <w:rPr>
                <w:rFonts w:asciiTheme="minorEastAsia" w:hAnsiTheme="minorEastAsia"/>
                <w:szCs w:val="21"/>
              </w:rPr>
            </w:pPr>
            <w:r>
              <w:rPr>
                <w:rFonts w:asciiTheme="minorEastAsia" w:hAnsiTheme="minorEastAsia"/>
                <w:szCs w:val="21"/>
              </w:rPr>
              <w:t>诊室衣柜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158875" cy="1439545"/>
                  <wp:effectExtent l="0" t="0" r="3175" b="8255"/>
                  <wp:docPr id="11" name="图片 11" descr="E:\2022\张总\哈尔滨市口腔医院\8.1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2022\张总\哈尔滨市口腔医院\8.19\1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59200" cy="144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400*500*2000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13</w:t>
            </w:r>
          </w:p>
        </w:tc>
        <w:tc>
          <w:tcPr>
            <w:tcW w:w="1259" w:type="dxa"/>
            <w:vAlign w:val="center"/>
          </w:tcPr>
          <w:p>
            <w:pPr>
              <w:jc w:val="center"/>
              <w:rPr>
                <w:rFonts w:asciiTheme="minorEastAsia" w:hAnsiTheme="minorEastAsia"/>
                <w:szCs w:val="21"/>
              </w:rPr>
            </w:pPr>
            <w:r>
              <w:rPr>
                <w:rFonts w:asciiTheme="minorEastAsia" w:hAnsiTheme="minorEastAsia"/>
                <w:szCs w:val="21"/>
              </w:rPr>
              <w:t>诊室衣柜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338580" cy="1439545"/>
                  <wp:effectExtent l="0" t="0" r="0" b="8255"/>
                  <wp:docPr id="13" name="图片 13" descr="E:\2022\张总\哈尔滨市口腔医院\8.1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2022\张总\哈尔滨市口腔医院\8.19\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39200" cy="144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900*450*2000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14</w:t>
            </w:r>
          </w:p>
        </w:tc>
        <w:tc>
          <w:tcPr>
            <w:tcW w:w="1259" w:type="dxa"/>
            <w:vAlign w:val="center"/>
          </w:tcPr>
          <w:p>
            <w:pPr>
              <w:jc w:val="center"/>
              <w:rPr>
                <w:rFonts w:asciiTheme="minorEastAsia" w:hAnsiTheme="minorEastAsia"/>
                <w:szCs w:val="21"/>
              </w:rPr>
            </w:pPr>
            <w:r>
              <w:rPr>
                <w:rFonts w:asciiTheme="minorEastAsia" w:hAnsiTheme="minorEastAsia"/>
                <w:szCs w:val="21"/>
              </w:rPr>
              <w:t>诊室衣柜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079500" cy="1439545"/>
                  <wp:effectExtent l="0" t="0" r="6350" b="8255"/>
                  <wp:docPr id="14" name="图片 14" descr="E:\2022\张总\哈尔滨市口腔医院\8.1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2022\张总\哈尔滨市口腔医院\8.19\1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080000" cy="144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900*500*2000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15</w:t>
            </w:r>
          </w:p>
        </w:tc>
        <w:tc>
          <w:tcPr>
            <w:tcW w:w="1259" w:type="dxa"/>
            <w:vAlign w:val="center"/>
          </w:tcPr>
          <w:p>
            <w:pPr>
              <w:jc w:val="center"/>
              <w:rPr>
                <w:rFonts w:asciiTheme="minorEastAsia" w:hAnsiTheme="minorEastAsia"/>
                <w:szCs w:val="21"/>
              </w:rPr>
            </w:pPr>
            <w:r>
              <w:rPr>
                <w:rFonts w:asciiTheme="minorEastAsia" w:hAnsiTheme="minorEastAsia"/>
                <w:szCs w:val="21"/>
              </w:rPr>
              <w:t>诊室衣柜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079500" cy="1439545"/>
                  <wp:effectExtent l="0" t="0" r="6350" b="8255"/>
                  <wp:docPr id="15" name="图片 15" descr="E:\2022\张总\哈尔滨市口腔医院\8.1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2022\张总\哈尔滨市口腔医院\8.19\1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80000" cy="1440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700*450*2000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16</w:t>
            </w:r>
          </w:p>
        </w:tc>
        <w:tc>
          <w:tcPr>
            <w:tcW w:w="1259" w:type="dxa"/>
            <w:vAlign w:val="center"/>
          </w:tcPr>
          <w:p>
            <w:pPr>
              <w:jc w:val="center"/>
              <w:rPr>
                <w:rFonts w:asciiTheme="minorEastAsia" w:hAnsiTheme="minorEastAsia"/>
                <w:szCs w:val="21"/>
              </w:rPr>
            </w:pPr>
            <w:r>
              <w:rPr>
                <w:rFonts w:asciiTheme="minorEastAsia" w:hAnsiTheme="minorEastAsia"/>
                <w:szCs w:val="21"/>
              </w:rPr>
              <w:t>无菌暂存台上柜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184275"/>
                  <wp:effectExtent l="0" t="0" r="0" b="0"/>
                  <wp:docPr id="16" name="图片 16" descr="E:\2022\张总\哈尔滨市口腔医院\8.1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2022\张总\哈尔滨市口腔医院\8.19\1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60000" cy="11844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2500*350*1200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17</w:t>
            </w:r>
          </w:p>
        </w:tc>
        <w:tc>
          <w:tcPr>
            <w:tcW w:w="1259" w:type="dxa"/>
            <w:vAlign w:val="center"/>
          </w:tcPr>
          <w:p>
            <w:pPr>
              <w:jc w:val="center"/>
              <w:rPr>
                <w:rFonts w:asciiTheme="minorEastAsia" w:hAnsiTheme="minorEastAsia"/>
                <w:szCs w:val="21"/>
              </w:rPr>
            </w:pPr>
            <w:r>
              <w:rPr>
                <w:rFonts w:asciiTheme="minorEastAsia" w:hAnsiTheme="minorEastAsia"/>
                <w:szCs w:val="21"/>
              </w:rPr>
              <w:t>手术洗手池</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799590" cy="1400175"/>
                  <wp:effectExtent l="0" t="0" r="0" b="0"/>
                  <wp:docPr id="17" name="图片 17" descr="E:\2022\张总\哈尔滨市口腔医院\8.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2022\张总\哈尔滨市口腔医院\8.19\1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00000" cy="14004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1800*600*1200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18</w:t>
            </w:r>
          </w:p>
        </w:tc>
        <w:tc>
          <w:tcPr>
            <w:tcW w:w="1259" w:type="dxa"/>
            <w:vAlign w:val="center"/>
          </w:tcPr>
          <w:p>
            <w:pPr>
              <w:jc w:val="center"/>
              <w:rPr>
                <w:rFonts w:asciiTheme="minorEastAsia" w:hAnsiTheme="minorEastAsia"/>
                <w:szCs w:val="21"/>
              </w:rPr>
            </w:pPr>
            <w:r>
              <w:rPr>
                <w:rFonts w:asciiTheme="minorEastAsia" w:hAnsiTheme="minorEastAsia"/>
                <w:szCs w:val="21"/>
              </w:rPr>
              <w:t>器械室器械柜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2159635" cy="1479550"/>
                  <wp:effectExtent l="0" t="0" r="0" b="6350"/>
                  <wp:docPr id="18" name="图片 18" descr="E:\2022\张总\哈尔滨市口腔医院\8.1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2022\张总\哈尔滨市口腔医院\8.19\1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160000" cy="14796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4380*450/600*1950</w:t>
            </w:r>
          </w:p>
        </w:tc>
        <w:tc>
          <w:tcPr>
            <w:tcW w:w="992" w:type="dxa"/>
            <w:vAlign w:val="center"/>
          </w:tcPr>
          <w:p>
            <w:pPr>
              <w:jc w:val="center"/>
              <w:rPr>
                <w:rFonts w:asciiTheme="minorEastAsia" w:hAnsiTheme="minorEastAsia"/>
                <w:szCs w:val="21"/>
              </w:rPr>
            </w:pPr>
            <w:r>
              <w:rPr>
                <w:rFonts w:asciiTheme="minorEastAsia" w:hAnsiTheme="minorEastAsia"/>
                <w:szCs w:val="21"/>
              </w:rPr>
              <w:t>米</w:t>
            </w:r>
          </w:p>
        </w:tc>
        <w:tc>
          <w:tcPr>
            <w:tcW w:w="1666" w:type="dxa"/>
            <w:vAlign w:val="center"/>
          </w:tcPr>
          <w:p>
            <w:pPr>
              <w:jc w:val="center"/>
              <w:rPr>
                <w:rFonts w:asciiTheme="minorEastAsia" w:hAnsiTheme="minorEastAsia"/>
                <w:szCs w:val="21"/>
              </w:rPr>
            </w:pPr>
            <w:r>
              <w:rPr>
                <w:rFonts w:hint="eastAsia" w:asciiTheme="minorEastAsia" w:hAnsiTheme="minorEastAsia"/>
                <w:szCs w:val="21"/>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jc w:val="center"/>
              <w:rPr>
                <w:rFonts w:asciiTheme="minorEastAsia" w:hAnsiTheme="minorEastAsia"/>
                <w:szCs w:val="21"/>
              </w:rPr>
            </w:pPr>
            <w:r>
              <w:rPr>
                <w:rFonts w:hint="eastAsia" w:asciiTheme="minorEastAsia" w:hAnsiTheme="minorEastAsia"/>
                <w:szCs w:val="21"/>
              </w:rPr>
              <w:t>19</w:t>
            </w:r>
          </w:p>
        </w:tc>
        <w:tc>
          <w:tcPr>
            <w:tcW w:w="1259" w:type="dxa"/>
            <w:vAlign w:val="center"/>
          </w:tcPr>
          <w:p>
            <w:pPr>
              <w:jc w:val="center"/>
              <w:rPr>
                <w:rFonts w:asciiTheme="minorEastAsia" w:hAnsiTheme="minorEastAsia"/>
                <w:szCs w:val="21"/>
              </w:rPr>
            </w:pPr>
            <w:r>
              <w:rPr>
                <w:rFonts w:asciiTheme="minorEastAsia" w:hAnsiTheme="minorEastAsia"/>
                <w:szCs w:val="21"/>
              </w:rPr>
              <w:t>医疗垃圾分类柜</w:t>
            </w:r>
          </w:p>
        </w:tc>
        <w:tc>
          <w:tcPr>
            <w:tcW w:w="5103" w:type="dxa"/>
            <w:vAlign w:val="center"/>
          </w:tcPr>
          <w:p>
            <w:pPr>
              <w:jc w:val="center"/>
              <w:rPr>
                <w:rFonts w:asciiTheme="minorEastAsia" w:hAnsiTheme="minorEastAsia"/>
                <w:szCs w:val="21"/>
              </w:rPr>
            </w:pPr>
            <w:r>
              <w:rPr>
                <w:rFonts w:asciiTheme="minorEastAsia" w:hAnsiTheme="minorEastAsia"/>
                <w:szCs w:val="21"/>
              </w:rPr>
              <w:drawing>
                <wp:inline distT="0" distB="0" distL="0" distR="0">
                  <wp:extent cx="1799590" cy="1547495"/>
                  <wp:effectExtent l="0" t="0" r="0" b="0"/>
                  <wp:docPr id="19" name="图片 19" descr="E:\2022\张总\哈尔滨市口腔医院\8.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2022\张总\哈尔滨市口腔医院\8.19\19.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800000" cy="1548000"/>
                          </a:xfrm>
                          <a:prstGeom prst="rect">
                            <a:avLst/>
                          </a:prstGeom>
                          <a:noFill/>
                          <a:ln>
                            <a:noFill/>
                          </a:ln>
                        </pic:spPr>
                      </pic:pic>
                    </a:graphicData>
                  </a:graphic>
                </wp:inline>
              </w:drawing>
            </w:r>
          </w:p>
          <w:p>
            <w:pPr>
              <w:jc w:val="center"/>
              <w:rPr>
                <w:rFonts w:asciiTheme="minorEastAsia" w:hAnsiTheme="minorEastAsia"/>
                <w:szCs w:val="21"/>
              </w:rPr>
            </w:pPr>
            <w:r>
              <w:rPr>
                <w:rFonts w:hint="eastAsia" w:asciiTheme="minorEastAsia" w:hAnsiTheme="minorEastAsia"/>
                <w:szCs w:val="21"/>
              </w:rPr>
              <w:t>515*510*850</w:t>
            </w:r>
          </w:p>
        </w:tc>
        <w:tc>
          <w:tcPr>
            <w:tcW w:w="992" w:type="dxa"/>
            <w:vAlign w:val="center"/>
          </w:tcPr>
          <w:p>
            <w:pPr>
              <w:jc w:val="center"/>
              <w:rPr>
                <w:rFonts w:asciiTheme="minorEastAsia" w:hAnsiTheme="minorEastAsia"/>
                <w:szCs w:val="21"/>
              </w:rPr>
            </w:pPr>
            <w:r>
              <w:rPr>
                <w:rFonts w:asciiTheme="minorEastAsia" w:hAnsiTheme="minorEastAsia"/>
                <w:szCs w:val="21"/>
              </w:rPr>
              <w:t>只</w:t>
            </w:r>
          </w:p>
        </w:tc>
        <w:tc>
          <w:tcPr>
            <w:tcW w:w="1666" w:type="dxa"/>
            <w:vAlign w:val="center"/>
          </w:tcPr>
          <w:p>
            <w:pPr>
              <w:jc w:val="center"/>
              <w:rPr>
                <w:rFonts w:asciiTheme="minorEastAsia" w:hAnsiTheme="minorEastAsia"/>
                <w:szCs w:val="21"/>
              </w:rPr>
            </w:pPr>
            <w:r>
              <w:rPr>
                <w:rFonts w:hint="eastAsia" w:asciiTheme="minorEastAsia" w:hAnsiTheme="minorEastAsia"/>
                <w:szCs w:val="21"/>
              </w:rPr>
              <w:t>18</w:t>
            </w:r>
          </w:p>
        </w:tc>
      </w:tr>
    </w:tbl>
    <w:p>
      <w:pPr>
        <w:jc w:val="left"/>
        <w:rPr>
          <w:rFonts w:hint="default" w:asciiTheme="minorEastAsia" w:hAnsiTheme="minorEastAsia" w:eastAsiaTheme="minorEastAsia"/>
          <w:b/>
          <w:color w:val="FF0000"/>
          <w:sz w:val="28"/>
          <w:szCs w:val="28"/>
          <w:lang w:val="en-US" w:eastAsia="zh-CN"/>
        </w:rPr>
      </w:pPr>
      <w:r>
        <w:rPr>
          <w:rFonts w:hint="eastAsia" w:asciiTheme="minorEastAsia" w:hAnsiTheme="minorEastAsia"/>
          <w:b/>
          <w:color w:val="FF0000"/>
          <w:sz w:val="28"/>
          <w:szCs w:val="28"/>
          <w:lang w:val="en-US" w:eastAsia="zh-CN"/>
        </w:rPr>
        <w:t>所有尺寸可有±5mm的误差。</w:t>
      </w:r>
    </w:p>
    <w:p>
      <w:pPr>
        <w:jc w:val="left"/>
        <w:rPr>
          <w:rFonts w:asciiTheme="minorEastAsia" w:hAnsiTheme="minorEastAsia"/>
          <w:b/>
          <w:color w:val="FF0000"/>
          <w:sz w:val="28"/>
          <w:szCs w:val="28"/>
        </w:rPr>
      </w:pPr>
    </w:p>
    <w:p>
      <w:pPr>
        <w:jc w:val="left"/>
        <w:rPr>
          <w:rFonts w:asciiTheme="minorEastAsia" w:hAnsiTheme="minorEastAsia"/>
          <w:b/>
          <w:color w:val="FF0000"/>
          <w:sz w:val="28"/>
          <w:szCs w:val="28"/>
        </w:rPr>
      </w:pPr>
    </w:p>
    <w:p>
      <w:pPr>
        <w:jc w:val="left"/>
        <w:rPr>
          <w:rFonts w:asciiTheme="minorEastAsia" w:hAnsiTheme="minorEastAsia"/>
          <w:b/>
          <w:color w:val="FF0000"/>
          <w:sz w:val="28"/>
          <w:szCs w:val="28"/>
        </w:rPr>
      </w:pPr>
    </w:p>
    <w:p>
      <w:pPr>
        <w:jc w:val="left"/>
        <w:rPr>
          <w:rFonts w:asciiTheme="minorEastAsia" w:hAnsiTheme="minorEastAsia"/>
          <w:b/>
          <w:color w:val="FF0000"/>
          <w:sz w:val="28"/>
          <w:szCs w:val="28"/>
        </w:rPr>
      </w:pPr>
    </w:p>
    <w:p>
      <w:pPr>
        <w:spacing w:line="360" w:lineRule="auto"/>
        <w:jc w:val="left"/>
        <w:rPr>
          <w:rFonts w:hint="eastAsia" w:asciiTheme="minorEastAsia" w:hAnsiTheme="minorEastAsia"/>
          <w:b/>
          <w:sz w:val="24"/>
          <w:szCs w:val="24"/>
        </w:rPr>
      </w:pPr>
    </w:p>
    <w:p>
      <w:pPr>
        <w:spacing w:line="360" w:lineRule="auto"/>
        <w:jc w:val="left"/>
        <w:rPr>
          <w:rFonts w:asciiTheme="minorEastAsia" w:hAnsiTheme="minorEastAsia"/>
          <w:b/>
          <w:sz w:val="24"/>
          <w:szCs w:val="24"/>
        </w:rPr>
      </w:pPr>
      <w:r>
        <w:rPr>
          <w:rFonts w:hint="eastAsia" w:asciiTheme="minorEastAsia" w:hAnsiTheme="minorEastAsia"/>
          <w:b/>
          <w:sz w:val="24"/>
          <w:szCs w:val="24"/>
        </w:rPr>
        <w:t>二、技术参数</w:t>
      </w:r>
    </w:p>
    <w:p>
      <w:pPr>
        <w:spacing w:line="360" w:lineRule="auto"/>
        <w:jc w:val="left"/>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）五抽移动柜</w:t>
      </w:r>
    </w:p>
    <w:p>
      <w:pPr>
        <w:spacing w:line="360" w:lineRule="auto"/>
        <w:jc w:val="left"/>
        <w:rPr>
          <w:rFonts w:asciiTheme="minorEastAsia" w:hAnsiTheme="minorEastAsia"/>
          <w:b/>
          <w:sz w:val="24"/>
          <w:szCs w:val="24"/>
        </w:rPr>
      </w:pPr>
      <w:r>
        <w:rPr>
          <w:rFonts w:hint="eastAsia" w:asciiTheme="minorEastAsia" w:hAnsiTheme="minorEastAsia"/>
          <w:b/>
          <w:sz w:val="24"/>
          <w:szCs w:val="24"/>
        </w:rPr>
        <w:t>1.主体：</w:t>
      </w:r>
      <w:r>
        <w:rPr>
          <w:rFonts w:hint="eastAsia" w:asciiTheme="minorEastAsia" w:hAnsiTheme="minorEastAsia"/>
          <w:b/>
          <w:sz w:val="24"/>
          <w:szCs w:val="24"/>
        </w:rPr>
        <w:cr/>
      </w:r>
      <w:r>
        <w:rPr>
          <w:rFonts w:hint="eastAsia" w:asciiTheme="minorEastAsia" w:hAnsiTheme="minorEastAsia"/>
          <w:sz w:val="24"/>
          <w:szCs w:val="24"/>
        </w:rPr>
        <w:t>（1）柜体采用电解镀锌钢板为框架结构，钢板厚度≥1.0mm。主体框架另加承重钢板及内衬结构，保证足够的承重强度，低噪音，表面防锈、防酸、防碱、防静电、耐腐蚀，抗老化。</w:t>
      </w:r>
      <w:r>
        <w:rPr>
          <w:rFonts w:hint="eastAsia" w:asciiTheme="minorEastAsia" w:hAnsiTheme="minorEastAsia"/>
          <w:sz w:val="24"/>
          <w:szCs w:val="24"/>
        </w:rPr>
        <w:cr/>
      </w:r>
      <w:r>
        <w:rPr>
          <w:rFonts w:hint="eastAsia" w:asciiTheme="minorEastAsia" w:hAnsiTheme="minorEastAsia"/>
          <w:sz w:val="24"/>
          <w:szCs w:val="24"/>
        </w:rPr>
        <w:t>（2）表面经喷塑处理，可按照临床需求进行调色。粉末涂料中，铅、镉、汞、六价铬、多溴联苯、多溴二苯醚、邻苯二甲酸二（2-乙基）己酯，邻苯二甲酸丁基苄基酯、邻苯二甲酸二丁酯和邻苯二甲酸二异丁酯含量符合欧盟RoHS指令2011/65/EU（RoHS2.0）及其修正指令（EU）2015/863的限值要求并提供符合性检测报告。</w:t>
      </w:r>
      <w:r>
        <w:rPr>
          <w:rFonts w:hint="eastAsia" w:asciiTheme="minorEastAsia" w:hAnsiTheme="minorEastAsia"/>
          <w:sz w:val="24"/>
          <w:szCs w:val="24"/>
        </w:rPr>
        <w:cr/>
      </w:r>
      <w:r>
        <w:rPr>
          <w:rFonts w:hint="eastAsia" w:asciiTheme="minorEastAsia" w:hAnsiTheme="minorEastAsia"/>
          <w:sz w:val="24"/>
          <w:szCs w:val="24"/>
        </w:rPr>
        <w:t>（3）形状位置公差、外观性能要求、安全性能要求、力学性能要求符合GB/T 3325-2017《金属家具通用技术条件》要求并提供国家级检测报告。</w:t>
      </w:r>
      <w:r>
        <w:rPr>
          <w:rFonts w:hint="eastAsia" w:asciiTheme="minorEastAsia" w:hAnsiTheme="minorEastAsia"/>
          <w:sz w:val="24"/>
          <w:szCs w:val="24"/>
        </w:rPr>
        <w:cr/>
      </w:r>
      <w:r>
        <w:rPr>
          <w:rFonts w:hint="eastAsia" w:asciiTheme="minorEastAsia" w:hAnsiTheme="minorEastAsia"/>
          <w:sz w:val="24"/>
          <w:szCs w:val="24"/>
        </w:rPr>
        <w:t>（4）依据QB/T 1951.2-2013《金属家具 质量检验及质量评定》，对设计和生产的每一款柜型的顶板持续加载测试项目都符合客户要求，提供国家级检测顶底板持续加载650kg,2h试验合格报告。</w:t>
      </w:r>
      <w:r>
        <w:rPr>
          <w:rFonts w:hint="eastAsia" w:asciiTheme="minorEastAsia" w:hAnsiTheme="minorEastAsia"/>
          <w:sz w:val="24"/>
          <w:szCs w:val="24"/>
        </w:rPr>
        <w:cr/>
      </w:r>
      <w:r>
        <w:rPr>
          <w:rFonts w:hint="eastAsia" w:asciiTheme="minorEastAsia" w:hAnsiTheme="minorEastAsia"/>
          <w:b/>
          <w:sz w:val="24"/>
          <w:szCs w:val="24"/>
        </w:rPr>
        <w:t>2.台面：</w:t>
      </w:r>
      <w:r>
        <w:rPr>
          <w:rFonts w:hint="eastAsia" w:asciiTheme="minorEastAsia" w:hAnsiTheme="minorEastAsia"/>
          <w:b/>
          <w:sz w:val="24"/>
          <w:szCs w:val="24"/>
        </w:rPr>
        <w:cr/>
      </w:r>
      <w:r>
        <w:rPr>
          <w:rFonts w:hint="eastAsia" w:asciiTheme="minorEastAsia" w:hAnsiTheme="minorEastAsia"/>
          <w:sz w:val="24"/>
          <w:szCs w:val="24"/>
        </w:rPr>
        <w:t>（1）新型瓷釉材料，开模高温一体压铸成型，边缘加厚整体制作，边缘作弧形处理，达到口腔所有耗材不着色功能，如碘氟、碘酒，碘仿，樟脑酚，丁香油，牙托水，碘甘油，甲酸甲酯等。</w:t>
      </w:r>
      <w:r>
        <w:rPr>
          <w:rFonts w:hint="eastAsia" w:asciiTheme="minorEastAsia" w:hAnsiTheme="minorEastAsia"/>
          <w:sz w:val="24"/>
          <w:szCs w:val="24"/>
        </w:rPr>
        <w:cr/>
      </w:r>
      <w:r>
        <w:rPr>
          <w:rFonts w:hint="eastAsia" w:asciiTheme="minorEastAsia" w:hAnsiTheme="minorEastAsia"/>
          <w:sz w:val="24"/>
          <w:szCs w:val="24"/>
        </w:rPr>
        <w:t>（2）</w:t>
      </w:r>
      <w:r>
        <w:rPr>
          <w:rFonts w:hint="eastAsia" w:asciiTheme="minorEastAsia" w:hAnsiTheme="minorEastAsia"/>
          <w:sz w:val="24"/>
          <w:szCs w:val="24"/>
          <w:highlight w:val="yellow"/>
        </w:rPr>
        <w:t>耐化学药品性能测定符合JC/T 908-2013《人造石》标准并提供检测报告。</w:t>
      </w:r>
      <w:r>
        <w:rPr>
          <w:rFonts w:hint="eastAsia" w:asciiTheme="minorEastAsia" w:hAnsiTheme="minorEastAsia"/>
          <w:sz w:val="24"/>
          <w:szCs w:val="24"/>
        </w:rPr>
        <w:cr/>
      </w:r>
      <w:r>
        <w:rPr>
          <w:rFonts w:hint="eastAsia" w:asciiTheme="minorEastAsia" w:hAnsiTheme="minorEastAsia"/>
          <w:sz w:val="24"/>
          <w:szCs w:val="24"/>
        </w:rPr>
        <w:t>（3）铅、镉、汞、六价铬、多溴联苯、多溴二苯醚、邻苯二甲酸二（2-乙基）己酯，邻苯二甲酸丁基苄基酯、邻苯二甲酸二丁酯和邻苯二甲酸二异丁酯含量符合欧盟RoHS指令2011/65/EU（RoHS2.0）及其修正指令（EU）2015/863的限值要求，提供符合性检测报告。</w:t>
      </w:r>
      <w:r>
        <w:rPr>
          <w:rFonts w:hint="eastAsia" w:asciiTheme="minorEastAsia" w:hAnsiTheme="minorEastAsia"/>
          <w:sz w:val="24"/>
          <w:szCs w:val="24"/>
        </w:rPr>
        <w:cr/>
      </w:r>
      <w:r>
        <w:rPr>
          <w:rFonts w:hint="eastAsia" w:asciiTheme="minorEastAsia" w:hAnsiTheme="minorEastAsia"/>
          <w:b/>
          <w:sz w:val="24"/>
          <w:szCs w:val="24"/>
        </w:rPr>
        <w:t>3.抽屉轨道：</w:t>
      </w:r>
      <w:r>
        <w:rPr>
          <w:rFonts w:hint="eastAsia" w:asciiTheme="minorEastAsia" w:hAnsiTheme="minorEastAsia"/>
          <w:sz w:val="24"/>
          <w:szCs w:val="24"/>
        </w:rPr>
        <w:t>选用DTC带阻尼托底轨道，具有隐藏式、静音、自动复位功能，使用过程无噪音，使用寿命长，可自由开合10万次以上，（符合QB/T2454-2013标准并提供检测报告），加锁。</w:t>
      </w:r>
      <w:r>
        <w:rPr>
          <w:rFonts w:hint="eastAsia" w:asciiTheme="minorEastAsia" w:hAnsiTheme="minorEastAsia"/>
          <w:sz w:val="24"/>
          <w:szCs w:val="24"/>
        </w:rPr>
        <w:cr/>
      </w:r>
      <w:r>
        <w:rPr>
          <w:rFonts w:hint="eastAsia" w:asciiTheme="minorEastAsia" w:hAnsiTheme="minorEastAsia"/>
          <w:b/>
          <w:sz w:val="24"/>
          <w:szCs w:val="24"/>
        </w:rPr>
        <w:t>4.脚轮：</w:t>
      </w:r>
      <w:r>
        <w:rPr>
          <w:rFonts w:hint="eastAsia" w:asciiTheme="minorEastAsia" w:hAnsiTheme="minorEastAsia"/>
          <w:sz w:val="24"/>
          <w:szCs w:val="24"/>
        </w:rPr>
        <w:t>脚轮采用聚氨酯医用静音脚轮。</w:t>
      </w:r>
      <w:r>
        <w:rPr>
          <w:rFonts w:hint="eastAsia" w:asciiTheme="minorEastAsia" w:hAnsiTheme="minorEastAsia"/>
          <w:b/>
          <w:sz w:val="24"/>
          <w:szCs w:val="24"/>
        </w:rPr>
        <w:cr/>
      </w:r>
      <w:r>
        <w:rPr>
          <w:rFonts w:hint="eastAsia" w:asciiTheme="minorEastAsia" w:hAnsiTheme="minorEastAsia"/>
          <w:b/>
          <w:sz w:val="24"/>
          <w:szCs w:val="24"/>
        </w:rPr>
        <w:t>5.抽屉搁盘：</w:t>
      </w:r>
      <w:r>
        <w:rPr>
          <w:rFonts w:hint="eastAsia" w:asciiTheme="minorEastAsia" w:hAnsiTheme="minorEastAsia"/>
          <w:sz w:val="24"/>
          <w:szCs w:val="24"/>
        </w:rPr>
        <w:t>考虑到口腔科各科室材料规格不一、尺寸各异的特点，并且根据临床专业的要求，分隔盘中的隔片设置为活动形可根据要求任意调整，满足正畸科和修复科、牙体牙髓科、外科、牙周科、VIP等各科室的专用器具摆放要求，并可取出清洗和消毒。采用ABS板材，提供多种规格可供选择。</w:t>
      </w:r>
      <w:r>
        <w:rPr>
          <w:rFonts w:hint="eastAsia" w:asciiTheme="minorEastAsia" w:hAnsiTheme="minorEastAsia"/>
          <w:b/>
          <w:sz w:val="24"/>
          <w:szCs w:val="24"/>
        </w:rPr>
        <w:cr/>
      </w:r>
      <w:r>
        <w:rPr>
          <w:rFonts w:hint="eastAsia" w:asciiTheme="minorEastAsia" w:hAnsiTheme="minorEastAsia"/>
          <w:b/>
          <w:sz w:val="24"/>
          <w:szCs w:val="24"/>
        </w:rPr>
        <w:t>6.锁：</w:t>
      </w:r>
      <w:r>
        <w:rPr>
          <w:rFonts w:hint="eastAsia" w:asciiTheme="minorEastAsia" w:hAnsiTheme="minorEastAsia"/>
          <w:sz w:val="24"/>
          <w:szCs w:val="24"/>
        </w:rPr>
        <w:t>带连排锁功能。</w:t>
      </w:r>
      <w:r>
        <w:rPr>
          <w:rFonts w:hint="eastAsia" w:asciiTheme="minorEastAsia" w:hAnsiTheme="minorEastAsia"/>
          <w:b/>
          <w:sz w:val="24"/>
          <w:szCs w:val="24"/>
        </w:rPr>
        <w:cr/>
      </w:r>
      <w:r>
        <w:rPr>
          <w:rFonts w:hint="eastAsia" w:asciiTheme="minorEastAsia" w:hAnsiTheme="minorEastAsia"/>
          <w:b/>
          <w:sz w:val="24"/>
          <w:szCs w:val="24"/>
        </w:rPr>
        <w:t>7.拉手：</w:t>
      </w:r>
      <w:r>
        <w:rPr>
          <w:rFonts w:hint="eastAsia" w:asciiTheme="minorEastAsia" w:hAnsiTheme="minorEastAsia"/>
          <w:sz w:val="24"/>
          <w:szCs w:val="24"/>
        </w:rPr>
        <w:t>拉手为欧式氧化铝，可提供多种颜色作为用户的个性化选择。</w:t>
      </w:r>
      <w:r>
        <w:rPr>
          <w:rFonts w:asciiTheme="minorEastAsia" w:hAnsiTheme="minorEastAsia"/>
          <w:b/>
          <w:sz w:val="24"/>
          <w:szCs w:val="24"/>
        </w:rPr>
        <w:cr/>
      </w:r>
      <w:r>
        <w:rPr>
          <w:rFonts w:asciiTheme="minorEastAsia" w:hAnsiTheme="minorEastAsia"/>
          <w:b/>
          <w:sz w:val="24"/>
          <w:szCs w:val="24"/>
        </w:rPr>
        <w:t>（二）打印室边柜</w:t>
      </w:r>
    </w:p>
    <w:p>
      <w:pPr>
        <w:spacing w:line="360" w:lineRule="auto"/>
        <w:jc w:val="left"/>
        <w:rPr>
          <w:rFonts w:cs="宋体" w:asciiTheme="minorEastAsia" w:hAnsiTheme="minorEastAsia"/>
          <w:b/>
          <w:kern w:val="0"/>
          <w:sz w:val="24"/>
          <w:szCs w:val="24"/>
        </w:rPr>
      </w:pPr>
      <w:r>
        <w:rPr>
          <w:rFonts w:hint="eastAsia" w:cs="宋体" w:asciiTheme="minorEastAsia" w:hAnsiTheme="minorEastAsia"/>
          <w:b/>
          <w:kern w:val="0"/>
          <w:sz w:val="24"/>
          <w:szCs w:val="24"/>
        </w:rPr>
        <w:t>1.主体：</w:t>
      </w:r>
    </w:p>
    <w:p>
      <w:pPr>
        <w:spacing w:line="360" w:lineRule="auto"/>
        <w:jc w:val="left"/>
        <w:rPr>
          <w:rFonts w:asciiTheme="minorEastAsia" w:hAnsiTheme="minorEastAsia"/>
          <w:kern w:val="0"/>
          <w:sz w:val="24"/>
          <w:szCs w:val="24"/>
        </w:rPr>
      </w:pPr>
      <w:r>
        <w:rPr>
          <w:rFonts w:hint="eastAsia" w:asciiTheme="minorEastAsia" w:hAnsiTheme="minorEastAsia"/>
          <w:bCs/>
          <w:color w:val="000000"/>
          <w:sz w:val="24"/>
          <w:szCs w:val="24"/>
        </w:rPr>
        <w:t>（1）柜体、面板等选用双层不锈钢板框架结构，</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柜体面板厚度不小于18mm（双层不锈钢），</w:t>
      </w:r>
      <w:r>
        <w:rPr>
          <w:rFonts w:hint="eastAsia" w:asciiTheme="minorEastAsia" w:hAnsiTheme="minorEastAsia"/>
          <w:kern w:val="0"/>
          <w:sz w:val="24"/>
          <w:szCs w:val="24"/>
        </w:rPr>
        <w:t>双层不锈钢板内为发泡阻燃填充物，表面采用白色纳米覆膜技术，经落物撞击后表面涂层物不脱落，达到于原附着力一样。内胆全部采用纳米覆膜不锈钢本色涂层，达到不沾灰，无指纹，易清洗的要求。</w:t>
      </w:r>
    </w:p>
    <w:p>
      <w:pPr>
        <w:spacing w:line="360" w:lineRule="auto"/>
        <w:jc w:val="left"/>
        <w:rPr>
          <w:rFonts w:asciiTheme="minorEastAsia" w:hAnsiTheme="minorEastAsia"/>
          <w:kern w:val="0"/>
          <w:sz w:val="24"/>
          <w:szCs w:val="24"/>
        </w:rPr>
      </w:pPr>
      <w:r>
        <w:rPr>
          <w:rFonts w:hint="eastAsia" w:asciiTheme="minorEastAsia" w:hAnsiTheme="minorEastAsia"/>
          <w:kern w:val="0"/>
          <w:sz w:val="24"/>
          <w:szCs w:val="24"/>
        </w:rPr>
        <w:t>（2）</w:t>
      </w:r>
      <w:r>
        <w:rPr>
          <w:rFonts w:hint="eastAsia" w:asciiTheme="minorEastAsia" w:hAnsiTheme="minorEastAsia"/>
          <w:sz w:val="24"/>
          <w:szCs w:val="24"/>
        </w:rPr>
        <w:t>柜体下方的踢脚板和柜体为一体，耐腐蚀调节脚。</w:t>
      </w:r>
    </w:p>
    <w:p>
      <w:pPr>
        <w:spacing w:line="360" w:lineRule="auto"/>
        <w:jc w:val="left"/>
        <w:rPr>
          <w:rFonts w:asciiTheme="minorEastAsia" w:hAnsiTheme="minorEastAsia"/>
          <w:sz w:val="24"/>
          <w:szCs w:val="24"/>
        </w:rPr>
      </w:pPr>
      <w:r>
        <w:rPr>
          <w:rFonts w:hint="eastAsia" w:asciiTheme="minorEastAsia" w:hAnsiTheme="minorEastAsia"/>
          <w:sz w:val="24"/>
          <w:szCs w:val="24"/>
        </w:rPr>
        <w:t>（3）形状位置公差、外观性能要求、安全性能要求、力学性能要求符合GB/T 3325-2017《金属家具通用技术条件》要求并提供国家级检测报告。</w:t>
      </w:r>
    </w:p>
    <w:p>
      <w:pPr>
        <w:spacing w:line="360" w:lineRule="auto"/>
        <w:jc w:val="left"/>
        <w:rPr>
          <w:rFonts w:cs="宋体" w:asciiTheme="minorEastAsia" w:hAnsiTheme="minorEastAsia"/>
          <w:kern w:val="0"/>
          <w:sz w:val="24"/>
          <w:szCs w:val="24"/>
        </w:rPr>
      </w:pPr>
      <w:r>
        <w:rPr>
          <w:rFonts w:hint="eastAsia" w:asciiTheme="minorEastAsia" w:hAnsiTheme="minorEastAsia"/>
          <w:sz w:val="24"/>
          <w:szCs w:val="24"/>
        </w:rPr>
        <w:t>（4）依据QB/T 1951.2-2013《金属家具 质量检验及质量评定》，对设计和生产的每一款柜型的顶板持续加载测试项目都符合客户要求，提供国家级检测顶底板持续加载650kg,2h试验合格报告。</w:t>
      </w:r>
    </w:p>
    <w:p>
      <w:pPr>
        <w:spacing w:line="360" w:lineRule="auto"/>
        <w:jc w:val="left"/>
        <w:rPr>
          <w:rFonts w:cs="宋体" w:asciiTheme="minorEastAsia" w:hAnsiTheme="minorEastAsia"/>
          <w:b/>
          <w:kern w:val="0"/>
          <w:sz w:val="24"/>
          <w:szCs w:val="24"/>
        </w:rPr>
      </w:pPr>
      <w:r>
        <w:rPr>
          <w:rFonts w:hint="eastAsia" w:cs="宋体" w:asciiTheme="minorEastAsia" w:hAnsiTheme="minorEastAsia"/>
          <w:b/>
          <w:kern w:val="0"/>
          <w:sz w:val="24"/>
          <w:szCs w:val="24"/>
        </w:rPr>
        <w:t>2.台面：</w:t>
      </w:r>
      <w:r>
        <w:rPr>
          <w:rFonts w:hint="eastAsia" w:asciiTheme="minorEastAsia" w:hAnsiTheme="minorEastAsia"/>
          <w:sz w:val="24"/>
          <w:szCs w:val="24"/>
        </w:rPr>
        <w:t>台面原材料选用医用高光乱花纹不锈钢（医用高光乱花纹不锈钢台面，铅、镉、汞、六价铬</w:t>
      </w:r>
      <w:r>
        <w:rPr>
          <w:rFonts w:hint="eastAsia" w:asciiTheme="minorEastAsia" w:hAnsiTheme="minorEastAsia"/>
          <w:bCs/>
          <w:color w:val="000000"/>
          <w:sz w:val="24"/>
          <w:szCs w:val="24"/>
        </w:rPr>
        <w:t>含量符合欧盟RoHS指令2011/65/EU（RoHS 2.0）的限值要求并提供检测报告</w:t>
      </w:r>
      <w:r>
        <w:rPr>
          <w:rFonts w:hint="eastAsia" w:asciiTheme="minorEastAsia" w:hAnsiTheme="minorEastAsia"/>
          <w:sz w:val="24"/>
          <w:szCs w:val="24"/>
        </w:rPr>
        <w:t>），</w:t>
      </w:r>
      <w:r>
        <w:rPr>
          <w:rFonts w:hint="eastAsia" w:cs="Times New Roman" w:asciiTheme="minorEastAsia" w:hAnsiTheme="minorEastAsia"/>
          <w:sz w:val="24"/>
          <w:szCs w:val="24"/>
        </w:rPr>
        <w:t>水槽与台面为整体无缝焊接，前有止水功能，见光面圆弧处理，并且长度不受限制，环保、无后遗症，后挡水高度为十公分（防止水溅到墙上），根据客户需求在十公分挡水上可安装高压水枪或高压气枪。台面宽度和高度（包括孔位）可根据客户设备大小以及要求进行调整。</w:t>
      </w:r>
    </w:p>
    <w:p>
      <w:pPr>
        <w:spacing w:line="360" w:lineRule="auto"/>
        <w:jc w:val="left"/>
        <w:rPr>
          <w:rFonts w:cs="Times New Roman" w:asciiTheme="minorEastAsia" w:hAnsiTheme="minorEastAsia"/>
          <w:b/>
          <w:sz w:val="24"/>
          <w:szCs w:val="24"/>
        </w:rPr>
      </w:pPr>
      <w:r>
        <w:rPr>
          <w:rFonts w:hint="eastAsia" w:cs="Times New Roman" w:asciiTheme="minorEastAsia" w:hAnsiTheme="minorEastAsia"/>
          <w:b/>
          <w:sz w:val="24"/>
          <w:szCs w:val="24"/>
        </w:rPr>
        <w:t>3.</w:t>
      </w:r>
      <w:r>
        <w:rPr>
          <w:rFonts w:hint="eastAsia" w:cs="宋体" w:asciiTheme="minorEastAsia" w:hAnsiTheme="minorEastAsia"/>
          <w:b/>
          <w:kern w:val="0"/>
          <w:sz w:val="24"/>
          <w:szCs w:val="24"/>
        </w:rPr>
        <w:t>铰链开关：</w:t>
      </w:r>
      <w:r>
        <w:rPr>
          <w:rFonts w:hint="eastAsia" w:asciiTheme="minorEastAsia" w:hAnsiTheme="minorEastAsia"/>
          <w:sz w:val="24"/>
          <w:szCs w:val="24"/>
        </w:rPr>
        <w:t>选用DTC铰链，SUS304抛光不锈钢材质，永不生锈。铰链与柜体面水平角度＜15°时，柜门即可自行关闭，阻尼闭合，无碰撞。开启角度大于110°，附防滑落安全装置</w:t>
      </w:r>
      <w:r>
        <w:rPr>
          <w:rFonts w:hint="eastAsia" w:cs="宋体" w:asciiTheme="minorEastAsia" w:hAnsiTheme="minorEastAsia"/>
          <w:kern w:val="0"/>
          <w:sz w:val="24"/>
          <w:szCs w:val="24"/>
        </w:rPr>
        <w:t>。</w:t>
      </w:r>
    </w:p>
    <w:p>
      <w:pPr>
        <w:spacing w:line="360" w:lineRule="auto"/>
        <w:jc w:val="left"/>
        <w:rPr>
          <w:rFonts w:asciiTheme="minorEastAsia" w:hAnsiTheme="minorEastAsia"/>
          <w:sz w:val="24"/>
          <w:szCs w:val="24"/>
        </w:rPr>
      </w:pPr>
      <w:r>
        <w:rPr>
          <w:rFonts w:hint="eastAsia" w:cs="宋体" w:asciiTheme="minorEastAsia" w:hAnsiTheme="minorEastAsia"/>
          <w:b/>
          <w:kern w:val="0"/>
          <w:sz w:val="24"/>
          <w:szCs w:val="24"/>
        </w:rPr>
        <w:t>4.</w:t>
      </w:r>
      <w:r>
        <w:rPr>
          <w:rFonts w:hint="eastAsia" w:asciiTheme="minorEastAsia" w:hAnsiTheme="minorEastAsia"/>
          <w:b/>
          <w:sz w:val="24"/>
          <w:szCs w:val="24"/>
        </w:rPr>
        <w:t>抽屉轨道：</w:t>
      </w:r>
      <w:r>
        <w:rPr>
          <w:rFonts w:hint="eastAsia" w:asciiTheme="minorEastAsia" w:hAnsiTheme="minorEastAsia"/>
          <w:sz w:val="24"/>
          <w:szCs w:val="24"/>
        </w:rPr>
        <w:t>选用DTC带阻尼托底轨道，具有隐藏式、静音、自动复位功能，使用过程无噪音，使用寿命长，可自由开合10万次以上（符合QB/T2454-2013标准并提供检测报告）。</w:t>
      </w:r>
    </w:p>
    <w:p>
      <w:pPr>
        <w:spacing w:line="360" w:lineRule="auto"/>
        <w:jc w:val="left"/>
        <w:rPr>
          <w:rFonts w:asciiTheme="minorEastAsia" w:hAnsiTheme="minorEastAsia"/>
          <w:b/>
          <w:sz w:val="24"/>
          <w:szCs w:val="24"/>
        </w:rPr>
      </w:pPr>
      <w:r>
        <w:rPr>
          <w:rFonts w:hint="eastAsia" w:cs="Times New Roman" w:asciiTheme="minorEastAsia" w:hAnsiTheme="minorEastAsia"/>
          <w:b/>
          <w:kern w:val="0"/>
          <w:sz w:val="24"/>
          <w:szCs w:val="24"/>
        </w:rPr>
        <w:t>5.拉手：</w:t>
      </w:r>
      <w:r>
        <w:rPr>
          <w:rFonts w:hint="eastAsia" w:asciiTheme="minorEastAsia" w:hAnsiTheme="minorEastAsia"/>
          <w:sz w:val="24"/>
          <w:szCs w:val="24"/>
        </w:rPr>
        <w:t>拉手为欧式氧化铝，可提供多种颜色作为用户的个性化选择。</w:t>
      </w:r>
    </w:p>
    <w:p>
      <w:pPr>
        <w:spacing w:line="360" w:lineRule="auto"/>
        <w:jc w:val="left"/>
        <w:rPr>
          <w:rFonts w:asciiTheme="minorEastAsia" w:hAnsiTheme="minorEastAsia"/>
          <w:b/>
          <w:sz w:val="24"/>
          <w:szCs w:val="24"/>
        </w:rPr>
      </w:pPr>
      <w:r>
        <w:rPr>
          <w:rFonts w:hint="eastAsia" w:asciiTheme="minorEastAsia" w:hAnsiTheme="minorEastAsia"/>
          <w:b/>
          <w:sz w:val="24"/>
          <w:szCs w:val="24"/>
        </w:rPr>
        <w:t>（三）处置室吊柜、处置室上柜</w:t>
      </w:r>
    </w:p>
    <w:p>
      <w:pPr>
        <w:spacing w:line="360" w:lineRule="auto"/>
        <w:jc w:val="left"/>
        <w:rPr>
          <w:rFonts w:cs="宋体" w:asciiTheme="minorEastAsia" w:hAnsiTheme="minorEastAsia"/>
          <w:b/>
          <w:kern w:val="0"/>
          <w:sz w:val="24"/>
          <w:szCs w:val="24"/>
        </w:rPr>
      </w:pPr>
      <w:r>
        <w:rPr>
          <w:rFonts w:hint="eastAsia" w:cs="宋体" w:asciiTheme="minorEastAsia" w:hAnsiTheme="minorEastAsia"/>
          <w:b/>
          <w:kern w:val="0"/>
          <w:sz w:val="24"/>
          <w:szCs w:val="24"/>
        </w:rPr>
        <w:t>1.主体：</w:t>
      </w:r>
    </w:p>
    <w:p>
      <w:pPr>
        <w:spacing w:line="360" w:lineRule="auto"/>
        <w:jc w:val="left"/>
        <w:rPr>
          <w:rFonts w:asciiTheme="minorEastAsia" w:hAnsiTheme="minorEastAsia"/>
          <w:kern w:val="0"/>
          <w:sz w:val="24"/>
          <w:szCs w:val="24"/>
        </w:rPr>
      </w:pPr>
      <w:r>
        <w:rPr>
          <w:rFonts w:hint="eastAsia" w:asciiTheme="minorEastAsia" w:hAnsiTheme="minorEastAsia"/>
          <w:bCs/>
          <w:color w:val="000000"/>
          <w:sz w:val="24"/>
          <w:szCs w:val="24"/>
        </w:rPr>
        <w:t>（1）柜体、面板等选用双层不锈钢板框架结构，</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柜体面板厚度不小于18mm（双层不锈钢），</w:t>
      </w:r>
      <w:r>
        <w:rPr>
          <w:rFonts w:hint="eastAsia" w:asciiTheme="minorEastAsia" w:hAnsiTheme="minorEastAsia"/>
          <w:kern w:val="0"/>
          <w:sz w:val="24"/>
          <w:szCs w:val="24"/>
        </w:rPr>
        <w:t>双层不锈钢板内为发泡阻燃填充物，表面采用白色纳米覆膜技术，经落物撞击后表面涂层物不脱落，达到于原附着力一样。内胆全部采用纳米覆膜不锈钢本色涂层，达到不沾灰，无指纹，易清洗的要求。</w:t>
      </w:r>
    </w:p>
    <w:p>
      <w:pPr>
        <w:spacing w:line="360" w:lineRule="auto"/>
        <w:jc w:val="left"/>
        <w:rPr>
          <w:rFonts w:asciiTheme="minorEastAsia" w:hAnsiTheme="minorEastAsia"/>
          <w:kern w:val="0"/>
          <w:sz w:val="24"/>
          <w:szCs w:val="24"/>
        </w:rPr>
      </w:pPr>
      <w:r>
        <w:rPr>
          <w:rFonts w:hint="eastAsia" w:asciiTheme="minorEastAsia" w:hAnsiTheme="minorEastAsia"/>
          <w:kern w:val="0"/>
          <w:sz w:val="24"/>
          <w:szCs w:val="24"/>
        </w:rPr>
        <w:t>（2）</w:t>
      </w:r>
      <w:r>
        <w:rPr>
          <w:rFonts w:hint="eastAsia" w:asciiTheme="minorEastAsia" w:hAnsiTheme="minorEastAsia"/>
          <w:sz w:val="24"/>
          <w:szCs w:val="24"/>
        </w:rPr>
        <w:t>形状位置公差、外观性能要求、安全性能要求、力学性能要求符合GB/T 3325-2017《金属家具通用技术条件》要求并提供国家级检测报告。</w:t>
      </w:r>
    </w:p>
    <w:p>
      <w:pPr>
        <w:spacing w:line="360" w:lineRule="auto"/>
        <w:jc w:val="left"/>
        <w:rPr>
          <w:rFonts w:asciiTheme="minorEastAsia" w:hAnsiTheme="minorEastAsia"/>
          <w:kern w:val="0"/>
          <w:sz w:val="24"/>
          <w:szCs w:val="24"/>
        </w:rPr>
      </w:pPr>
      <w:r>
        <w:rPr>
          <w:rFonts w:hint="eastAsia" w:asciiTheme="minorEastAsia" w:hAnsiTheme="minorEastAsia"/>
          <w:sz w:val="24"/>
          <w:szCs w:val="24"/>
        </w:rPr>
        <w:t>（3）依据QB/T 1951.2-2013《金属家具 质量检验及质量评定》，对设计和生产的每一款柜型的顶板持续加载测试项目都符合客户要求，提供国家级检测顶底板持续加载650kg,2h试验合格报告。</w:t>
      </w:r>
    </w:p>
    <w:p>
      <w:pPr>
        <w:spacing w:line="360" w:lineRule="auto"/>
        <w:jc w:val="left"/>
        <w:rPr>
          <w:rFonts w:ascii="宋体" w:hAnsi="宋体" w:cs="宋体"/>
          <w:b/>
          <w:kern w:val="0"/>
          <w:sz w:val="24"/>
          <w:szCs w:val="24"/>
        </w:rPr>
      </w:pPr>
      <w:r>
        <w:rPr>
          <w:rFonts w:hint="eastAsia" w:ascii="宋体" w:hAnsi="宋体" w:cs="宋体"/>
          <w:b/>
          <w:kern w:val="0"/>
          <w:sz w:val="24"/>
          <w:szCs w:val="24"/>
        </w:rPr>
        <w:t>2.铰链开关：</w:t>
      </w:r>
      <w:r>
        <w:rPr>
          <w:rFonts w:hint="eastAsia" w:asciiTheme="minorEastAsia" w:hAnsiTheme="minorEastAsia"/>
          <w:sz w:val="24"/>
          <w:szCs w:val="24"/>
        </w:rPr>
        <w:t>选用DTC铰链，SUS304抛光不锈钢材质，永不生锈。铰链与柜体面水平角度＜15°时，柜门即可自行关闭，阻尼闭合，无碰撞。开启角度大于110°，附防滑落安全装置</w:t>
      </w:r>
      <w:r>
        <w:rPr>
          <w:rFonts w:hint="eastAsia" w:cs="宋体" w:asciiTheme="minorEastAsia" w:hAnsiTheme="minorEastAsia"/>
          <w:kern w:val="0"/>
          <w:sz w:val="24"/>
          <w:szCs w:val="24"/>
        </w:rPr>
        <w:t>。</w:t>
      </w:r>
    </w:p>
    <w:p>
      <w:pPr>
        <w:spacing w:line="360" w:lineRule="auto"/>
        <w:jc w:val="left"/>
        <w:rPr>
          <w:rFonts w:asciiTheme="minorEastAsia" w:hAnsiTheme="minorEastAsia"/>
          <w:b/>
          <w:sz w:val="24"/>
          <w:szCs w:val="24"/>
        </w:rPr>
      </w:pPr>
      <w:r>
        <w:rPr>
          <w:rFonts w:hint="eastAsia" w:ascii="宋体" w:hAnsi="宋体" w:cs="宋体"/>
          <w:b/>
          <w:kern w:val="0"/>
          <w:sz w:val="24"/>
          <w:szCs w:val="24"/>
        </w:rPr>
        <w:t>3.拉手：</w:t>
      </w:r>
      <w:r>
        <w:rPr>
          <w:rFonts w:hint="eastAsia" w:asciiTheme="minorEastAsia" w:hAnsiTheme="minorEastAsia"/>
          <w:sz w:val="24"/>
          <w:szCs w:val="24"/>
        </w:rPr>
        <w:t>拉手为欧式氧化铝，可提供多种颜色作为用户的个性化选择。</w:t>
      </w:r>
    </w:p>
    <w:p>
      <w:pPr>
        <w:spacing w:line="360" w:lineRule="auto"/>
        <w:jc w:val="left"/>
        <w:rPr>
          <w:rFonts w:asciiTheme="minorEastAsia" w:hAnsiTheme="minorEastAsia"/>
          <w:b/>
          <w:sz w:val="24"/>
          <w:szCs w:val="24"/>
        </w:rPr>
      </w:pPr>
      <w:r>
        <w:rPr>
          <w:rFonts w:hint="eastAsia" w:asciiTheme="minorEastAsia" w:hAnsiTheme="minorEastAsia"/>
          <w:b/>
          <w:sz w:val="24"/>
          <w:szCs w:val="24"/>
        </w:rPr>
        <w:t>（四）模型柜、无菌暂存台上柜、器械室器械柜</w:t>
      </w:r>
    </w:p>
    <w:p>
      <w:pPr>
        <w:spacing w:line="360" w:lineRule="auto"/>
        <w:jc w:val="left"/>
        <w:rPr>
          <w:rFonts w:cs="宋体" w:asciiTheme="minorEastAsia" w:hAnsiTheme="minorEastAsia"/>
          <w:b/>
          <w:kern w:val="0"/>
          <w:sz w:val="24"/>
          <w:szCs w:val="24"/>
        </w:rPr>
      </w:pPr>
      <w:r>
        <w:rPr>
          <w:rFonts w:hint="eastAsia" w:cs="宋体" w:asciiTheme="minorEastAsia" w:hAnsiTheme="minorEastAsia"/>
          <w:b/>
          <w:kern w:val="0"/>
          <w:sz w:val="24"/>
          <w:szCs w:val="24"/>
        </w:rPr>
        <w:t>1.主体：</w:t>
      </w:r>
    </w:p>
    <w:p>
      <w:pPr>
        <w:spacing w:line="360" w:lineRule="auto"/>
        <w:jc w:val="left"/>
        <w:rPr>
          <w:rFonts w:asciiTheme="minorEastAsia" w:hAnsiTheme="minorEastAsia"/>
          <w:kern w:val="0"/>
          <w:sz w:val="24"/>
          <w:szCs w:val="24"/>
        </w:rPr>
      </w:pPr>
      <w:r>
        <w:rPr>
          <w:rFonts w:hint="eastAsia" w:cs="宋体" w:asciiTheme="minorEastAsia" w:hAnsiTheme="minorEastAsia"/>
          <w:kern w:val="0"/>
          <w:sz w:val="24"/>
          <w:szCs w:val="24"/>
        </w:rPr>
        <w:t>（1）</w:t>
      </w:r>
      <w:r>
        <w:rPr>
          <w:rFonts w:hint="eastAsia" w:asciiTheme="minorEastAsia" w:hAnsiTheme="minorEastAsia"/>
          <w:bCs/>
          <w:color w:val="000000"/>
          <w:sz w:val="24"/>
        </w:rPr>
        <w:t>柜体、面板等选用双层不锈钢板框架结构，</w:t>
      </w:r>
      <w:r>
        <w:rPr>
          <w:rFonts w:hint="eastAsia" w:cs="宋体" w:asciiTheme="minorEastAsia" w:hAnsiTheme="minorEastAsia"/>
          <w:kern w:val="0"/>
          <w:sz w:val="24"/>
          <w:szCs w:val="24"/>
        </w:rPr>
        <w:t>每个柜体最下方的踢脚板和柜体为一体。柜体面板厚度不小于18mm（双层不锈钢），</w:t>
      </w:r>
      <w:r>
        <w:rPr>
          <w:rFonts w:hint="eastAsia" w:asciiTheme="minorEastAsia" w:hAnsiTheme="minorEastAsia"/>
          <w:kern w:val="0"/>
          <w:sz w:val="24"/>
          <w:szCs w:val="24"/>
        </w:rPr>
        <w:t>双层不锈钢板内为发泡阻燃填充物，表面采用白色纳米覆膜技术，经落物撞击后表面涂层物不脱落，达到于原附着力一样。内胆全部采用纳米覆膜不锈钢本色涂层，达到不沾灰，无指纹，易清洗的要求。</w:t>
      </w:r>
    </w:p>
    <w:p>
      <w:pPr>
        <w:spacing w:line="360" w:lineRule="auto"/>
        <w:jc w:val="left"/>
        <w:rPr>
          <w:rFonts w:asciiTheme="minorEastAsia" w:hAnsiTheme="minorEastAsia"/>
          <w:kern w:val="0"/>
          <w:sz w:val="24"/>
          <w:szCs w:val="24"/>
        </w:rPr>
      </w:pPr>
      <w:r>
        <w:rPr>
          <w:rFonts w:hint="eastAsia" w:asciiTheme="minorEastAsia" w:hAnsiTheme="minorEastAsia"/>
          <w:kern w:val="0"/>
          <w:sz w:val="24"/>
          <w:szCs w:val="24"/>
        </w:rPr>
        <w:t>（2）</w:t>
      </w:r>
      <w:r>
        <w:rPr>
          <w:rFonts w:hint="eastAsia" w:asciiTheme="minorEastAsia" w:hAnsiTheme="minorEastAsia"/>
          <w:sz w:val="24"/>
          <w:szCs w:val="24"/>
        </w:rPr>
        <w:t>形状位置公差、外观性能要求、安全性能要求、力学性能要求符合GB/T 3325-2017《金属家具通用技术条件》要求并提供国家级检测报告。</w:t>
      </w:r>
    </w:p>
    <w:p>
      <w:pPr>
        <w:spacing w:line="360" w:lineRule="auto"/>
        <w:jc w:val="left"/>
        <w:rPr>
          <w:rFonts w:asciiTheme="minorEastAsia" w:hAnsiTheme="minorEastAsia"/>
          <w:kern w:val="0"/>
          <w:sz w:val="24"/>
          <w:szCs w:val="24"/>
        </w:rPr>
      </w:pPr>
      <w:r>
        <w:rPr>
          <w:rFonts w:hint="eastAsia" w:asciiTheme="minorEastAsia" w:hAnsiTheme="minorEastAsia"/>
          <w:sz w:val="24"/>
          <w:szCs w:val="24"/>
        </w:rPr>
        <w:t>（3）依据QB/T 1951.2-2013《金属家具 质量检验及质量评定》，对设计和生产的每一款柜型的顶板持续加载测试项目都符合客户要求，提供国家级检测顶底板持续加载650kg,2h试验合格报告。</w:t>
      </w:r>
    </w:p>
    <w:p>
      <w:pPr>
        <w:spacing w:line="360" w:lineRule="auto"/>
        <w:jc w:val="left"/>
        <w:rPr>
          <w:rFonts w:ascii="宋体" w:hAnsi="宋体" w:cs="宋体"/>
          <w:b/>
          <w:kern w:val="0"/>
          <w:sz w:val="24"/>
        </w:rPr>
      </w:pPr>
      <w:r>
        <w:rPr>
          <w:rFonts w:hint="eastAsia" w:ascii="宋体" w:hAnsi="宋体" w:cs="宋体"/>
          <w:b/>
          <w:kern w:val="0"/>
          <w:sz w:val="24"/>
        </w:rPr>
        <w:t>2.铰链开关：</w:t>
      </w:r>
      <w:r>
        <w:rPr>
          <w:rFonts w:hint="eastAsia" w:asciiTheme="minorEastAsia" w:hAnsiTheme="minorEastAsia"/>
          <w:sz w:val="24"/>
        </w:rPr>
        <w:t>选用DTC</w:t>
      </w:r>
      <w:r>
        <w:rPr>
          <w:rFonts w:hint="eastAsia" w:asciiTheme="minorEastAsia" w:hAnsiTheme="minorEastAsia"/>
          <w:sz w:val="24"/>
          <w:szCs w:val="24"/>
        </w:rPr>
        <w:t>铰链，</w:t>
      </w:r>
      <w:r>
        <w:rPr>
          <w:rFonts w:hint="eastAsia" w:asciiTheme="minorEastAsia" w:hAnsiTheme="minorEastAsia"/>
          <w:sz w:val="24"/>
        </w:rPr>
        <w:t>SUS304抛光不锈钢材质，永不生锈。铰链与柜体面水平角度＜15°时，柜门即可自行关闭，阻尼闭合，无碰撞。开启角度大于110°，附防滑落安全装置</w:t>
      </w:r>
      <w:r>
        <w:rPr>
          <w:rFonts w:hint="eastAsia" w:cs="宋体" w:asciiTheme="minorEastAsia" w:hAnsiTheme="minorEastAsia"/>
          <w:kern w:val="0"/>
          <w:sz w:val="24"/>
        </w:rPr>
        <w:t>。</w:t>
      </w:r>
    </w:p>
    <w:p>
      <w:pPr>
        <w:spacing w:line="360" w:lineRule="auto"/>
        <w:jc w:val="left"/>
        <w:rPr>
          <w:rFonts w:ascii="宋体" w:hAnsi="宋体" w:cs="宋体"/>
          <w:kern w:val="0"/>
          <w:sz w:val="24"/>
        </w:rPr>
      </w:pPr>
      <w:r>
        <w:rPr>
          <w:rFonts w:hint="eastAsia" w:ascii="宋体" w:hAnsi="宋体" w:cs="宋体"/>
          <w:b/>
          <w:kern w:val="0"/>
          <w:sz w:val="24"/>
        </w:rPr>
        <w:t>3.柜门：</w:t>
      </w:r>
      <w:r>
        <w:rPr>
          <w:rFonts w:hint="eastAsia" w:ascii="宋体" w:hAnsi="宋体" w:cs="宋体"/>
          <w:kern w:val="0"/>
          <w:sz w:val="24"/>
        </w:rPr>
        <w:t>玻璃门，内有层板，层板双层不锈钢板。</w:t>
      </w:r>
    </w:p>
    <w:p>
      <w:pPr>
        <w:spacing w:line="360" w:lineRule="auto"/>
        <w:jc w:val="left"/>
        <w:rPr>
          <w:rFonts w:ascii="宋体" w:hAnsi="宋体" w:cs="宋体"/>
          <w:kern w:val="0"/>
          <w:sz w:val="24"/>
        </w:rPr>
      </w:pPr>
      <w:r>
        <w:rPr>
          <w:rFonts w:hint="eastAsia" w:ascii="宋体" w:hAnsi="宋体" w:cs="宋体"/>
          <w:b/>
          <w:kern w:val="0"/>
          <w:sz w:val="24"/>
        </w:rPr>
        <w:t>4.拉手：</w:t>
      </w:r>
      <w:r>
        <w:rPr>
          <w:rFonts w:hint="eastAsia" w:asciiTheme="minorEastAsia" w:hAnsiTheme="minorEastAsia"/>
          <w:sz w:val="24"/>
          <w:szCs w:val="24"/>
        </w:rPr>
        <w:t>拉手为欧式氧化铝，可提供多种颜色作为用户的个性化选择。</w:t>
      </w:r>
    </w:p>
    <w:p>
      <w:pPr>
        <w:spacing w:line="360" w:lineRule="auto"/>
        <w:jc w:val="left"/>
        <w:rPr>
          <w:rFonts w:asciiTheme="minorEastAsia" w:hAnsiTheme="minorEastAsia"/>
          <w:b/>
          <w:sz w:val="24"/>
          <w:szCs w:val="24"/>
        </w:rPr>
      </w:pPr>
      <w:r>
        <w:rPr>
          <w:rFonts w:hint="eastAsia" w:asciiTheme="minorEastAsia" w:hAnsiTheme="minorEastAsia"/>
          <w:b/>
          <w:sz w:val="24"/>
          <w:szCs w:val="24"/>
        </w:rPr>
        <w:t>（五）诊室台上柜、吊柜</w:t>
      </w:r>
    </w:p>
    <w:p>
      <w:pPr>
        <w:spacing w:line="360" w:lineRule="auto"/>
        <w:jc w:val="left"/>
        <w:rPr>
          <w:rFonts w:asciiTheme="minorEastAsia" w:hAnsiTheme="minorEastAsia"/>
          <w:b/>
          <w:sz w:val="24"/>
          <w:szCs w:val="24"/>
        </w:rPr>
      </w:pPr>
      <w:r>
        <w:rPr>
          <w:rFonts w:hint="eastAsia" w:asciiTheme="minorEastAsia" w:hAnsiTheme="minorEastAsia"/>
          <w:b/>
          <w:sz w:val="24"/>
          <w:szCs w:val="24"/>
        </w:rPr>
        <w:t>1.主体：</w:t>
      </w:r>
      <w:r>
        <w:rPr>
          <w:rFonts w:hint="eastAsia" w:asciiTheme="minorEastAsia" w:hAnsiTheme="minorEastAsia"/>
          <w:b/>
          <w:sz w:val="24"/>
          <w:szCs w:val="24"/>
        </w:rPr>
        <w:cr/>
      </w:r>
      <w:r>
        <w:rPr>
          <w:rFonts w:hint="eastAsia" w:asciiTheme="minorEastAsia" w:hAnsiTheme="minorEastAsia"/>
          <w:sz w:val="24"/>
          <w:szCs w:val="24"/>
        </w:rPr>
        <w:t>（1）柜体采用电解镀锌钢板为框架结构，钢板厚度≥1.0mm。主体框架另加承重钢板及内衬结构，保证足够的承重强度，低噪音，表面防锈、防酸、防碱、防静电、耐腐蚀，抗老化。框架结构设计可按照临床需求进行多种组合。</w:t>
      </w:r>
      <w:r>
        <w:rPr>
          <w:rFonts w:hint="eastAsia" w:asciiTheme="minorEastAsia" w:hAnsiTheme="minorEastAsia"/>
          <w:sz w:val="24"/>
          <w:szCs w:val="24"/>
        </w:rPr>
        <w:cr/>
      </w:r>
      <w:r>
        <w:rPr>
          <w:rFonts w:hint="eastAsia" w:asciiTheme="minorEastAsia" w:hAnsiTheme="minorEastAsia"/>
          <w:sz w:val="24"/>
          <w:szCs w:val="24"/>
        </w:rPr>
        <w:t>（2）表面经喷塑处理，可按照临床需求进行调色。粉末涂料中，铅、镉、汞、六价铬、多溴联苯、多溴二苯醚、邻苯二甲酸二（2-乙基）己酯，邻苯二甲酸丁基苄基酯、邻苯二甲酸二丁酯和邻苯二甲酸二异丁酯含量符合欧盟RoHS指令2011/65/EU（RoHS2.0）及其修正指令（EU）2015/863的限值要求（提供符合性检测报告）。</w:t>
      </w:r>
      <w:r>
        <w:rPr>
          <w:rFonts w:hint="eastAsia" w:asciiTheme="minorEastAsia" w:hAnsiTheme="minorEastAsia"/>
          <w:b/>
          <w:sz w:val="24"/>
          <w:szCs w:val="24"/>
        </w:rPr>
        <w:cr/>
      </w:r>
      <w:r>
        <w:rPr>
          <w:rFonts w:hint="eastAsia" w:asciiTheme="minorEastAsia" w:hAnsiTheme="minorEastAsia"/>
          <w:sz w:val="24"/>
          <w:szCs w:val="24"/>
        </w:rPr>
        <w:t>（3）形状位置公差、外观性能要求、安全性能要求、力学性能要求符合GB/T 3325-2017《金属家具通用技术条件》要求并提供国家级检测报告。</w:t>
      </w:r>
      <w:r>
        <w:rPr>
          <w:rFonts w:hint="eastAsia" w:asciiTheme="minorEastAsia" w:hAnsiTheme="minorEastAsia"/>
          <w:sz w:val="24"/>
          <w:szCs w:val="24"/>
        </w:rPr>
        <w:cr/>
      </w:r>
      <w:r>
        <w:rPr>
          <w:rFonts w:hint="eastAsia" w:asciiTheme="minorEastAsia" w:hAnsiTheme="minorEastAsia"/>
          <w:sz w:val="24"/>
          <w:szCs w:val="24"/>
        </w:rPr>
        <w:t>（4）依据QB/T 1951.2-2013《金属家具 质量检验及质量评定》，对设计和生产的每一款柜型的顶板持续加载测试项目都符合客户要求，提供国家级检测顶底板持续加载650kg,2h试验合格报告。</w:t>
      </w:r>
      <w:r>
        <w:rPr>
          <w:rFonts w:hint="eastAsia" w:asciiTheme="minorEastAsia" w:hAnsiTheme="minorEastAsia"/>
          <w:sz w:val="24"/>
          <w:szCs w:val="24"/>
        </w:rPr>
        <w:cr/>
      </w:r>
      <w:r>
        <w:rPr>
          <w:rFonts w:hint="eastAsia" w:asciiTheme="minorEastAsia" w:hAnsiTheme="minorEastAsia"/>
          <w:b/>
          <w:sz w:val="24"/>
          <w:szCs w:val="24"/>
        </w:rPr>
        <w:t>2.铰链开关：</w:t>
      </w:r>
      <w:r>
        <w:rPr>
          <w:rFonts w:hint="eastAsia" w:asciiTheme="minorEastAsia" w:hAnsiTheme="minorEastAsia"/>
          <w:sz w:val="24"/>
          <w:szCs w:val="24"/>
        </w:rPr>
        <w:t>选用DTC铰链，SUS304抛光不锈钢材质，永不生锈。铰链与柜体面水平角度＜15°时，柜门即可自行关闭，阻尼闭合，无碰撞。开启角度大于110°，附防滑落安全装置。</w:t>
      </w:r>
    </w:p>
    <w:p>
      <w:pPr>
        <w:spacing w:line="360" w:lineRule="auto"/>
        <w:jc w:val="left"/>
        <w:rPr>
          <w:rFonts w:asciiTheme="minorEastAsia" w:hAnsiTheme="minorEastAsia"/>
          <w:b/>
          <w:sz w:val="24"/>
          <w:szCs w:val="24"/>
        </w:rPr>
      </w:pPr>
      <w:r>
        <w:rPr>
          <w:rFonts w:hint="eastAsia" w:asciiTheme="minorEastAsia" w:hAnsiTheme="minorEastAsia"/>
          <w:b/>
          <w:sz w:val="24"/>
          <w:szCs w:val="24"/>
        </w:rPr>
        <w:t>3.拉手：</w:t>
      </w:r>
      <w:r>
        <w:rPr>
          <w:rFonts w:hint="eastAsia" w:asciiTheme="minorEastAsia" w:hAnsiTheme="minorEastAsia"/>
          <w:sz w:val="24"/>
          <w:szCs w:val="24"/>
        </w:rPr>
        <w:t>拉手为欧式氧化铝，可提供多种颜色作为用户的个性化选择。</w:t>
      </w:r>
      <w:r>
        <w:rPr>
          <w:rFonts w:asciiTheme="minorEastAsia" w:hAnsiTheme="minorEastAsia"/>
          <w:sz w:val="24"/>
          <w:szCs w:val="24"/>
        </w:rPr>
        <w:cr/>
      </w:r>
      <w:r>
        <w:rPr>
          <w:rFonts w:hint="eastAsia" w:asciiTheme="minorEastAsia" w:hAnsiTheme="minorEastAsia"/>
          <w:b/>
          <w:sz w:val="24"/>
          <w:szCs w:val="24"/>
        </w:rPr>
        <w:t>（六）诊室水池柜、台面</w:t>
      </w:r>
    </w:p>
    <w:p>
      <w:pPr>
        <w:spacing w:line="360" w:lineRule="auto"/>
        <w:jc w:val="left"/>
        <w:rPr>
          <w:rFonts w:asciiTheme="minorEastAsia" w:hAnsiTheme="minorEastAsia"/>
          <w:b/>
          <w:sz w:val="24"/>
          <w:szCs w:val="24"/>
        </w:rPr>
      </w:pPr>
      <w:r>
        <w:rPr>
          <w:rFonts w:hint="eastAsia" w:asciiTheme="minorEastAsia" w:hAnsiTheme="minorEastAsia"/>
          <w:b/>
          <w:sz w:val="24"/>
          <w:szCs w:val="24"/>
        </w:rPr>
        <w:t>1.主体：</w:t>
      </w:r>
      <w:r>
        <w:rPr>
          <w:rFonts w:hint="eastAsia" w:asciiTheme="minorEastAsia" w:hAnsiTheme="minorEastAsia"/>
          <w:b/>
          <w:sz w:val="24"/>
          <w:szCs w:val="24"/>
        </w:rPr>
        <w:cr/>
      </w:r>
      <w:r>
        <w:rPr>
          <w:rFonts w:hint="eastAsia" w:asciiTheme="minorEastAsia" w:hAnsiTheme="minorEastAsia"/>
          <w:sz w:val="24"/>
          <w:szCs w:val="24"/>
        </w:rPr>
        <w:t>（1）柜体采用电解镀锌钢板为框架结构，钢板厚度≥1.0mm。主体框架另加承重钢板及内衬结构，保证足够的承重强度，低噪音，表面防锈、防酸、防碱、防静电、耐腐蚀，抗老化。框架结构设计可按照临床需求进行多种组合。</w:t>
      </w:r>
      <w:r>
        <w:rPr>
          <w:rFonts w:hint="eastAsia" w:asciiTheme="minorEastAsia" w:hAnsiTheme="minorEastAsia"/>
          <w:sz w:val="24"/>
          <w:szCs w:val="24"/>
        </w:rPr>
        <w:cr/>
      </w:r>
      <w:r>
        <w:rPr>
          <w:rFonts w:hint="eastAsia" w:asciiTheme="minorEastAsia" w:hAnsiTheme="minorEastAsia"/>
          <w:sz w:val="24"/>
          <w:szCs w:val="24"/>
        </w:rPr>
        <w:t>（2）柜体下方的踢脚板和柜体为一体，耐腐蚀调节脚。</w:t>
      </w:r>
      <w:r>
        <w:rPr>
          <w:rFonts w:hint="eastAsia" w:asciiTheme="minorEastAsia" w:hAnsiTheme="minorEastAsia"/>
          <w:sz w:val="24"/>
          <w:szCs w:val="24"/>
        </w:rPr>
        <w:cr/>
      </w:r>
      <w:r>
        <w:rPr>
          <w:rFonts w:hint="eastAsia" w:asciiTheme="minorEastAsia" w:hAnsiTheme="minorEastAsia"/>
          <w:sz w:val="24"/>
          <w:szCs w:val="24"/>
        </w:rPr>
        <w:t>（3）表面经喷塑处理，可按照临床需求进行调色。粉末涂料中，铅、镉、汞、六价铬、多溴联苯、多溴二苯醚、邻苯二甲酸二（2-乙基）己酯，邻苯二甲酸丁基苄基酯、邻苯二甲酸二丁酯和邻苯二甲酸二异丁酯含量符合欧盟RoHS指令2011/65/EU（RoHS2.0）及其修正指令（EU）2015/863的限值要求（提供符合性检测报告）。</w:t>
      </w:r>
      <w:r>
        <w:rPr>
          <w:rFonts w:hint="eastAsia" w:asciiTheme="minorEastAsia" w:hAnsiTheme="minorEastAsia"/>
          <w:sz w:val="24"/>
          <w:szCs w:val="24"/>
        </w:rPr>
        <w:cr/>
      </w:r>
      <w:r>
        <w:rPr>
          <w:rFonts w:hint="eastAsia" w:asciiTheme="minorEastAsia" w:hAnsiTheme="minorEastAsia"/>
          <w:sz w:val="24"/>
          <w:szCs w:val="24"/>
        </w:rPr>
        <w:t>（4）形状位置公差、外观性能要求、安全性能要求、力学性能要求符合GB/T 3325-2017《金属家具通用技术条件》要求并提供国家级检测报告。</w:t>
      </w:r>
      <w:r>
        <w:rPr>
          <w:rFonts w:hint="eastAsia" w:asciiTheme="minorEastAsia" w:hAnsiTheme="minorEastAsia"/>
          <w:sz w:val="24"/>
          <w:szCs w:val="24"/>
        </w:rPr>
        <w:cr/>
      </w:r>
      <w:r>
        <w:rPr>
          <w:rFonts w:hint="eastAsia" w:asciiTheme="minorEastAsia" w:hAnsiTheme="minorEastAsia"/>
          <w:sz w:val="24"/>
          <w:szCs w:val="24"/>
        </w:rPr>
        <w:t>（5）依据QB/T 1951.2-2013《金属家具 质量检验及质量评定》，对设计和生产的每一款柜型的顶板持续加载测试项目都符合客户要求，提供国家级检测顶底板持续加载650kg,2h试验合格报告。</w:t>
      </w:r>
      <w:r>
        <w:rPr>
          <w:rFonts w:hint="eastAsia" w:asciiTheme="minorEastAsia" w:hAnsiTheme="minorEastAsia"/>
          <w:sz w:val="24"/>
          <w:szCs w:val="24"/>
        </w:rPr>
        <w:cr/>
      </w:r>
      <w:r>
        <w:rPr>
          <w:rFonts w:hint="eastAsia" w:asciiTheme="minorEastAsia" w:hAnsiTheme="minorEastAsia"/>
          <w:b/>
          <w:sz w:val="24"/>
          <w:szCs w:val="24"/>
        </w:rPr>
        <w:t>2.台面：</w:t>
      </w:r>
      <w:r>
        <w:rPr>
          <w:rFonts w:hint="eastAsia" w:asciiTheme="minorEastAsia" w:hAnsiTheme="minorEastAsia"/>
          <w:b/>
          <w:sz w:val="24"/>
          <w:szCs w:val="24"/>
        </w:rPr>
        <w:cr/>
      </w:r>
      <w:r>
        <w:rPr>
          <w:rFonts w:hint="eastAsia" w:asciiTheme="minorEastAsia" w:hAnsiTheme="minorEastAsia"/>
          <w:sz w:val="24"/>
          <w:szCs w:val="24"/>
        </w:rPr>
        <w:t>（1）选用人造大理石台面，台面的耐磨性、耐污染性、耐化学药品性、耐高温性、放射性、阻燃性符合JC/T 908-2013《人造石》并具有国家级检测报告。</w:t>
      </w:r>
      <w:r>
        <w:rPr>
          <w:rFonts w:hint="eastAsia" w:asciiTheme="minorEastAsia" w:hAnsiTheme="minorEastAsia"/>
          <w:sz w:val="24"/>
          <w:szCs w:val="24"/>
        </w:rPr>
        <w:cr/>
      </w:r>
      <w:r>
        <w:rPr>
          <w:rFonts w:hint="eastAsia" w:asciiTheme="minorEastAsia" w:hAnsiTheme="minorEastAsia"/>
          <w:sz w:val="24"/>
          <w:szCs w:val="24"/>
        </w:rPr>
        <w:t>（2）台面的大肠杆菌、金黄色葡萄球菌、白色念珠菌、铜绿假单胞菌抗菌率符合GB/T21866-2008标准并提供检测报告。</w:t>
      </w:r>
      <w:r>
        <w:rPr>
          <w:rFonts w:hint="eastAsia" w:asciiTheme="minorEastAsia" w:hAnsiTheme="minorEastAsia"/>
          <w:sz w:val="24"/>
          <w:szCs w:val="24"/>
        </w:rPr>
        <w:cr/>
      </w:r>
      <w:r>
        <w:rPr>
          <w:rFonts w:hint="eastAsia" w:asciiTheme="minorEastAsia" w:hAnsiTheme="minorEastAsia"/>
          <w:sz w:val="24"/>
          <w:szCs w:val="24"/>
        </w:rPr>
        <w:t>（3）台面需设计有40mm后挡水，为保证台面的牢固性和平整度，台面下方增加两条宽40mm，厚5mm的加强筋，与台面齐长，台面整体厚度是12mm，前沿下挂28mm，为防止洗手水溅出后外流污染台面，设计为沉降式水池，沉降区规格为：长665mm宽440mm高1mm，洗手盆规格为长430mm宽305mm。边缘加厚并作弧形处理,台面和水槽及挡水边采用模具一次压注成型，无接缝，具备防渗透着色功能，方便表面清洁。</w:t>
      </w:r>
      <w:r>
        <w:rPr>
          <w:rFonts w:hint="eastAsia" w:asciiTheme="minorEastAsia" w:hAnsiTheme="minorEastAsia"/>
          <w:sz w:val="24"/>
          <w:szCs w:val="24"/>
        </w:rPr>
        <w:cr/>
      </w:r>
      <w:r>
        <w:rPr>
          <w:rFonts w:hint="eastAsia" w:asciiTheme="minorEastAsia" w:hAnsiTheme="minorEastAsia"/>
          <w:b/>
          <w:sz w:val="24"/>
          <w:szCs w:val="24"/>
        </w:rPr>
        <w:t>3.抽屉轨道：</w:t>
      </w:r>
      <w:r>
        <w:rPr>
          <w:rFonts w:hint="eastAsia" w:asciiTheme="minorEastAsia" w:hAnsiTheme="minorEastAsia"/>
          <w:sz w:val="24"/>
          <w:szCs w:val="24"/>
        </w:rPr>
        <w:t>选用DTC带阻尼托底轨道，具有隐藏式、静音、自动复位功能，使用过程无噪音，使用寿命长，可自由开合10万次以上（符合QB/T2454-2013标准并提供检测报告）。</w:t>
      </w:r>
      <w:r>
        <w:rPr>
          <w:rFonts w:hint="eastAsia" w:asciiTheme="minorEastAsia" w:hAnsiTheme="minorEastAsia"/>
          <w:sz w:val="24"/>
          <w:szCs w:val="24"/>
        </w:rPr>
        <w:cr/>
      </w:r>
      <w:r>
        <w:rPr>
          <w:rFonts w:hint="eastAsia" w:asciiTheme="minorEastAsia" w:hAnsiTheme="minorEastAsia"/>
          <w:b/>
          <w:sz w:val="24"/>
          <w:szCs w:val="24"/>
        </w:rPr>
        <w:t>4.铰链开关：</w:t>
      </w:r>
      <w:r>
        <w:rPr>
          <w:rFonts w:hint="eastAsia" w:asciiTheme="minorEastAsia" w:hAnsiTheme="minorEastAsia"/>
          <w:sz w:val="24"/>
          <w:szCs w:val="24"/>
        </w:rPr>
        <w:t>选用DTC铰链，SUS304抛光不锈钢材质，永不生锈。铰链与柜体面水平角度＜15°时，柜门即可自行关闭，阻尼闭合，无碰撞。开启角度大于110°，附防滑落安全装置。</w:t>
      </w:r>
      <w:r>
        <w:rPr>
          <w:rFonts w:hint="eastAsia" w:asciiTheme="minorEastAsia" w:hAnsiTheme="minorEastAsia"/>
          <w:b/>
          <w:sz w:val="24"/>
          <w:szCs w:val="24"/>
        </w:rPr>
        <w:cr/>
      </w:r>
      <w:r>
        <w:rPr>
          <w:rFonts w:hint="eastAsia" w:asciiTheme="minorEastAsia" w:hAnsiTheme="minorEastAsia"/>
          <w:b/>
          <w:sz w:val="24"/>
          <w:szCs w:val="24"/>
        </w:rPr>
        <w:t>5.抽屉搁盘：</w:t>
      </w:r>
      <w:r>
        <w:rPr>
          <w:rFonts w:hint="eastAsia" w:asciiTheme="minorEastAsia" w:hAnsiTheme="minorEastAsia"/>
          <w:sz w:val="24"/>
          <w:szCs w:val="24"/>
        </w:rPr>
        <w:t>考虑到口腔科各科室材料规格不一、尺寸各异的特点，并且根据临床专业的要求，分隔盘中插排可任意调整，满足正畸科和修复科、牙体牙髓科、外科、牙周科、VIP等各科室的专用器具摆放要求，并可取出清洗和消毒。采用ABS板材，提供多种规格可供选择。</w:t>
      </w:r>
      <w:r>
        <w:rPr>
          <w:rFonts w:hint="eastAsia" w:asciiTheme="minorEastAsia" w:hAnsiTheme="minorEastAsia"/>
          <w:sz w:val="24"/>
          <w:szCs w:val="24"/>
        </w:rPr>
        <w:cr/>
      </w:r>
      <w:r>
        <w:rPr>
          <w:rFonts w:hint="eastAsia" w:asciiTheme="minorEastAsia" w:hAnsiTheme="minorEastAsia"/>
          <w:b/>
          <w:sz w:val="24"/>
          <w:szCs w:val="24"/>
        </w:rPr>
        <w:t>6.洗手及用水设施：</w:t>
      </w:r>
      <w:r>
        <w:rPr>
          <w:rFonts w:hint="eastAsia" w:asciiTheme="minorEastAsia" w:hAnsiTheme="minorEastAsia"/>
          <w:sz w:val="24"/>
          <w:szCs w:val="24"/>
        </w:rPr>
        <w:t>选用辉煌牌医用优质全铜水龙头（可肘开设计），水龙头表面采用镀铬处理，耐酸碱，耐锈蚀。水龙头抗水压机械性能、密封性能、流量符合GB18145 -2014《陶瓷片密封水嘴》标准并提供检报告电子脚控式出水（满足院感要求），脚控装置采用DELIXI双控2个独立电磁阀，可热水与冷水交换出水，可根据牙科印模材需要的水量大小来调试。</w:t>
      </w:r>
      <w:r>
        <w:rPr>
          <w:rFonts w:hint="eastAsia" w:asciiTheme="minorEastAsia" w:hAnsiTheme="minorEastAsia"/>
          <w:sz w:val="24"/>
          <w:szCs w:val="24"/>
        </w:rPr>
        <w:cr/>
      </w:r>
      <w:r>
        <w:rPr>
          <w:rFonts w:hint="eastAsia" w:asciiTheme="minorEastAsia" w:hAnsiTheme="minorEastAsia"/>
          <w:sz w:val="24"/>
          <w:szCs w:val="24"/>
        </w:rPr>
        <w:t>以方便调试牙科印模材需要的水量大小。</w:t>
      </w:r>
      <w:r>
        <w:rPr>
          <w:rFonts w:hint="eastAsia" w:asciiTheme="minorEastAsia" w:hAnsiTheme="minorEastAsia"/>
          <w:sz w:val="24"/>
          <w:szCs w:val="24"/>
        </w:rPr>
        <w:cr/>
      </w:r>
      <w:r>
        <w:rPr>
          <w:rFonts w:hint="eastAsia" w:asciiTheme="minorEastAsia" w:hAnsiTheme="minorEastAsia"/>
          <w:b/>
          <w:sz w:val="24"/>
          <w:szCs w:val="24"/>
        </w:rPr>
        <w:t>7.</w:t>
      </w:r>
      <w:r>
        <w:rPr>
          <w:rFonts w:hint="eastAsia" w:cs="宋体" w:asciiTheme="minorEastAsia" w:hAnsiTheme="minorEastAsia"/>
          <w:b/>
          <w:kern w:val="0"/>
          <w:sz w:val="24"/>
          <w:szCs w:val="24"/>
        </w:rPr>
        <w:t>生活垃圾桶：</w:t>
      </w:r>
      <w:r>
        <w:rPr>
          <w:rFonts w:hint="eastAsia" w:cs="宋体" w:asciiTheme="minorEastAsia" w:hAnsiTheme="minorEastAsia"/>
          <w:kern w:val="0"/>
          <w:sz w:val="24"/>
          <w:szCs w:val="24"/>
        </w:rPr>
        <w:t>隐蔽于洗手盆下方，垃圾桶尺寸大小与水池柜内径大小一致，避免垃圾掉落至垃圾桶外，难于清理，投放口采用西门子电吸开关，无易损配件，使用寿命更长。操作方便，避免二次污染,合页采用滚珠合页，可自由开合1万次以上，气撑采用液压缓冲气撑，内配生活垃圾桶。</w:t>
      </w:r>
      <w:r>
        <w:rPr>
          <w:rFonts w:hint="eastAsia" w:asciiTheme="minorEastAsia" w:hAnsiTheme="minorEastAsia"/>
          <w:sz w:val="24"/>
          <w:szCs w:val="24"/>
        </w:rPr>
        <w:cr/>
      </w:r>
      <w:r>
        <w:rPr>
          <w:rFonts w:hint="eastAsia" w:asciiTheme="minorEastAsia" w:hAnsiTheme="minorEastAsia"/>
          <w:b/>
          <w:sz w:val="24"/>
          <w:szCs w:val="24"/>
        </w:rPr>
        <w:t>8.拉手：</w:t>
      </w:r>
      <w:r>
        <w:rPr>
          <w:rFonts w:hint="eastAsia" w:asciiTheme="minorEastAsia" w:hAnsiTheme="minorEastAsia"/>
          <w:sz w:val="24"/>
          <w:szCs w:val="24"/>
        </w:rPr>
        <w:t>拉手为欧式氧化铝，可提供多种颜色作为用户的个性化选择。</w:t>
      </w:r>
      <w:r>
        <w:rPr>
          <w:rFonts w:asciiTheme="minorEastAsia" w:hAnsiTheme="minorEastAsia"/>
          <w:b/>
          <w:sz w:val="24"/>
          <w:szCs w:val="24"/>
        </w:rPr>
        <w:cr/>
      </w:r>
      <w:r>
        <w:rPr>
          <w:rFonts w:hint="eastAsia" w:asciiTheme="minorEastAsia" w:hAnsiTheme="minorEastAsia"/>
          <w:b/>
          <w:sz w:val="24"/>
          <w:szCs w:val="24"/>
        </w:rPr>
        <w:t>（七）诊室衣柜</w:t>
      </w:r>
    </w:p>
    <w:p>
      <w:pPr>
        <w:spacing w:line="360" w:lineRule="auto"/>
        <w:jc w:val="left"/>
        <w:rPr>
          <w:rFonts w:asciiTheme="minorEastAsia" w:hAnsiTheme="minorEastAsia"/>
          <w:sz w:val="24"/>
          <w:szCs w:val="24"/>
        </w:rPr>
      </w:pPr>
      <w:r>
        <w:rPr>
          <w:rFonts w:hint="eastAsia" w:asciiTheme="minorEastAsia" w:hAnsiTheme="minorEastAsia"/>
          <w:b/>
          <w:sz w:val="24"/>
          <w:szCs w:val="24"/>
        </w:rPr>
        <w:t>1.主体：</w:t>
      </w:r>
      <w:r>
        <w:rPr>
          <w:rFonts w:hint="eastAsia" w:asciiTheme="minorEastAsia" w:hAnsiTheme="minorEastAsia"/>
          <w:b/>
          <w:sz w:val="24"/>
          <w:szCs w:val="24"/>
        </w:rPr>
        <w:cr/>
      </w:r>
      <w:r>
        <w:rPr>
          <w:rFonts w:hint="eastAsia" w:asciiTheme="minorEastAsia" w:hAnsiTheme="minorEastAsia"/>
          <w:sz w:val="24"/>
          <w:szCs w:val="24"/>
        </w:rPr>
        <w:t>（1）柜体采用电解镀锌钢板为框架结构，钢板厚度≥1.0mm。主体框架另加承重钢板及内衬结构，保证足够的承重强度，低噪音，表面防锈、防酸、防碱、防静电、耐腐蚀，抗老化。框架结构设计可按照临床需求进行多种组合。</w:t>
      </w:r>
      <w:r>
        <w:rPr>
          <w:rFonts w:hint="eastAsia" w:asciiTheme="minorEastAsia" w:hAnsiTheme="minorEastAsia"/>
          <w:sz w:val="24"/>
          <w:szCs w:val="24"/>
        </w:rPr>
        <w:cr/>
      </w:r>
      <w:r>
        <w:rPr>
          <w:rFonts w:hint="eastAsia" w:asciiTheme="minorEastAsia" w:hAnsiTheme="minorEastAsia"/>
          <w:sz w:val="24"/>
          <w:szCs w:val="24"/>
        </w:rPr>
        <w:t>（2）柜体下方的踢脚板和柜体为一体，耐腐蚀调节脚。</w:t>
      </w:r>
    </w:p>
    <w:p>
      <w:pPr>
        <w:spacing w:line="360" w:lineRule="auto"/>
        <w:jc w:val="left"/>
        <w:rPr>
          <w:rFonts w:asciiTheme="minorEastAsia" w:hAnsiTheme="minorEastAsia"/>
          <w:b/>
          <w:sz w:val="24"/>
          <w:szCs w:val="24"/>
        </w:rPr>
      </w:pPr>
      <w:r>
        <w:rPr>
          <w:rFonts w:hint="eastAsia" w:asciiTheme="minorEastAsia" w:hAnsiTheme="minorEastAsia"/>
          <w:sz w:val="24"/>
          <w:szCs w:val="24"/>
        </w:rPr>
        <w:t>（3）表面经喷塑处理，可按照临床需求进行调色。粉末涂料中，铅、镉、汞、六价铬、多溴联苯、多溴二苯醚、邻苯二甲酸二（2-乙基）己酯，邻苯二甲酸丁基苄基酯、邻苯二甲酸二丁酯和邻苯二甲酸二异丁酯含量符合欧盟RoHS指令2011/65/EU（RoHS2.0）及其修正指令（EU）2015/863的限值要求（提供符合性检测报告）。</w:t>
      </w:r>
      <w:r>
        <w:rPr>
          <w:rFonts w:hint="eastAsia" w:asciiTheme="minorEastAsia" w:hAnsiTheme="minorEastAsia"/>
          <w:b/>
          <w:sz w:val="24"/>
          <w:szCs w:val="24"/>
        </w:rPr>
        <w:cr/>
      </w:r>
      <w:r>
        <w:rPr>
          <w:rFonts w:hint="eastAsia" w:asciiTheme="minorEastAsia" w:hAnsiTheme="minorEastAsia"/>
          <w:sz w:val="24"/>
          <w:szCs w:val="24"/>
        </w:rPr>
        <w:t>（4）形状位置公差、外观性能要求、安全性能要求、力学性能要求符合GB/T 3325-2017《金属家具通用技术条件》要求并提供国家级检测报告。</w:t>
      </w:r>
      <w:r>
        <w:rPr>
          <w:rFonts w:hint="eastAsia" w:asciiTheme="minorEastAsia" w:hAnsiTheme="minorEastAsia"/>
          <w:sz w:val="24"/>
          <w:szCs w:val="24"/>
        </w:rPr>
        <w:cr/>
      </w:r>
      <w:r>
        <w:rPr>
          <w:rFonts w:hint="eastAsia" w:asciiTheme="minorEastAsia" w:hAnsiTheme="minorEastAsia"/>
          <w:sz w:val="24"/>
          <w:szCs w:val="24"/>
        </w:rPr>
        <w:t>（5）依据QB/T 1951.2-2013《金属家具 质量检验及质量评定》，对设计和生产的每一款柜型的顶板持续加载测试项目都符合客户要求，提供国家级检测顶底板持续加载650kg,2h试验合格报告。</w:t>
      </w:r>
      <w:r>
        <w:rPr>
          <w:rFonts w:hint="eastAsia" w:asciiTheme="minorEastAsia" w:hAnsiTheme="minorEastAsia"/>
          <w:sz w:val="24"/>
          <w:szCs w:val="24"/>
        </w:rPr>
        <w:cr/>
      </w:r>
      <w:r>
        <w:rPr>
          <w:rFonts w:hint="eastAsia" w:asciiTheme="minorEastAsia" w:hAnsiTheme="minorEastAsia"/>
          <w:b/>
          <w:sz w:val="24"/>
          <w:szCs w:val="24"/>
        </w:rPr>
        <w:t>2.铰链开关：</w:t>
      </w:r>
      <w:r>
        <w:rPr>
          <w:rFonts w:hint="eastAsia" w:asciiTheme="minorEastAsia" w:hAnsiTheme="minorEastAsia"/>
          <w:sz w:val="24"/>
          <w:szCs w:val="24"/>
        </w:rPr>
        <w:t>选用DTC铰链，SUS304抛光不锈钢材质，永不生锈。铰链与柜体面水平角度＜15°时，柜门即可自行关闭，阻尼闭合，无碰撞。开启角度大于110°，附防滑落安全装置。</w:t>
      </w:r>
    </w:p>
    <w:p>
      <w:pPr>
        <w:spacing w:line="360" w:lineRule="auto"/>
        <w:jc w:val="left"/>
        <w:rPr>
          <w:rFonts w:asciiTheme="minorEastAsia" w:hAnsiTheme="minorEastAsia"/>
          <w:b/>
          <w:sz w:val="24"/>
          <w:szCs w:val="24"/>
        </w:rPr>
      </w:pPr>
      <w:r>
        <w:rPr>
          <w:rFonts w:hint="eastAsia" w:asciiTheme="minorEastAsia" w:hAnsiTheme="minorEastAsia"/>
          <w:b/>
          <w:sz w:val="24"/>
          <w:szCs w:val="24"/>
        </w:rPr>
        <w:t>3.</w:t>
      </w:r>
      <w:r>
        <w:rPr>
          <w:rFonts w:hint="eastAsia" w:cs="宋体" w:asciiTheme="minorEastAsia" w:hAnsiTheme="minorEastAsia"/>
          <w:kern w:val="0"/>
          <w:sz w:val="24"/>
          <w:szCs w:val="24"/>
        </w:rPr>
        <w:t>内配铝合金挂衣杆。</w:t>
      </w:r>
    </w:p>
    <w:p>
      <w:pPr>
        <w:spacing w:line="360" w:lineRule="auto"/>
        <w:jc w:val="left"/>
        <w:rPr>
          <w:rFonts w:asciiTheme="minorEastAsia" w:hAnsiTheme="minorEastAsia"/>
          <w:b/>
          <w:sz w:val="24"/>
          <w:szCs w:val="24"/>
        </w:rPr>
      </w:pPr>
      <w:r>
        <w:rPr>
          <w:rFonts w:hint="eastAsia" w:asciiTheme="minorEastAsia" w:hAnsiTheme="minorEastAsia"/>
          <w:b/>
          <w:sz w:val="24"/>
          <w:szCs w:val="24"/>
        </w:rPr>
        <w:t>4.拉手：</w:t>
      </w:r>
      <w:r>
        <w:rPr>
          <w:rFonts w:hint="eastAsia" w:asciiTheme="minorEastAsia" w:hAnsiTheme="minorEastAsia"/>
          <w:sz w:val="24"/>
          <w:szCs w:val="24"/>
        </w:rPr>
        <w:t>拉手为欧式氧化铝，可提供多种颜色作为用户的个性化选择。</w:t>
      </w:r>
    </w:p>
    <w:p>
      <w:pPr>
        <w:spacing w:line="360" w:lineRule="auto"/>
        <w:jc w:val="left"/>
        <w:rPr>
          <w:rFonts w:asciiTheme="minorEastAsia" w:hAnsiTheme="minorEastAsia"/>
          <w:b/>
          <w:sz w:val="24"/>
          <w:szCs w:val="24"/>
        </w:rPr>
      </w:pPr>
      <w:r>
        <w:rPr>
          <w:rFonts w:hint="eastAsia" w:asciiTheme="minorEastAsia" w:hAnsiTheme="minorEastAsia"/>
          <w:b/>
          <w:sz w:val="24"/>
          <w:szCs w:val="24"/>
        </w:rPr>
        <w:t>（八）手术洗手池</w:t>
      </w:r>
    </w:p>
    <w:p>
      <w:pPr>
        <w:spacing w:line="360" w:lineRule="auto"/>
        <w:jc w:val="left"/>
        <w:rPr>
          <w:rFonts w:cs="宋体" w:asciiTheme="minorEastAsia" w:hAnsiTheme="minorEastAsia"/>
          <w:kern w:val="0"/>
          <w:sz w:val="24"/>
          <w:szCs w:val="24"/>
        </w:rPr>
      </w:pPr>
      <w:r>
        <w:rPr>
          <w:rFonts w:hint="eastAsia" w:cs="宋体" w:asciiTheme="minorEastAsia" w:hAnsiTheme="minorEastAsia"/>
          <w:b/>
          <w:kern w:val="0"/>
          <w:sz w:val="24"/>
          <w:szCs w:val="24"/>
        </w:rPr>
        <w:t>1.主体：</w:t>
      </w:r>
      <w:r>
        <w:rPr>
          <w:rFonts w:hint="eastAsia" w:cs="宋体" w:asciiTheme="minorEastAsia" w:hAnsiTheme="minorEastAsia"/>
          <w:kern w:val="0"/>
          <w:sz w:val="24"/>
          <w:szCs w:val="24"/>
        </w:rPr>
        <w:t>医用304不锈钢洗手池选用池厚标厚为1.2mm ，侧板标厚1.0mm304不锈钢拉丝面板制作而成，柜体倾斜式设计，前低后高，符合人体工程学设计，防溅水。</w:t>
      </w:r>
    </w:p>
    <w:p>
      <w:pPr>
        <w:spacing w:line="360" w:lineRule="auto"/>
        <w:jc w:val="left"/>
        <w:rPr>
          <w:rFonts w:cs="宋体" w:asciiTheme="minorEastAsia" w:hAnsiTheme="minorEastAsia"/>
          <w:kern w:val="0"/>
          <w:sz w:val="24"/>
          <w:szCs w:val="24"/>
        </w:rPr>
      </w:pPr>
      <w:r>
        <w:rPr>
          <w:rFonts w:hint="eastAsia" w:cs="宋体" w:asciiTheme="minorEastAsia" w:hAnsiTheme="minorEastAsia"/>
          <w:b/>
          <w:kern w:val="0"/>
          <w:sz w:val="24"/>
          <w:szCs w:val="24"/>
        </w:rPr>
        <w:t>2.后背</w:t>
      </w:r>
      <w:r>
        <w:rPr>
          <w:rFonts w:hint="eastAsia" w:cs="宋体" w:asciiTheme="minorEastAsia" w:hAnsiTheme="minorEastAsia"/>
          <w:kern w:val="0"/>
          <w:sz w:val="24"/>
          <w:szCs w:val="24"/>
        </w:rPr>
        <w:t>：后背挡水背板可拆卸，背板高度300mm,配有自动感应给皂器，自动出液，无需人员触摸。</w:t>
      </w:r>
    </w:p>
    <w:p>
      <w:pPr>
        <w:spacing w:line="360" w:lineRule="auto"/>
        <w:jc w:val="left"/>
        <w:rPr>
          <w:rFonts w:cs="宋体" w:asciiTheme="minorEastAsia" w:hAnsiTheme="minorEastAsia"/>
          <w:kern w:val="0"/>
          <w:sz w:val="24"/>
          <w:szCs w:val="24"/>
        </w:rPr>
      </w:pPr>
      <w:r>
        <w:rPr>
          <w:rFonts w:hint="eastAsia" w:cs="宋体" w:asciiTheme="minorEastAsia" w:hAnsiTheme="minorEastAsia"/>
          <w:b/>
          <w:kern w:val="0"/>
          <w:sz w:val="24"/>
          <w:szCs w:val="24"/>
        </w:rPr>
        <w:t>3.水龙头：</w:t>
      </w:r>
      <w:r>
        <w:rPr>
          <w:rFonts w:hint="eastAsia" w:cs="宋体" w:asciiTheme="minorEastAsia" w:hAnsiTheme="minorEastAsia"/>
          <w:kern w:val="0"/>
          <w:sz w:val="24"/>
          <w:szCs w:val="24"/>
        </w:rPr>
        <w:t>出水方式有脚踏水龙头、感应水龙头，膝控感应、双控式可选。</w:t>
      </w:r>
    </w:p>
    <w:p>
      <w:pPr>
        <w:spacing w:line="360" w:lineRule="auto"/>
        <w:jc w:val="left"/>
        <w:rPr>
          <w:rFonts w:cs="宋体" w:asciiTheme="minorEastAsia" w:hAnsiTheme="minorEastAsia"/>
          <w:kern w:val="0"/>
          <w:sz w:val="24"/>
          <w:szCs w:val="24"/>
        </w:rPr>
      </w:pPr>
      <w:r>
        <w:rPr>
          <w:rFonts w:hint="eastAsia" w:cs="宋体" w:asciiTheme="minorEastAsia" w:hAnsiTheme="minorEastAsia"/>
          <w:b/>
          <w:kern w:val="0"/>
          <w:sz w:val="24"/>
          <w:szCs w:val="24"/>
        </w:rPr>
        <w:t>4.配件：</w:t>
      </w:r>
      <w:r>
        <w:rPr>
          <w:rFonts w:hint="eastAsia" w:cs="宋体" w:asciiTheme="minorEastAsia" w:hAnsiTheme="minorEastAsia"/>
          <w:kern w:val="0"/>
          <w:sz w:val="24"/>
          <w:szCs w:val="24"/>
        </w:rPr>
        <w:t>水龙头、感应给皂器，不锈钢软管、三通、进水管、出水管、下水器等配齐。</w:t>
      </w:r>
    </w:p>
    <w:p>
      <w:pPr>
        <w:spacing w:line="360" w:lineRule="auto"/>
        <w:jc w:val="left"/>
        <w:rPr>
          <w:rFonts w:asciiTheme="minorEastAsia" w:hAnsiTheme="minorEastAsia"/>
          <w:b/>
          <w:sz w:val="24"/>
          <w:szCs w:val="24"/>
        </w:rPr>
      </w:pPr>
      <w:r>
        <w:rPr>
          <w:rFonts w:hint="eastAsia" w:cs="宋体" w:asciiTheme="minorEastAsia" w:hAnsiTheme="minorEastAsia"/>
          <w:b/>
          <w:kern w:val="0"/>
          <w:sz w:val="24"/>
          <w:szCs w:val="24"/>
        </w:rPr>
        <w:t>5.柜门：</w:t>
      </w:r>
      <w:r>
        <w:rPr>
          <w:rFonts w:hint="eastAsia" w:cs="宋体" w:asciiTheme="minorEastAsia" w:hAnsiTheme="minorEastAsia"/>
          <w:kern w:val="0"/>
          <w:sz w:val="24"/>
          <w:szCs w:val="24"/>
        </w:rPr>
        <w:t>柜门有推拉门、对开门可选。</w:t>
      </w:r>
    </w:p>
    <w:p>
      <w:pPr>
        <w:spacing w:line="360" w:lineRule="auto"/>
        <w:jc w:val="left"/>
        <w:rPr>
          <w:rFonts w:asciiTheme="minorEastAsia" w:hAnsiTheme="minorEastAsia"/>
          <w:b/>
          <w:sz w:val="24"/>
          <w:szCs w:val="24"/>
        </w:rPr>
      </w:pPr>
      <w:r>
        <w:rPr>
          <w:rFonts w:hint="eastAsia" w:asciiTheme="minorEastAsia" w:hAnsiTheme="minorEastAsia"/>
          <w:b/>
          <w:sz w:val="24"/>
          <w:szCs w:val="24"/>
        </w:rPr>
        <w:t>（九）医疗垃圾分类柜</w:t>
      </w:r>
    </w:p>
    <w:p>
      <w:pPr>
        <w:spacing w:line="360" w:lineRule="auto"/>
        <w:jc w:val="left"/>
        <w:rPr>
          <w:rFonts w:asciiTheme="minorEastAsia" w:hAnsiTheme="minorEastAsia"/>
          <w:sz w:val="24"/>
          <w:szCs w:val="24"/>
        </w:rPr>
      </w:pPr>
      <w:r>
        <w:rPr>
          <w:rFonts w:hint="eastAsia" w:asciiTheme="minorEastAsia" w:hAnsiTheme="minorEastAsia"/>
          <w:b/>
          <w:sz w:val="24"/>
          <w:szCs w:val="24"/>
        </w:rPr>
        <w:t>1.主体：</w:t>
      </w:r>
      <w:r>
        <w:rPr>
          <w:rFonts w:hint="eastAsia" w:asciiTheme="minorEastAsia" w:hAnsiTheme="minorEastAsia"/>
          <w:b/>
          <w:sz w:val="24"/>
          <w:szCs w:val="24"/>
        </w:rPr>
        <w:cr/>
      </w:r>
      <w:r>
        <w:rPr>
          <w:rFonts w:hint="eastAsia" w:asciiTheme="minorEastAsia" w:hAnsiTheme="minorEastAsia"/>
          <w:sz w:val="24"/>
          <w:szCs w:val="24"/>
        </w:rPr>
        <w:t>（1）柜体采用电解镀锌钢板为框架结构，钢板厚度≥1.0mm。主体框架另加承重钢板及内衬结构，保证足够的承重强度，低噪音，表面防锈、防酸、防碱、防静电、耐腐蚀，抗老化。框架结构设计可按照临床需求进行多种组合。</w:t>
      </w:r>
      <w:r>
        <w:rPr>
          <w:rFonts w:hint="eastAsia" w:asciiTheme="minorEastAsia" w:hAnsiTheme="minorEastAsia"/>
          <w:sz w:val="24"/>
          <w:szCs w:val="24"/>
        </w:rPr>
        <w:cr/>
      </w:r>
      <w:r>
        <w:rPr>
          <w:rFonts w:hint="eastAsia" w:asciiTheme="minorEastAsia" w:hAnsiTheme="minorEastAsia"/>
          <w:sz w:val="24"/>
          <w:szCs w:val="24"/>
        </w:rPr>
        <w:t>（2）柜体下方的踢脚板和柜体为一体，耐腐蚀调节脚。</w:t>
      </w:r>
      <w:r>
        <w:rPr>
          <w:rFonts w:hint="eastAsia" w:asciiTheme="minorEastAsia" w:hAnsiTheme="minorEastAsia"/>
          <w:sz w:val="24"/>
          <w:szCs w:val="24"/>
        </w:rPr>
        <w:cr/>
      </w:r>
      <w:r>
        <w:rPr>
          <w:rFonts w:hint="eastAsia" w:asciiTheme="minorEastAsia" w:hAnsiTheme="minorEastAsia"/>
          <w:sz w:val="24"/>
          <w:szCs w:val="24"/>
        </w:rPr>
        <w:t>（3）表面经喷塑处理，可按照临床需求进行调色。粉末涂料中，铅、镉、汞、六价铬、多溴联苯、多溴二苯醚、邻苯二甲酸二（2-乙基）己酯，邻苯二甲酸丁基苄基酯、邻苯二甲酸二丁酯和邻苯二甲酸二异丁酯含量符合欧盟RoHS指令2011/65/EU（RoHS2.0）及其修正指令（EU）2015/863的限值要求（提供符合性检测报告）。</w:t>
      </w:r>
      <w:r>
        <w:rPr>
          <w:rFonts w:hint="eastAsia" w:asciiTheme="minorEastAsia" w:hAnsiTheme="minorEastAsia"/>
          <w:sz w:val="24"/>
          <w:szCs w:val="24"/>
        </w:rPr>
        <w:cr/>
      </w:r>
      <w:r>
        <w:rPr>
          <w:rFonts w:hint="eastAsia" w:asciiTheme="minorEastAsia" w:hAnsiTheme="minorEastAsia"/>
          <w:sz w:val="24"/>
          <w:szCs w:val="24"/>
        </w:rPr>
        <w:t>（4）形状位置公差、外观性能要求、安全性能要求、力学性能要求符合GB/T 3325-2017《金属家具通用技术条件》要求并提供国家级检测报告。</w:t>
      </w:r>
      <w:r>
        <w:rPr>
          <w:rFonts w:hint="eastAsia" w:asciiTheme="minorEastAsia" w:hAnsiTheme="minorEastAsia"/>
          <w:sz w:val="24"/>
          <w:szCs w:val="24"/>
        </w:rPr>
        <w:cr/>
      </w:r>
      <w:r>
        <w:rPr>
          <w:rFonts w:hint="eastAsia" w:asciiTheme="minorEastAsia" w:hAnsiTheme="minorEastAsia"/>
          <w:sz w:val="24"/>
          <w:szCs w:val="24"/>
        </w:rPr>
        <w:t>（5）依据QB/T 1951.2-2013《金属家具 质量检验及质量评定》，对设计和生产的每一款柜型的顶板持续加载测试项目都符合客户要求，提供国家级检测顶底板持续加载650kg,2h试验合格报告。</w:t>
      </w:r>
      <w:r>
        <w:rPr>
          <w:rFonts w:hint="eastAsia" w:asciiTheme="minorEastAsia" w:hAnsiTheme="minorEastAsia"/>
          <w:sz w:val="24"/>
          <w:szCs w:val="24"/>
        </w:rPr>
        <w:cr/>
      </w:r>
      <w:r>
        <w:rPr>
          <w:rFonts w:hint="eastAsia" w:asciiTheme="minorEastAsia" w:hAnsiTheme="minorEastAsia"/>
          <w:b/>
          <w:sz w:val="24"/>
          <w:szCs w:val="24"/>
        </w:rPr>
        <w:t>2.台面：</w:t>
      </w:r>
      <w:r>
        <w:rPr>
          <w:rFonts w:hint="eastAsia" w:asciiTheme="minorEastAsia" w:hAnsiTheme="minorEastAsia"/>
          <w:b/>
          <w:sz w:val="24"/>
          <w:szCs w:val="24"/>
        </w:rPr>
        <w:cr/>
      </w:r>
      <w:r>
        <w:rPr>
          <w:rFonts w:hint="eastAsia" w:asciiTheme="minorEastAsia" w:hAnsiTheme="minorEastAsia"/>
          <w:sz w:val="24"/>
          <w:szCs w:val="24"/>
        </w:rPr>
        <w:t>（1）新型瓷釉材料，开模高温一体压铸成型，边缘加厚整体制作，边缘作弧形处理，达到口腔所有耗材不着色功能，如碘氟、碘酒，碘仿，樟脑酚，丁香油，牙托水，碘甘油，甲酸甲酯等。</w:t>
      </w:r>
      <w:r>
        <w:rPr>
          <w:rFonts w:hint="eastAsia" w:asciiTheme="minorEastAsia" w:hAnsiTheme="minorEastAsia"/>
          <w:sz w:val="24"/>
          <w:szCs w:val="24"/>
        </w:rPr>
        <w:cr/>
      </w:r>
      <w:r>
        <w:rPr>
          <w:rFonts w:hint="eastAsia" w:asciiTheme="minorEastAsia" w:hAnsiTheme="minorEastAsia"/>
          <w:sz w:val="24"/>
          <w:szCs w:val="24"/>
        </w:rPr>
        <w:t>（2）</w:t>
      </w:r>
      <w:r>
        <w:rPr>
          <w:rFonts w:hint="eastAsia" w:asciiTheme="minorEastAsia" w:hAnsiTheme="minorEastAsia"/>
          <w:sz w:val="24"/>
          <w:szCs w:val="24"/>
          <w:highlight w:val="yellow"/>
        </w:rPr>
        <w:t>耐化学药品性能测定符合JC/T 908-2013《人造石》标准，并提供检测报告。</w:t>
      </w:r>
      <w:r>
        <w:rPr>
          <w:rFonts w:hint="eastAsia" w:asciiTheme="minorEastAsia" w:hAnsiTheme="minorEastAsia"/>
          <w:sz w:val="24"/>
          <w:szCs w:val="24"/>
        </w:rPr>
        <w:cr/>
      </w:r>
      <w:r>
        <w:rPr>
          <w:rFonts w:hint="eastAsia" w:asciiTheme="minorEastAsia" w:hAnsiTheme="minorEastAsia"/>
          <w:sz w:val="24"/>
          <w:szCs w:val="24"/>
        </w:rPr>
        <w:t>（3）铅、镉、汞、六价铬、多溴联苯、多溴二苯醚、邻苯二甲酸二（2-乙基）己酯，邻苯二甲酸丁基苄基酯、邻苯二甲酸二丁酯和邻苯二甲酸二异丁酯含量符合欧盟RoHS指令2011/65/EU（RoHS2.0）及其修正指令（EU）2015/863的限值要求，提供符合性检测报告。</w:t>
      </w:r>
      <w:r>
        <w:rPr>
          <w:rFonts w:hint="eastAsia" w:asciiTheme="minorEastAsia" w:hAnsiTheme="minorEastAsia"/>
          <w:sz w:val="24"/>
          <w:szCs w:val="24"/>
        </w:rPr>
        <w:cr/>
      </w:r>
      <w:r>
        <w:rPr>
          <w:rFonts w:hint="eastAsia" w:asciiTheme="minorEastAsia" w:hAnsiTheme="minorEastAsia"/>
          <w:b/>
          <w:sz w:val="24"/>
          <w:szCs w:val="24"/>
        </w:rPr>
        <w:t>3.开门方式</w:t>
      </w:r>
      <w:r>
        <w:rPr>
          <w:rFonts w:hint="eastAsia" w:cs="宋体" w:asciiTheme="minorEastAsia" w:hAnsiTheme="minorEastAsia"/>
          <w:b/>
          <w:sz w:val="24"/>
          <w:szCs w:val="24"/>
        </w:rPr>
        <w:t>：</w:t>
      </w:r>
      <w:r>
        <w:rPr>
          <w:rFonts w:hint="eastAsia" w:ascii="宋体" w:hAnsi="宋体" w:cs="宋体"/>
          <w:sz w:val="24"/>
          <w:szCs w:val="24"/>
        </w:rPr>
        <w:t>脚控</w:t>
      </w:r>
      <w:r>
        <w:rPr>
          <w:rFonts w:hint="eastAsia" w:cs="宋体" w:asciiTheme="minorEastAsia" w:hAnsiTheme="minorEastAsia"/>
          <w:kern w:val="0"/>
          <w:sz w:val="24"/>
          <w:szCs w:val="24"/>
        </w:rPr>
        <w:t>西门子脚控失电磁吸开关，柜体内的</w:t>
      </w:r>
      <w:r>
        <w:rPr>
          <w:rFonts w:hint="eastAsia" w:ascii="宋体" w:hAnsi="宋体" w:cs="宋体"/>
          <w:sz w:val="24"/>
          <w:szCs w:val="24"/>
        </w:rPr>
        <w:t>医疗垃圾桶以及配套的锐器盒器械盒等通过丝杆滑轨、滑台，双轴心（单轴五轴承）导轨实现平移自动开门，门与柜体之间最大开启距离为30cm左右，并采用膝顶自扣装置实现闭合，满足科室投放需求，提高诊室空间利用率</w:t>
      </w:r>
      <w:r>
        <w:rPr>
          <w:rFonts w:hint="eastAsia" w:cs="Times New Roman" w:asciiTheme="minorEastAsia" w:hAnsiTheme="minorEastAsia"/>
          <w:kern w:val="0"/>
          <w:sz w:val="24"/>
          <w:szCs w:val="24"/>
        </w:rPr>
        <w:t>，</w:t>
      </w:r>
      <w:r>
        <w:rPr>
          <w:rFonts w:hint="eastAsia" w:cs="宋体" w:asciiTheme="minorEastAsia" w:hAnsiTheme="minorEastAsia"/>
          <w:kern w:val="0"/>
          <w:sz w:val="24"/>
          <w:szCs w:val="24"/>
        </w:rPr>
        <w:t>无易损配件，使用寿命更长</w:t>
      </w:r>
      <w:r>
        <w:rPr>
          <w:rFonts w:hint="eastAsia" w:ascii="宋体" w:hAnsi="宋体" w:cs="宋体"/>
          <w:sz w:val="24"/>
          <w:szCs w:val="24"/>
        </w:rPr>
        <w:t>。</w:t>
      </w:r>
      <w:r>
        <w:rPr>
          <w:rFonts w:hint="eastAsia" w:asciiTheme="minorEastAsia" w:hAnsiTheme="minorEastAsia"/>
          <w:sz w:val="24"/>
          <w:szCs w:val="24"/>
        </w:rPr>
        <w:cr/>
      </w:r>
      <w:r>
        <w:rPr>
          <w:rFonts w:hint="eastAsia" w:asciiTheme="minorEastAsia" w:hAnsiTheme="minorEastAsia"/>
          <w:b/>
          <w:sz w:val="24"/>
          <w:szCs w:val="24"/>
        </w:rPr>
        <w:t>4.抽屉轨道：</w:t>
      </w:r>
      <w:r>
        <w:rPr>
          <w:rFonts w:hint="eastAsia" w:asciiTheme="minorEastAsia" w:hAnsiTheme="minorEastAsia"/>
          <w:sz w:val="24"/>
          <w:szCs w:val="24"/>
        </w:rPr>
        <w:t>选用DTC带阻尼托底轨道，具有隐藏式、静音、自动复位功能，使用过程无噪音，使用寿命长，可自由开合10万次以上（符合QB/T2454-2013标准并提供检测报告）。</w:t>
      </w:r>
    </w:p>
    <w:p>
      <w:pPr>
        <w:spacing w:line="360" w:lineRule="auto"/>
        <w:jc w:val="left"/>
        <w:rPr>
          <w:rFonts w:asciiTheme="minorEastAsia" w:hAnsiTheme="minorEastAsia"/>
          <w:sz w:val="24"/>
          <w:szCs w:val="24"/>
        </w:rPr>
      </w:pPr>
      <w:r>
        <w:rPr>
          <w:rFonts w:hint="eastAsia" w:asciiTheme="minorEastAsia" w:hAnsiTheme="minorEastAsia"/>
          <w:b/>
          <w:sz w:val="24"/>
          <w:szCs w:val="24"/>
        </w:rPr>
        <w:t>5.脚轮：</w:t>
      </w:r>
      <w:r>
        <w:rPr>
          <w:rFonts w:hint="eastAsia" w:asciiTheme="minorEastAsia" w:hAnsiTheme="minorEastAsia"/>
          <w:sz w:val="24"/>
          <w:szCs w:val="24"/>
        </w:rPr>
        <w:t>脚轮采用聚氨酯医用静音脚轮。</w:t>
      </w:r>
    </w:p>
    <w:p>
      <w:pPr>
        <w:spacing w:line="360" w:lineRule="auto"/>
        <w:jc w:val="left"/>
        <w:rPr>
          <w:rFonts w:asciiTheme="minorEastAsia" w:hAnsiTheme="minorEastAsia"/>
          <w:b/>
          <w:sz w:val="24"/>
          <w:szCs w:val="24"/>
        </w:rPr>
      </w:pPr>
      <w:r>
        <w:rPr>
          <w:rFonts w:hint="eastAsia" w:asciiTheme="minorEastAsia" w:hAnsiTheme="minorEastAsia"/>
          <w:b/>
          <w:sz w:val="24"/>
          <w:szCs w:val="24"/>
        </w:rPr>
        <w:t>6.拉手：</w:t>
      </w:r>
      <w:r>
        <w:rPr>
          <w:rFonts w:hint="eastAsia" w:asciiTheme="minorEastAsia" w:hAnsiTheme="minorEastAsia"/>
          <w:sz w:val="24"/>
          <w:szCs w:val="24"/>
        </w:rPr>
        <w:t>拉手为欧式氧化铝，可提供多种颜色作为用户的个性化选择。</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jVkNzY4MjhiMmNlOTY1OTgwMjdmMDU3ZDcyYzUifQ=="/>
  </w:docVars>
  <w:rsids>
    <w:rsidRoot w:val="004E0A0F"/>
    <w:rsid w:val="00252F25"/>
    <w:rsid w:val="00376D48"/>
    <w:rsid w:val="003F1FE4"/>
    <w:rsid w:val="004706F4"/>
    <w:rsid w:val="00480209"/>
    <w:rsid w:val="004E0A0F"/>
    <w:rsid w:val="00520279"/>
    <w:rsid w:val="008279C2"/>
    <w:rsid w:val="00864C9F"/>
    <w:rsid w:val="00894BE4"/>
    <w:rsid w:val="00943B76"/>
    <w:rsid w:val="00955CD3"/>
    <w:rsid w:val="009E0679"/>
    <w:rsid w:val="00A07100"/>
    <w:rsid w:val="00A16E77"/>
    <w:rsid w:val="00A85B02"/>
    <w:rsid w:val="00AB1EA3"/>
    <w:rsid w:val="00AF20AA"/>
    <w:rsid w:val="00B6360C"/>
    <w:rsid w:val="00C73C8E"/>
    <w:rsid w:val="00DD458C"/>
    <w:rsid w:val="00E2672A"/>
    <w:rsid w:val="00EA620C"/>
    <w:rsid w:val="00EB4199"/>
    <w:rsid w:val="00EC2B7F"/>
    <w:rsid w:val="00F21A91"/>
    <w:rsid w:val="00F86E79"/>
    <w:rsid w:val="00FB04C6"/>
    <w:rsid w:val="226A1BF8"/>
    <w:rsid w:val="5EE0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5977</Words>
  <Characters>6977</Characters>
  <Lines>51</Lines>
  <Paragraphs>14</Paragraphs>
  <TotalTime>156</TotalTime>
  <ScaleCrop>false</ScaleCrop>
  <LinksUpToDate>false</LinksUpToDate>
  <CharactersWithSpaces>7009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2022-08-19T05:29:00Z</dcterms:created>
  <dc:creator>xb21cn</dc:creator>
  <cp:lastModifiedBy>Fanny</cp:lastModifiedBy>
  <dcterms:modified xsi:type="dcterms:W3CDTF">2022-08-29T00:57:20Z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E0787A4536994A378EFFB44A78CF6C55</vt:lpwstr>
  </property>
</Properties>
</file>