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 w:firstLine="440" w:firstLineChars="100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单场中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型体育彩票品牌推广落地活动</w:t>
      </w:r>
    </w:p>
    <w:p>
      <w:pPr>
        <w:numPr>
          <w:ilvl w:val="0"/>
          <w:numId w:val="0"/>
        </w:numPr>
        <w:bidi w:val="0"/>
        <w:ind w:leftChars="0" w:firstLine="440" w:firstLineChars="100"/>
        <w:jc w:val="center"/>
        <w:rPr>
          <w:rFonts w:hint="default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履约验收方案</w:t>
      </w:r>
    </w:p>
    <w:p>
      <w:pPr>
        <w:pStyle w:val="7"/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项目基本情况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采购项目名称：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</w:t>
      </w:r>
      <w:r>
        <w:rPr>
          <w:rFonts w:hint="eastAsia" w:ascii="华文仿宋" w:hAnsi="华文仿宋" w:eastAsia="华文仿宋" w:cs="华文仿宋"/>
          <w:sz w:val="32"/>
          <w:szCs w:val="32"/>
        </w:rPr>
        <w:t>型体育彩票品牌推广落地活动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采购预算：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70万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采购方式：竞争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性</w:t>
      </w:r>
      <w:r>
        <w:rPr>
          <w:rFonts w:hint="eastAsia" w:ascii="华文仿宋" w:hAnsi="华文仿宋" w:eastAsia="华文仿宋" w:cs="华文仿宋"/>
          <w:sz w:val="32"/>
          <w:szCs w:val="32"/>
        </w:rPr>
        <w:t>磋商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中标单位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合同金额：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合同签订时间：</w:t>
      </w:r>
    </w:p>
    <w:p>
      <w:pPr>
        <w:numPr>
          <w:ilvl w:val="0"/>
          <w:numId w:val="0"/>
        </w:numPr>
        <w:bidi w:val="0"/>
        <w:ind w:leftChars="0"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验收时间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>年   月   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验收方式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甲方安排人员对活动搭建现场勘察验收；对游戏互动、彩票体验（销售）等过程跟踪验收；对媒体传播和奖品发放等数据验收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具体验收内容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根据招标文件及甲乙双方签定的《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</w:t>
      </w:r>
      <w:r>
        <w:rPr>
          <w:rFonts w:hint="eastAsia" w:ascii="华文仿宋" w:hAnsi="华文仿宋" w:eastAsia="华文仿宋" w:cs="华文仿宋"/>
          <w:sz w:val="32"/>
          <w:szCs w:val="32"/>
        </w:rPr>
        <w:t>型体育彩票品牌推广落地活动》政府采购合同规定的条款和具体服务内容，进行逐条验收。</w:t>
      </w:r>
    </w:p>
    <w:p>
      <w:pPr>
        <w:pStyle w:val="7"/>
        <w:numPr>
          <w:ilvl w:val="0"/>
          <w:numId w:val="0"/>
        </w:num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验收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不合格项处理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活动时长与活动面积不符合要求的，按照活动时长、活动面积与合同金额占比同比例扣减；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活动区域内没有按照品牌展示、观众互动、彩票体验（销售）分区域设置的，每少一个区域扣减500元；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有3种分区，但是品牌展示区、观众互动区、彩票体验（销售）区、内展示宣传不完全符合参数和实际主题要求的，每个区域扣减500元；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）赠送奖品办法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要制定方案并提供发放证明材料，没有按照赠送奖品办法赠送的，扣减未赠送奖品金额；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活动中的互动游戏要提前经采购方同意，互动游戏不符合要求的，互动游戏扣减500元；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）媒体宣传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中，1、未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在广播电台或活动举办地知名电台黄金时段对活动进行预热宣传的，每少1次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扣500元；2、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在抖音APP（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微博、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或快手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APP）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等媒体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对活动进行全程直播，直播观看量低于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人次要求的扣减1000元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活动结束后，在不少于2个新媒体平台（短视频平台、知名门户网站各一家），浏览量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播放量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低于标准的，每少一项扣减500元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4、未安排符合要求的KOL扣减1000元；KOL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浏览量（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播放量）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每少0.5万人次，扣减500元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本次活动结束后三日内向采购方提供不少于20张照片，要求每张照片大于1MB，能体现体彩元素和现场主题突出、涵盖各个活动环节的专业新闻摄影照片；提供30秒、60秒、3分钟活动高清快剪视频，视频分辨率不低于1920*1080。视频内容围绕彩票主题，体彩元素突出呈现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照片和视频不符合要求的，每一项扣减500元；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在活动现场向观众发放电子满意度调查问卷低于100份或者客户满意度低于80%的，扣除500元。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五、对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验收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不合格项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从合同未支付金额中扣除。</w:t>
      </w:r>
    </w:p>
    <w:sectPr>
      <w:footerReference r:id="rId3" w:type="default"/>
      <w:pgSz w:w="11906" w:h="16838"/>
      <w:pgMar w:top="110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zA2MmZmMjdmMTkxZDdmNWJkMDY3MjQwMDYxZTgifQ=="/>
  </w:docVars>
  <w:rsids>
    <w:rsidRoot w:val="272A4D6F"/>
    <w:rsid w:val="028A5150"/>
    <w:rsid w:val="036915CB"/>
    <w:rsid w:val="071C335C"/>
    <w:rsid w:val="072A296F"/>
    <w:rsid w:val="0D024CFF"/>
    <w:rsid w:val="0D935DA9"/>
    <w:rsid w:val="12B45C75"/>
    <w:rsid w:val="13356D92"/>
    <w:rsid w:val="149B310E"/>
    <w:rsid w:val="16F16530"/>
    <w:rsid w:val="17BF5072"/>
    <w:rsid w:val="17D01916"/>
    <w:rsid w:val="18117EAD"/>
    <w:rsid w:val="19950E19"/>
    <w:rsid w:val="1BA83EDB"/>
    <w:rsid w:val="1BC24ADE"/>
    <w:rsid w:val="24047B0B"/>
    <w:rsid w:val="26CF5867"/>
    <w:rsid w:val="272A4D6F"/>
    <w:rsid w:val="2735211F"/>
    <w:rsid w:val="2FD3430E"/>
    <w:rsid w:val="32E127C2"/>
    <w:rsid w:val="32EF6099"/>
    <w:rsid w:val="35EA43CF"/>
    <w:rsid w:val="3685055C"/>
    <w:rsid w:val="37CC75EA"/>
    <w:rsid w:val="384A6059"/>
    <w:rsid w:val="3A8F17A3"/>
    <w:rsid w:val="3E940916"/>
    <w:rsid w:val="3EBF70CB"/>
    <w:rsid w:val="42144B18"/>
    <w:rsid w:val="44004A7A"/>
    <w:rsid w:val="46E47E6C"/>
    <w:rsid w:val="474D7259"/>
    <w:rsid w:val="47583056"/>
    <w:rsid w:val="47EB680E"/>
    <w:rsid w:val="4C7C39D6"/>
    <w:rsid w:val="4EEF04D6"/>
    <w:rsid w:val="523F097D"/>
    <w:rsid w:val="561F49C0"/>
    <w:rsid w:val="59664595"/>
    <w:rsid w:val="5AE61FD0"/>
    <w:rsid w:val="5B360DE5"/>
    <w:rsid w:val="5B4401B4"/>
    <w:rsid w:val="5D5B1E16"/>
    <w:rsid w:val="5F5111BA"/>
    <w:rsid w:val="618D3872"/>
    <w:rsid w:val="63637253"/>
    <w:rsid w:val="63822E81"/>
    <w:rsid w:val="64370110"/>
    <w:rsid w:val="646A5D7E"/>
    <w:rsid w:val="6470479E"/>
    <w:rsid w:val="64E62010"/>
    <w:rsid w:val="65A95FCA"/>
    <w:rsid w:val="68444BA9"/>
    <w:rsid w:val="6AE85099"/>
    <w:rsid w:val="6CE04B84"/>
    <w:rsid w:val="6F1F0958"/>
    <w:rsid w:val="7140087B"/>
    <w:rsid w:val="71FF6222"/>
    <w:rsid w:val="727C57D9"/>
    <w:rsid w:val="72FC3515"/>
    <w:rsid w:val="759D10A8"/>
    <w:rsid w:val="767622C6"/>
    <w:rsid w:val="7AEB1D95"/>
    <w:rsid w:val="7B6F139A"/>
    <w:rsid w:val="7BBB64EF"/>
    <w:rsid w:val="7BC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91"/>
      <w:ind w:left="115"/>
      <w:outlineLvl w:val="1"/>
    </w:pPr>
    <w:rPr>
      <w:rFonts w:ascii="微软雅黑" w:hAnsi="微软雅黑" w:eastAsia="微软雅黑" w:cs="微软雅黑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942</Characters>
  <Lines>0</Lines>
  <Paragraphs>0</Paragraphs>
  <TotalTime>2</TotalTime>
  <ScaleCrop>false</ScaleCrop>
  <LinksUpToDate>false</LinksUpToDate>
  <CharactersWithSpaces>957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2023-11-15T01:23:00Z</dcterms:created>
  <dc:creator>Administrator</dc:creator>
  <cp:lastModifiedBy>Administrator</cp:lastModifiedBy>
  <dcterms:modified xsi:type="dcterms:W3CDTF">2024-09-24T05:39:05Z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74215B2D84F14AD29A534715E0BD1400_13</vt:lpwstr>
  </property>
</Properties>
</file>