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5"/>
        <w:gridCol w:w="960"/>
        <w:gridCol w:w="1515"/>
        <w:gridCol w:w="4365"/>
        <w:gridCol w:w="3000"/>
        <w:gridCol w:w="219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9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标的名称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星号条款</w:t>
            </w:r>
          </w:p>
        </w:tc>
        <w:tc>
          <w:tcPr>
            <w:tcW w:w="43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采购文件规定的技术要求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投标文件响应的具体内容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是否偏离（无偏离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/正偏离/负偏离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证明文件所在页码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3" w:hRule="atLeast"/>
        </w:trPr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玉米产业产教融合实训基地项目学术报告厅装修工程</w:t>
            </w:r>
            <w:bookmarkStart w:id="0" w:name="_GoBack"/>
            <w:bookmarkEnd w:id="0"/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线阵列扬声器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1.名称:线阵列扬声器（超高）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2.规格:1、具有WCT(Wavefront Coupling Technology)波阵面耦合技术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2、波导结构:WPE波径等距离声导器(Wave Path Equidistant)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3、角度调整: APS角度预设系统(Angel Pre-setting System),角度0-10%%d调整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4、采用FMM技术监听模式(Floor Monitor Mode),前面板角度+15%%d调整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5、网面:采用DPR(Double perforation Rate)双穿孔率技术设计,其中中高音透射区域的穿孔率超过90%,大大提高透声效率,降低面网的声学串扰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*6、频率响应:不大于50Hz至不小于20kHz(-10dB)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*7、标称指向性(-6dB):水平≥80度,垂直≤10度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*8、灵敏度(1W/1m):HF（高音）≥110dB，LF（低音）≥96dB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*9、扬声器功率:高音单元≥120W,低音单元≥500W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*10、阻抗:HF(高频)/LF(低频):16/16Ω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*11、最大声压级:HF（高音）≥140 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LF（低音）≥134 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*12、扬声器单元:低音单元≥10寸，数量≥2个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高音单元≥3寸，数量≥1个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3" w:hRule="atLeast"/>
        </w:trPr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537" w:firstLineChars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全频拉声像扬声器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1.名称:全频拉声像扬声器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2.规格:1、混响声场的理想选择,可旋转恒指向性波导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*2、频率响应(-3 dB):不大于60Hz至不小于17kHz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*3、频率范围(-10 dB):不大于50Hz至不小于20kHz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4、推荐高通频率:60 Hz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*5、灵敏度(1W/1m)≥106 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*6、最大声压级(1m)≥139 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*7、系统驱动功率:持续功率(额定功率)≥500W,节目(峰值功率)≥2000W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*8、覆盖角度(H x V):40°x30°，60°x40° 60°x60°，90°x40°，90°x60°，90°x90°多种角度可选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*9、低频驱动≥15寸驱动单元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*10、高频驱动≥3寸振膜压缩驱动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11、内部被动分频点:1,300 Hz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</w:rPr>
              <w:t>.工作范围:设备备的安装及调试，设备配套相应的电源线电线及插件等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3" w:hRule="atLeast"/>
        </w:trPr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全频返送扬声器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1.名称:全频返送扬声器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2.规格:1、混响声场的理想选择,可旋转恒指向性波导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*2、频率响应(-3 dB):不大于60Hz至不小于17kHz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*3、频率范围(-10 dB):不大于50Hz至不小于20kHz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4、推荐高通频率:60 Hz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*5、灵敏度(1W/1m)≥106 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*6、最大声压级(1m)≥139 dB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*7、系统驱动功率:持续功率(额定功率)≥500W,节目(峰值功率)≥2000W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*8、覆盖角度(H x V):40°x30°，60°x40° 60°x60°，90°x40°，90°x60°，90°x90°多种角度可选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*9、低频驱动≥15寸驱动单元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*10、高频驱动≥3寸振膜压缩驱动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11、内部被动分频点:1,300 Hz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</w:rPr>
              <w:t>.工作范围:设备备的安装及调试，设备配套相应的电源线电线及插件等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8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主面光灯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1.名称:主面光灯（超高）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2.规格:1、光源:进口LED灯珠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*2、光源寿命:≥ 50000H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*3、光源功率:≥300W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*4、光束角度:19°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*5、色温:3200K/5600K可选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*6、显色指数Ra:≥95;R9:≥90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*7、调光方式:按键手动、旋钮手动、DMX调光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*8、过温保护功能,温度异常处理功能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9、散热:静音风扇散热或无风扇散热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*10、显示屏实时监控灯具状态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11、中英文显示菜单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12、液晶屏背光智能调控功能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13、≥16位线性调光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14、防护等级:IP20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*15、光斑中心照度:19度10m距离,≥950LX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3.工作范围：设备备的安装及调试，设备配套相应的电源线电线及插件等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8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后区补光灯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1.名称:后区补光灯（超高）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2.规格:1、光源:进口LED灯珠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*2、光源寿命:≥ 50000H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*3、光源功率:≥200W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*4、光束角度:26°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*5、色温:3200K/5600K可选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*6、显色指数Ra:≥95;R9:≥90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*7、调光方式:按键手动、旋钮手动、DMX调光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*8、过温保护功能,温度异常处理功能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9、散热:静音风扇散热或无风扇散热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*10、显示屏实时监控灯具状态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11、中英文显示菜单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12、液晶屏背光智能调控功能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13、≥16位线性调光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14、防护等级:IP20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*15、光斑中心照度:26度8m距离,≥890LX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3.工作范围：设备备的安装及调试，设备配套相应的电源线电线及插件等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8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会议灯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1.名称:会议灯（超高）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2.规格: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*1、功率:≥200W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*2、光源寿命:≥50000H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*3、色温:3200K/5600K可选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*4、显色指数:≥95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*5、电视灯光一致性指数:TLCI≥93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*6、出光角度:≥110°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*7、控制模式:DMX512、手动、RDM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*8、调光:≥16比特,刷新频率≥20KHz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*9、中英文可选显示菜单,主菜单显示:地址、温度、调光值,菜单设置中可查询灯具的使用时间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10、散热:静音风扇散热或无风扇散热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11、防护等级:IP20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*12、光斑中心照度:8m距离,≥130LX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3.工作范围：设备备的安装及调试，设备配套相应的电源线电线及插件等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8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主屏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1.名称:主屏 9.6*5.44*1块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2.规格:*1.LED像素点间距≤2.5mm;像素密度≥160000点/m2,每个像素点采用1纯红1纯绿1纯蓝三像素,表贴三合一封装。2.显示屏有效显示尺寸为9.6m*5.44m,误差范围不超过2%。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3.衰减率(长期工作)&lt;15%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*4.支持前拆前维护和后拆后维护功能,支持用户级模组前维护方式,可在正面拆卸、安装,支持带电维护,热插拔,维护时间不超过10秒,支持单点维修更换。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5.LED显示屏整屏像素失控率小于0.000001且区域像素失控率小于0.000003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6.LED显示屏整屏平整度:≤0.05mm,单元平整度:≤0.05mm,模组间缝隙:≤0.10mm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7.色彩:16Bit,281万亿色,色域覆盖率100%,NTSC色域覆盖率≥120%上,YLV(PAL)色域覆盖率≥170%,支持BT.2020、DCI.P3、BT.709、sRGB等多种色域转换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8.显示单元白平衡亮度≥600cd/m2,对比度≥4000:1;色温2000K~18000K连续可调。色温在6500K时,100%、75%、50%、25%四档电平白场调节色温误差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*10.亮度均匀性≥99%,色度均匀性≤±0.001Cx、Cy之内。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*11.支持单点检测逐点校正功能,单点亮度校正,单点颜色校正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*12.组成LED显示屏的显示模组的平均失效间隔工作时间MTBF≥100000小时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*13.依据标准进行光生物安全及蓝光危害评估检测无危害类,具备防蓝光护眼功能</w:t>
            </w:r>
          </w:p>
        </w:tc>
        <w:tc>
          <w:tcPr>
            <w:tcW w:w="30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 w:val="0"/>
        <w:i w:val="0"/>
        <w:caps w:val="0"/>
        <w:color w:val="222222"/>
        <w:spacing w:val="0"/>
        <w:sz w:val="24"/>
        <w:szCs w:val="24"/>
        <w:bdr w:val="none" w:color="auto" w:sz="0" w:space="0"/>
        <w:shd w:val="clear" w:fill="FFFFFF"/>
      </w:rPr>
    </w:pPr>
    <w:r>
      <w:rPr>
        <w:rFonts w:hint="eastAsia" w:asciiTheme="majorEastAsia" w:hAnsiTheme="majorEastAsia" w:eastAsiaTheme="majorEastAsia" w:cstheme="majorEastAsia"/>
        <w:b/>
        <w:bCs w:val="0"/>
        <w:i w:val="0"/>
        <w:caps w:val="0"/>
        <w:color w:val="222222"/>
        <w:spacing w:val="0"/>
        <w:sz w:val="24"/>
        <w:szCs w:val="24"/>
        <w:bdr w:val="none" w:color="auto" w:sz="0" w:space="0"/>
        <w:shd w:val="clear" w:fill="FFFFFF"/>
        <w:lang w:eastAsia="zh-CN"/>
      </w:rPr>
      <w:t>项目名称：</w:t>
    </w:r>
    <w:r>
      <w:rPr>
        <w:rFonts w:hint="eastAsia" w:asciiTheme="majorEastAsia" w:hAnsiTheme="majorEastAsia" w:eastAsiaTheme="majorEastAsia" w:cstheme="majorEastAsia"/>
        <w:b/>
        <w:bCs w:val="0"/>
        <w:i w:val="0"/>
        <w:caps w:val="0"/>
        <w:color w:val="222222"/>
        <w:spacing w:val="0"/>
        <w:sz w:val="24"/>
        <w:szCs w:val="24"/>
        <w:bdr w:val="none" w:color="auto" w:sz="0" w:space="0"/>
        <w:shd w:val="clear" w:fill="FFFFFF"/>
      </w:rPr>
      <w:t>玉米产业产教融合实训基地项目学术报告厅装修工程(二次)</w:t>
    </w:r>
  </w:p>
  <w:p>
    <w:pPr>
      <w:pStyle w:val="3"/>
      <w:rPr>
        <w:rFonts w:hint="eastAsia" w:asciiTheme="majorEastAsia" w:hAnsiTheme="majorEastAsia" w:eastAsiaTheme="majorEastAsia" w:cstheme="majorEastAsia"/>
        <w:b/>
        <w:bCs w:val="0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 w:val="0"/>
        <w:i w:val="0"/>
        <w:caps w:val="0"/>
        <w:color w:val="222222"/>
        <w:spacing w:val="0"/>
        <w:sz w:val="24"/>
        <w:szCs w:val="24"/>
        <w:bdr w:val="none" w:color="auto" w:sz="0" w:space="0"/>
        <w:shd w:val="clear" w:fill="FFFFFF"/>
        <w:lang w:eastAsia="zh-CN"/>
      </w:rPr>
      <w:t>项目编号</w:t>
    </w:r>
    <w:r>
      <w:rPr>
        <w:rFonts w:hint="default" w:ascii="Times New Roman" w:hAnsi="Times New Roman" w:cs="Times New Roman" w:eastAsiaTheme="majorEastAsia"/>
        <w:b/>
        <w:bCs w:val="0"/>
        <w:i w:val="0"/>
        <w:caps w:val="0"/>
        <w:color w:val="666666"/>
        <w:spacing w:val="0"/>
        <w:sz w:val="21"/>
        <w:szCs w:val="21"/>
        <w:bdr w:val="none" w:color="auto" w:sz="0" w:space="0"/>
        <w:shd w:val="clear" w:fill="FFFFFF"/>
      </w:rPr>
      <w:t>[230001]SC[CS]20240429-1]</w:t>
    </w:r>
    <w:r>
      <w:rPr>
        <w:rFonts w:hint="default" w:ascii="Times New Roman" w:hAnsi="Times New Roman" w:cs="Times New Roman" w:eastAsiaTheme="majorEastAsia"/>
        <w:b/>
        <w:bCs w:val="0"/>
        <w:i w:val="0"/>
        <w:caps w:val="0"/>
        <w:color w:val="666666"/>
        <w:spacing w:val="0"/>
        <w:sz w:val="21"/>
        <w:szCs w:val="21"/>
        <w:bdr w:val="none" w:color="auto" w:sz="0" w:space="0"/>
        <w:shd w:val="clear" w:fill="FFFFFF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b/>
        <w:bCs w:val="0"/>
        <w:i w:val="0"/>
        <w:caps w:val="0"/>
        <w:color w:val="666666"/>
        <w:spacing w:val="0"/>
        <w:sz w:val="21"/>
        <w:szCs w:val="21"/>
        <w:bdr w:val="none" w:color="auto" w:sz="0" w:space="0"/>
        <w:shd w:val="clear" w:fill="FFFFFF"/>
        <w:lang w:val="en-US" w:eastAsia="zh-CN"/>
      </w:rPr>
      <w:t xml:space="preserve"> 采购单位：绥化学院  包号：1 包名称：</w:t>
    </w:r>
    <w:r>
      <w:rPr>
        <w:rFonts w:hint="eastAsia" w:asciiTheme="majorEastAsia" w:hAnsiTheme="majorEastAsia" w:eastAsiaTheme="majorEastAsia" w:cstheme="majorEastAsia"/>
        <w:b/>
        <w:bCs w:val="0"/>
        <w:i w:val="0"/>
        <w:caps w:val="0"/>
        <w:spacing w:val="0"/>
        <w:sz w:val="23"/>
        <w:szCs w:val="23"/>
        <w:bdr w:val="none" w:color="auto" w:sz="0" w:space="0"/>
        <w:shd w:val="clear" w:fill="FFFFFF"/>
      </w:rPr>
      <w:t>玉米产业产教融合实训基地项目学术报告厅装修工程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D4898"/>
    <w:rsid w:val="1E5D4898"/>
    <w:rsid w:val="30A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2024-10-28T08:39:00Z</dcterms:created>
  <dc:creator>王似玉</dc:creator>
  <cp:lastModifiedBy>王似玉</cp:lastModifiedBy>
  <dcterms:modified xsi:type="dcterms:W3CDTF">2024-10-28T09:19:20Z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