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color w:val="FF0000"/>
          <w:lang w:val="en-US" w:eastAsia="zh-CN"/>
        </w:rPr>
      </w:pPr>
      <w:bookmarkStart w:id="0" w:name="_GoBack"/>
      <w:r>
        <w:rPr>
          <w:rFonts w:hint="eastAsia"/>
          <w:lang w:val="en-US" w:eastAsia="zh-CN"/>
        </w:rPr>
        <w:t>附表一</w:t>
      </w:r>
      <w:bookmarkEnd w:id="0"/>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48"/>
        <w:gridCol w:w="1251"/>
        <w:gridCol w:w="886"/>
        <w:gridCol w:w="3119"/>
        <w:gridCol w:w="925"/>
        <w:gridCol w:w="715"/>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5000" w:type="pct"/>
            <w:gridSpan w:val="7"/>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主要材料、主要设备要求：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5000" w:type="pct"/>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黑龙江博物馆新馆建设工程艺术展厅及临时展厅陈列布置项目施工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3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3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主要材料名称</w:t>
            </w:r>
          </w:p>
        </w:tc>
        <w:tc>
          <w:tcPr>
            <w:tcW w:w="51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183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技术要求</w:t>
            </w:r>
          </w:p>
        </w:tc>
        <w:tc>
          <w:tcPr>
            <w:tcW w:w="54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质量等级</w:t>
            </w:r>
          </w:p>
        </w:tc>
        <w:tc>
          <w:tcPr>
            <w:tcW w:w="41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rPr>
            </w:pPr>
            <w:r>
              <w:rPr>
                <w:rFonts w:hint="eastAsia" w:cs="宋体"/>
                <w:i w:val="0"/>
                <w:iCs w:val="0"/>
                <w:color w:val="auto"/>
                <w:sz w:val="22"/>
                <w:szCs w:val="22"/>
                <w:u w:val="none"/>
                <w:lang w:val="en-US" w:eastAsia="zh-CN"/>
              </w:rPr>
              <w:t>单位</w:t>
            </w:r>
          </w:p>
        </w:tc>
        <w:tc>
          <w:tcPr>
            <w:tcW w:w="514" w:type="pct"/>
            <w:shd w:val="clear" w:color="auto" w:fill="auto"/>
            <w:vAlign w:val="center"/>
          </w:tcPr>
          <w:p>
            <w:pPr>
              <w:keepNext w:val="0"/>
              <w:keepLines w:val="0"/>
              <w:widowControl/>
              <w:suppressLineNumbers w:val="0"/>
              <w:jc w:val="center"/>
              <w:textAlignment w:val="center"/>
              <w:rPr>
                <w:rFonts w:hint="default"/>
                <w:color w:val="auto"/>
                <w:lang w:val="en-US" w:eastAsia="zh-CN"/>
              </w:rPr>
            </w:pPr>
            <w:r>
              <w:rPr>
                <w:rFonts w:hint="eastAsia"/>
                <w:color w:val="auto"/>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3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3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展柜</w:t>
            </w:r>
          </w:p>
        </w:tc>
        <w:tc>
          <w:tcPr>
            <w:tcW w:w="519" w:type="pct"/>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博物馆用展柜</w:t>
            </w:r>
          </w:p>
        </w:tc>
        <w:tc>
          <w:tcPr>
            <w:tcW w:w="183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1.T6063专用铝型材厚度不小于5mm，静电喷涂处理，反光度不大于30。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2.定制50*100*3优质矩形管材、专用特制合页、防锈处理基础框架，钢结构主框架基座，钢材2.5mm厚度的镀锌方钢管及1.2mm及以上的冷轧钢板，激光切割，采取非焊接锚固连接。</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3.展柜定制专用机械臂传导装置，电动遥控推出玻璃侧滑，定制专用轨道，双向侧滑。</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展柜内E0级熏蒸消毒无菌板材（环保阻燃材质）背板底板包环保织物布面，织物布面应采用环保阻燃材质，避免对文物造型污染损坏），需保证包布平整，表面不留痕迹，灯光照射不变色，不变质、抗老化、耐腐蚀、抗氧化的材质。背板需专做满包防潮金属膜、防火防腐处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5.2mm厚金属背板底板静电喷涂，耐摩擦、低导热，反光度不大于30。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6.防水顶盖（1.2mm烤漆冷轧）后设排水口，高频焊背龙骨。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7.定制展柜专用抗震内置调节脚、万向轮，保证高安全性、高稳定性。</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8.五金：博物馆定制专用高安全性锁具、特种滑轮、纵向轴承、滑动轴承、导向机构等。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9，电路专用电箱、63A漏电保护电器开关</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专用不含酸性有机硅展柜专用橡胶密封，玻璃结构胶、中性密封胶定制展柜各配件安装需保证高密封性，密封条和密封胶均为中性，不含任何酸、碱性物质、无异味、无挥发性，充分的发挥密封材料的性能。密封条物理性能要求拉伸强度不低于7Mpa，断裂伸长率不低于300%，撕裂强度不低于15KN/M，压缩永久变形不大于7%，硬度[邵尔A]为55±5。其材料的自然寿命在10年以上，抗变形和老化。</w:t>
            </w:r>
          </w:p>
        </w:tc>
        <w:tc>
          <w:tcPr>
            <w:tcW w:w="542" w:type="pct"/>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合格</w:t>
            </w:r>
          </w:p>
        </w:tc>
        <w:tc>
          <w:tcPr>
            <w:tcW w:w="419" w:type="pct"/>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个</w:t>
            </w:r>
          </w:p>
        </w:tc>
        <w:tc>
          <w:tcPr>
            <w:tcW w:w="514" w:type="pct"/>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3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3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低反射玻璃</w:t>
            </w:r>
          </w:p>
        </w:tc>
        <w:tc>
          <w:tcPr>
            <w:tcW w:w="51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6+6mm</w:t>
            </w:r>
          </w:p>
        </w:tc>
        <w:tc>
          <w:tcPr>
            <w:tcW w:w="183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玻璃参数：博物馆展柜专用6mm+6mm低反玻璃抗弯66.2安全玻璃，中间层材料选用超通透博物馆专用0.89mm抗弯SGP离子型专用胶片，玻璃耐热、耐湿、耐辐照，应达到阻挡99.6%的紫外光保护文物作品（波长为320～380纳米）</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2.玻璃做斜角、磨边、侧边喷漆、加边框、专利技术预留走线槽。</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3.展柜上方设备及灯光区域玻璃背漆处理。</w:t>
            </w:r>
          </w:p>
        </w:tc>
        <w:tc>
          <w:tcPr>
            <w:tcW w:w="542" w:type="pct"/>
            <w:shd w:val="clear" w:color="auto" w:fill="auto"/>
            <w:vAlign w:val="center"/>
          </w:tcPr>
          <w:p>
            <w:pPr>
              <w:jc w:val="center"/>
              <w:rPr>
                <w:rFonts w:hint="eastAsia" w:ascii="宋体" w:hAnsi="宋体" w:eastAsia="宋体" w:cs="宋体"/>
                <w:i w:val="0"/>
                <w:iCs w:val="0"/>
                <w:color w:val="000000"/>
                <w:sz w:val="22"/>
                <w:szCs w:val="22"/>
                <w:u w:val="none"/>
              </w:rPr>
            </w:pPr>
            <w:r>
              <w:rPr>
                <w:rFonts w:hint="eastAsia" w:cs="宋体"/>
                <w:i w:val="0"/>
                <w:iCs w:val="0"/>
                <w:color w:val="000000"/>
                <w:sz w:val="22"/>
                <w:szCs w:val="22"/>
                <w:u w:val="none"/>
                <w:lang w:val="en-US" w:eastAsia="zh-CN"/>
              </w:rPr>
              <w:t>合格</w:t>
            </w:r>
          </w:p>
        </w:tc>
        <w:tc>
          <w:tcPr>
            <w:tcW w:w="419" w:type="pct"/>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w:t>
            </w:r>
          </w:p>
        </w:tc>
        <w:tc>
          <w:tcPr>
            <w:tcW w:w="514" w:type="pct"/>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1396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3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33"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6"/>
                <w:lang w:val="en-US" w:eastAsia="zh-CN" w:bidi="ar"/>
              </w:rPr>
              <w:t>定制铝拉网</w:t>
            </w:r>
          </w:p>
        </w:tc>
        <w:tc>
          <w:tcPr>
            <w:tcW w:w="51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3mm</w:t>
            </w:r>
          </w:p>
        </w:tc>
        <w:tc>
          <w:tcPr>
            <w:tcW w:w="183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1.3.0mm铝拉网，L形角铝边框。</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2.防护材料种类:表面粉末喷涂、阳极氧化处理</w:t>
            </w:r>
          </w:p>
        </w:tc>
        <w:tc>
          <w:tcPr>
            <w:tcW w:w="542" w:type="pct"/>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合格</w:t>
            </w:r>
          </w:p>
        </w:tc>
        <w:tc>
          <w:tcPr>
            <w:tcW w:w="419" w:type="pct"/>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w:t>
            </w:r>
          </w:p>
        </w:tc>
        <w:tc>
          <w:tcPr>
            <w:tcW w:w="514" w:type="pct"/>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3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3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环保静音木纹塑胶地板</w:t>
            </w:r>
          </w:p>
        </w:tc>
        <w:tc>
          <w:tcPr>
            <w:tcW w:w="51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2mm</w:t>
            </w:r>
          </w:p>
        </w:tc>
        <w:tc>
          <w:tcPr>
            <w:tcW w:w="1830"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1.2.0mm环保静音木纹塑胶地板</w:t>
            </w:r>
          </w:p>
        </w:tc>
        <w:tc>
          <w:tcPr>
            <w:tcW w:w="542" w:type="pct"/>
            <w:shd w:val="clear" w:color="auto" w:fill="auto"/>
            <w:vAlign w:val="center"/>
          </w:tcPr>
          <w:p>
            <w:pPr>
              <w:jc w:val="center"/>
              <w:rPr>
                <w:rFonts w:hint="eastAsia" w:ascii="宋体" w:hAnsi="宋体" w:eastAsia="宋体" w:cs="宋体"/>
                <w:i w:val="0"/>
                <w:iCs w:val="0"/>
                <w:color w:val="000000"/>
                <w:sz w:val="22"/>
                <w:szCs w:val="22"/>
                <w:u w:val="none"/>
              </w:rPr>
            </w:pPr>
            <w:r>
              <w:rPr>
                <w:rFonts w:hint="eastAsia" w:cs="宋体"/>
                <w:i w:val="0"/>
                <w:iCs w:val="0"/>
                <w:color w:val="000000"/>
                <w:sz w:val="22"/>
                <w:szCs w:val="22"/>
                <w:u w:val="none"/>
                <w:lang w:val="en-US" w:eastAsia="zh-CN"/>
              </w:rPr>
              <w:t>合格</w:t>
            </w:r>
          </w:p>
        </w:tc>
        <w:tc>
          <w:tcPr>
            <w:tcW w:w="419" w:type="pct"/>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w:t>
            </w:r>
          </w:p>
        </w:tc>
        <w:tc>
          <w:tcPr>
            <w:tcW w:w="514" w:type="pct"/>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2733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3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3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oled屏</w:t>
            </w:r>
          </w:p>
        </w:tc>
        <w:tc>
          <w:tcPr>
            <w:tcW w:w="51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55寸</w:t>
            </w:r>
          </w:p>
        </w:tc>
        <w:tc>
          <w:tcPr>
            <w:tcW w:w="183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1.OLED屏 , AM-OLED</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2.显示屏尺寸：55英寸（16：9）</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3.透明度：40%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4.支持颜色：1.07B , 100% sRGB</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5.显示亮度：400cd</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帧频率：120HZ采用LG有机发光透明屏面板，自发光显示技术高分辨率、厚度薄、重量轻、低能耗、长寿命、无辐射自发光显示技术，830万自发光像素正反两个方向均可看到显示内容未发光像素呈现高透明状态，可实现虚拟现实叠加显示无毒广色域，色域值NTSC92%</w:t>
            </w:r>
          </w:p>
        </w:tc>
        <w:tc>
          <w:tcPr>
            <w:tcW w:w="542" w:type="pct"/>
            <w:shd w:val="clear" w:color="auto" w:fill="auto"/>
            <w:vAlign w:val="center"/>
          </w:tcPr>
          <w:p>
            <w:pPr>
              <w:jc w:val="center"/>
              <w:rPr>
                <w:rFonts w:hint="eastAsia" w:ascii="宋体" w:hAnsi="宋体" w:eastAsia="宋体" w:cs="宋体"/>
                <w:i w:val="0"/>
                <w:iCs w:val="0"/>
                <w:color w:val="000000"/>
                <w:sz w:val="22"/>
                <w:szCs w:val="22"/>
                <w:u w:val="none"/>
              </w:rPr>
            </w:pPr>
            <w:r>
              <w:rPr>
                <w:rFonts w:hint="eastAsia" w:cs="宋体"/>
                <w:i w:val="0"/>
                <w:iCs w:val="0"/>
                <w:color w:val="000000"/>
                <w:sz w:val="22"/>
                <w:szCs w:val="22"/>
                <w:u w:val="none"/>
                <w:lang w:val="en-US" w:eastAsia="zh-CN"/>
              </w:rPr>
              <w:t>合格</w:t>
            </w:r>
          </w:p>
        </w:tc>
        <w:tc>
          <w:tcPr>
            <w:tcW w:w="419" w:type="pct"/>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台</w:t>
            </w:r>
          </w:p>
        </w:tc>
        <w:tc>
          <w:tcPr>
            <w:tcW w:w="514" w:type="pct"/>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3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3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8+8镜面钢化夹胶抗弯安全玻璃</w:t>
            </w:r>
          </w:p>
        </w:tc>
        <w:tc>
          <w:tcPr>
            <w:tcW w:w="51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8+0.76PVB+8mm</w:t>
            </w:r>
          </w:p>
        </w:tc>
        <w:tc>
          <w:tcPr>
            <w:tcW w:w="183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1.8+0.76PVB+8mm镜面钢化夹胶抗弯安全玻璃</w:t>
            </w:r>
          </w:p>
        </w:tc>
        <w:tc>
          <w:tcPr>
            <w:tcW w:w="542" w:type="pct"/>
            <w:shd w:val="clear" w:color="auto" w:fill="auto"/>
            <w:vAlign w:val="center"/>
          </w:tcPr>
          <w:p>
            <w:pPr>
              <w:jc w:val="center"/>
              <w:rPr>
                <w:rFonts w:hint="eastAsia" w:ascii="宋体" w:hAnsi="宋体" w:eastAsia="宋体" w:cs="宋体"/>
                <w:i w:val="0"/>
                <w:iCs w:val="0"/>
                <w:color w:val="000000"/>
                <w:sz w:val="22"/>
                <w:szCs w:val="22"/>
                <w:u w:val="none"/>
              </w:rPr>
            </w:pPr>
            <w:r>
              <w:rPr>
                <w:rFonts w:hint="eastAsia" w:cs="宋体"/>
                <w:i w:val="0"/>
                <w:iCs w:val="0"/>
                <w:color w:val="000000"/>
                <w:sz w:val="22"/>
                <w:szCs w:val="22"/>
                <w:u w:val="none"/>
                <w:lang w:val="en-US" w:eastAsia="zh-CN"/>
              </w:rPr>
              <w:t>合格</w:t>
            </w:r>
          </w:p>
        </w:tc>
        <w:tc>
          <w:tcPr>
            <w:tcW w:w="419" w:type="pct"/>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w:t>
            </w:r>
          </w:p>
        </w:tc>
        <w:tc>
          <w:tcPr>
            <w:tcW w:w="514" w:type="pct"/>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3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3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烤漆铝板</w:t>
            </w:r>
          </w:p>
        </w:tc>
        <w:tc>
          <w:tcPr>
            <w:tcW w:w="51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2mm</w:t>
            </w:r>
          </w:p>
        </w:tc>
        <w:tc>
          <w:tcPr>
            <w:tcW w:w="183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烤漆铝板（包含折弯、裁刀、造型加工）</w:t>
            </w:r>
          </w:p>
        </w:tc>
        <w:tc>
          <w:tcPr>
            <w:tcW w:w="542" w:type="pct"/>
            <w:shd w:val="clear" w:color="auto" w:fill="auto"/>
            <w:vAlign w:val="center"/>
          </w:tcPr>
          <w:p>
            <w:pPr>
              <w:jc w:val="center"/>
              <w:rPr>
                <w:rFonts w:hint="eastAsia" w:ascii="宋体" w:hAnsi="宋体" w:eastAsia="宋体" w:cs="宋体"/>
                <w:i w:val="0"/>
                <w:iCs w:val="0"/>
                <w:color w:val="000000"/>
                <w:sz w:val="22"/>
                <w:szCs w:val="22"/>
                <w:u w:val="none"/>
              </w:rPr>
            </w:pPr>
            <w:r>
              <w:rPr>
                <w:rFonts w:hint="eastAsia" w:cs="宋体"/>
                <w:i w:val="0"/>
                <w:iCs w:val="0"/>
                <w:color w:val="000000"/>
                <w:sz w:val="22"/>
                <w:szCs w:val="22"/>
                <w:u w:val="none"/>
                <w:lang w:val="en-US" w:eastAsia="zh-CN"/>
              </w:rPr>
              <w:t>合格</w:t>
            </w:r>
          </w:p>
        </w:tc>
        <w:tc>
          <w:tcPr>
            <w:tcW w:w="419" w:type="pct"/>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w:t>
            </w:r>
          </w:p>
        </w:tc>
        <w:tc>
          <w:tcPr>
            <w:tcW w:w="514" w:type="pct"/>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3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3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拉丝不锈钢立体金属字</w:t>
            </w:r>
          </w:p>
        </w:tc>
        <w:tc>
          <w:tcPr>
            <w:tcW w:w="519" w:type="pct"/>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1mm</w:t>
            </w:r>
          </w:p>
        </w:tc>
        <w:tc>
          <w:tcPr>
            <w:tcW w:w="183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1.精工字，面板切割，锡焊焊接，精工人工打磨，拉丝抗指纹，无焊点连接 </w:t>
            </w:r>
          </w:p>
        </w:tc>
        <w:tc>
          <w:tcPr>
            <w:tcW w:w="542" w:type="pct"/>
            <w:shd w:val="clear" w:color="auto" w:fill="auto"/>
            <w:vAlign w:val="center"/>
          </w:tcPr>
          <w:p>
            <w:pPr>
              <w:jc w:val="center"/>
              <w:rPr>
                <w:rFonts w:hint="eastAsia" w:ascii="宋体" w:hAnsi="宋体" w:eastAsia="宋体" w:cs="宋体"/>
                <w:i w:val="0"/>
                <w:iCs w:val="0"/>
                <w:color w:val="000000"/>
                <w:sz w:val="22"/>
                <w:szCs w:val="22"/>
                <w:u w:val="none"/>
              </w:rPr>
            </w:pPr>
            <w:r>
              <w:rPr>
                <w:rFonts w:hint="eastAsia" w:cs="宋体"/>
                <w:i w:val="0"/>
                <w:iCs w:val="0"/>
                <w:color w:val="000000"/>
                <w:sz w:val="22"/>
                <w:szCs w:val="22"/>
                <w:u w:val="none"/>
                <w:lang w:val="en-US" w:eastAsia="zh-CN"/>
              </w:rPr>
              <w:t>合格</w:t>
            </w:r>
          </w:p>
        </w:tc>
        <w:tc>
          <w:tcPr>
            <w:tcW w:w="419" w:type="pct"/>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个</w:t>
            </w:r>
          </w:p>
        </w:tc>
        <w:tc>
          <w:tcPr>
            <w:tcW w:w="514" w:type="pct"/>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3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3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无缝拼接屏</w:t>
            </w:r>
          </w:p>
        </w:tc>
        <w:tc>
          <w:tcPr>
            <w:tcW w:w="51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46寸</w:t>
            </w:r>
          </w:p>
        </w:tc>
        <w:tc>
          <w:tcPr>
            <w:tcW w:w="183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1.拼缝：0.88mm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2.背光亮度：500cd/㎡</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3.分辨率:1920X1080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4.寿命：100000小时</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5.比例：16:9</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6.对比度:4500:1</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7.可视角度:179</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8.响应时间：6ms</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9.显示色彩：16.7M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10.接口类型:HDMI/DVI/VGA/VIDEO/串口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11.功耗：168 W</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12.电源：AC100V-240V, 50/60Hz</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13.尺寸：1077.58mm×607.8mm×63.7mm</w:t>
            </w:r>
          </w:p>
        </w:tc>
        <w:tc>
          <w:tcPr>
            <w:tcW w:w="542" w:type="pct"/>
            <w:shd w:val="clear" w:color="auto" w:fill="auto"/>
            <w:vAlign w:val="center"/>
          </w:tcPr>
          <w:p>
            <w:pPr>
              <w:jc w:val="center"/>
              <w:rPr>
                <w:rFonts w:hint="eastAsia" w:ascii="宋体" w:hAnsi="宋体" w:eastAsia="宋体" w:cs="宋体"/>
                <w:i w:val="0"/>
                <w:iCs w:val="0"/>
                <w:color w:val="000000"/>
                <w:sz w:val="22"/>
                <w:szCs w:val="22"/>
                <w:u w:val="none"/>
              </w:rPr>
            </w:pPr>
            <w:r>
              <w:rPr>
                <w:rFonts w:hint="eastAsia" w:cs="宋体"/>
                <w:i w:val="0"/>
                <w:iCs w:val="0"/>
                <w:color w:val="000000"/>
                <w:sz w:val="22"/>
                <w:szCs w:val="22"/>
                <w:u w:val="none"/>
                <w:lang w:val="en-US" w:eastAsia="zh-CN"/>
              </w:rPr>
              <w:t>合格</w:t>
            </w:r>
          </w:p>
        </w:tc>
        <w:tc>
          <w:tcPr>
            <w:tcW w:w="419" w:type="pct"/>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台</w:t>
            </w:r>
          </w:p>
        </w:tc>
        <w:tc>
          <w:tcPr>
            <w:tcW w:w="514" w:type="pct"/>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3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3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触摸一体机</w:t>
            </w:r>
          </w:p>
        </w:tc>
        <w:tc>
          <w:tcPr>
            <w:tcW w:w="519" w:type="pct"/>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23.5寸</w:t>
            </w:r>
          </w:p>
        </w:tc>
        <w:tc>
          <w:tcPr>
            <w:tcW w:w="183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采用纯电容屏技术G+G触控，工业级原装模组屏，内置环绕立体声音箱，内置电脑配置：win10系统、CPU：I5、内存：4G、硬盘：128G固态硬盘，定位精度：≦0.5mm； 触摸点数：≧10点； 触摸精度：749762*749762； 触摸次数：≧13600万次； 触摸寿命：100000小时；防水雾，防尘，防刮，防油污，防爆，防震，耐高温； 机壳颜色：黑色； 通讯接口：USB方式；驱动：免驱；触控方式：手指；触控原理：感应人体手指电流；分辨率：1920*1080；亮度：450cd/m²；背光：LED；色彩：16.7M ；对比度：4500:1；透光率：98%；显示比例：16:9；响应时间：6ms；可扩展3G/4G/Wifi无线网卡；支持HDMI输出；</w:t>
            </w:r>
          </w:p>
        </w:tc>
        <w:tc>
          <w:tcPr>
            <w:tcW w:w="542" w:type="pct"/>
            <w:shd w:val="clear" w:color="auto" w:fill="auto"/>
            <w:vAlign w:val="center"/>
          </w:tcPr>
          <w:p>
            <w:pPr>
              <w:jc w:val="center"/>
              <w:rPr>
                <w:rFonts w:hint="eastAsia" w:ascii="宋体" w:hAnsi="宋体" w:eastAsia="宋体" w:cs="宋体"/>
                <w:i w:val="0"/>
                <w:iCs w:val="0"/>
                <w:color w:val="000000"/>
                <w:sz w:val="22"/>
                <w:szCs w:val="22"/>
                <w:u w:val="none"/>
              </w:rPr>
            </w:pPr>
            <w:r>
              <w:rPr>
                <w:rFonts w:hint="eastAsia" w:cs="宋体"/>
                <w:i w:val="0"/>
                <w:iCs w:val="0"/>
                <w:color w:val="000000"/>
                <w:sz w:val="22"/>
                <w:szCs w:val="22"/>
                <w:u w:val="none"/>
                <w:lang w:val="en-US" w:eastAsia="zh-CN"/>
              </w:rPr>
              <w:t>合格</w:t>
            </w:r>
          </w:p>
        </w:tc>
        <w:tc>
          <w:tcPr>
            <w:tcW w:w="419" w:type="pct"/>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台</w:t>
            </w:r>
          </w:p>
        </w:tc>
        <w:tc>
          <w:tcPr>
            <w:tcW w:w="514" w:type="pct"/>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3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73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音响</w:t>
            </w:r>
          </w:p>
        </w:tc>
        <w:tc>
          <w:tcPr>
            <w:tcW w:w="519" w:type="pct"/>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30W</w:t>
            </w:r>
            <w:r>
              <w:rPr>
                <w:rFonts w:hint="eastAsia" w:ascii="宋体" w:hAnsi="宋体" w:eastAsia="宋体" w:cs="宋体"/>
                <w:i w:val="0"/>
                <w:iCs w:val="0"/>
                <w:color w:val="000000"/>
                <w:kern w:val="0"/>
                <w:sz w:val="22"/>
                <w:szCs w:val="22"/>
                <w:u w:val="none"/>
                <w:lang w:val="en-US" w:eastAsia="zh-CN" w:bidi="ar"/>
              </w:rPr>
              <w:t xml:space="preserve">/8Ω </w:t>
            </w:r>
          </w:p>
        </w:tc>
        <w:tc>
          <w:tcPr>
            <w:tcW w:w="183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8欧，额定30瓦 ，灵敏度89db，频响100HZ-20KHZ，吊顶音箱</w:t>
            </w:r>
          </w:p>
        </w:tc>
        <w:tc>
          <w:tcPr>
            <w:tcW w:w="542" w:type="pct"/>
            <w:shd w:val="clear" w:color="auto" w:fill="auto"/>
            <w:vAlign w:val="center"/>
          </w:tcPr>
          <w:p>
            <w:pPr>
              <w:jc w:val="center"/>
              <w:rPr>
                <w:rFonts w:hint="eastAsia" w:ascii="宋体" w:hAnsi="宋体" w:eastAsia="宋体" w:cs="宋体"/>
                <w:i w:val="0"/>
                <w:iCs w:val="0"/>
                <w:color w:val="000000"/>
                <w:sz w:val="22"/>
                <w:szCs w:val="22"/>
                <w:u w:val="none"/>
              </w:rPr>
            </w:pPr>
            <w:r>
              <w:rPr>
                <w:rFonts w:hint="eastAsia" w:cs="宋体"/>
                <w:i w:val="0"/>
                <w:iCs w:val="0"/>
                <w:color w:val="000000"/>
                <w:sz w:val="22"/>
                <w:szCs w:val="22"/>
                <w:u w:val="none"/>
                <w:lang w:val="en-US" w:eastAsia="zh-CN"/>
              </w:rPr>
              <w:t>合格</w:t>
            </w:r>
          </w:p>
        </w:tc>
        <w:tc>
          <w:tcPr>
            <w:tcW w:w="419" w:type="pct"/>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只</w:t>
            </w:r>
          </w:p>
        </w:tc>
        <w:tc>
          <w:tcPr>
            <w:tcW w:w="514" w:type="pct"/>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3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3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功放</w:t>
            </w:r>
          </w:p>
        </w:tc>
        <w:tc>
          <w:tcPr>
            <w:tcW w:w="519" w:type="pct"/>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2*130W/8Ω </w:t>
            </w:r>
          </w:p>
        </w:tc>
        <w:tc>
          <w:tcPr>
            <w:tcW w:w="183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1.输出功率：2*130W/8Ω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频率响应：20HZ-20KHZ（&amp;plusmn;0.5dB）</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 xml:space="preserve">信噪比：80dB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 xml:space="preserve">前话筒输入灵敏度：6MV/600Ω；                                                                     </w:t>
            </w:r>
            <w:r>
              <w:rPr>
                <w:rFonts w:hint="eastAsia"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后话筒输入灵敏度： 3MV/20K</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线路输入灵敏度：250MV/20KΩ</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线路输出电压：300MV/1KΩ</w:t>
            </w:r>
          </w:p>
        </w:tc>
        <w:tc>
          <w:tcPr>
            <w:tcW w:w="542" w:type="pct"/>
            <w:shd w:val="clear" w:color="auto" w:fill="auto"/>
            <w:vAlign w:val="center"/>
          </w:tcPr>
          <w:p>
            <w:pPr>
              <w:jc w:val="center"/>
              <w:rPr>
                <w:rFonts w:hint="eastAsia" w:ascii="宋体" w:hAnsi="宋体" w:eastAsia="宋体" w:cs="宋体"/>
                <w:i w:val="0"/>
                <w:iCs w:val="0"/>
                <w:color w:val="000000"/>
                <w:sz w:val="22"/>
                <w:szCs w:val="22"/>
                <w:u w:val="none"/>
              </w:rPr>
            </w:pPr>
            <w:r>
              <w:rPr>
                <w:rFonts w:hint="eastAsia" w:cs="宋体"/>
                <w:i w:val="0"/>
                <w:iCs w:val="0"/>
                <w:color w:val="000000"/>
                <w:sz w:val="22"/>
                <w:szCs w:val="22"/>
                <w:u w:val="none"/>
                <w:lang w:val="en-US" w:eastAsia="zh-CN"/>
              </w:rPr>
              <w:t>合格</w:t>
            </w:r>
          </w:p>
        </w:tc>
        <w:tc>
          <w:tcPr>
            <w:tcW w:w="419" w:type="pct"/>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台</w:t>
            </w:r>
          </w:p>
        </w:tc>
        <w:tc>
          <w:tcPr>
            <w:tcW w:w="514" w:type="pct"/>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3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73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投影机</w:t>
            </w:r>
          </w:p>
        </w:tc>
        <w:tc>
          <w:tcPr>
            <w:tcW w:w="51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宽 544 x 高 205x 深 564mm（不含突出部分）</w:t>
            </w:r>
          </w:p>
        </w:tc>
        <w:tc>
          <w:tcPr>
            <w:tcW w:w="183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显示系统: 3 LCD 系统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中心亮度≥13600流明</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标准亮度≥13000流明</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芯片尺寸:1.0” (25.4 mm) x 3</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标准分辨率：WUXGA(1920x1200)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对比度(全黑/全白)≥3,000,000:1</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色域范围：sRGB 100%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荧幕比例：原始16:10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光源系统：激光二极管</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光源寿命≥20000h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镜头：电动/手动变聚焦/镜头记忆 (基于使用的镜头) 、0.75-7.5倍投射比；</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机器重量 27KG</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超短焦反射镜头 0.32：1</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噪音：正常模式下≤34dB</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液晶板双向进风散热，冲突风冷散热技术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光引擎模块全密闭内循环防尘散热技术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整机无过滤网</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可以实现单机主动式3D，支持HDMI 3D（蓝光3D）；</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机体(宽x高x纵深, mm)   宽 544 x 高 205x 深 564mm（不含突出部分）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远程实时监控，邮件报警，日志生成（提供免费中文版软件）</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进出气口温度、安装气压和方位实时监测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支持HDMI接口线缆设置，自动识别或手动设置信号是通过HDMI线传输还是DVI-D线转换后转输，从而自动匹配投影机的最佳设置显示最优的图像效果（提供菜单截图并加盖制造商公章）；</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支持HDMI接口线缆设置，自动识别或手动设置信号是通过HDMI线传输还是DVI-D线转换后转输，从而自动匹配投影机的最佳设置显示最优的图像效果</w:t>
            </w:r>
          </w:p>
        </w:tc>
        <w:tc>
          <w:tcPr>
            <w:tcW w:w="542" w:type="pct"/>
            <w:shd w:val="clear" w:color="auto" w:fill="auto"/>
            <w:vAlign w:val="center"/>
          </w:tcPr>
          <w:p>
            <w:pPr>
              <w:jc w:val="center"/>
              <w:rPr>
                <w:rFonts w:hint="eastAsia" w:ascii="宋体" w:hAnsi="宋体" w:eastAsia="宋体" w:cs="宋体"/>
                <w:i w:val="0"/>
                <w:iCs w:val="0"/>
                <w:color w:val="000000"/>
                <w:sz w:val="22"/>
                <w:szCs w:val="22"/>
                <w:u w:val="none"/>
              </w:rPr>
            </w:pPr>
            <w:r>
              <w:rPr>
                <w:rFonts w:hint="eastAsia" w:cs="宋体"/>
                <w:i w:val="0"/>
                <w:iCs w:val="0"/>
                <w:color w:val="000000"/>
                <w:sz w:val="22"/>
                <w:szCs w:val="22"/>
                <w:u w:val="none"/>
                <w:lang w:val="en-US" w:eastAsia="zh-CN"/>
              </w:rPr>
              <w:t>合格</w:t>
            </w:r>
          </w:p>
        </w:tc>
        <w:tc>
          <w:tcPr>
            <w:tcW w:w="419" w:type="pct"/>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台</w:t>
            </w:r>
          </w:p>
        </w:tc>
        <w:tc>
          <w:tcPr>
            <w:tcW w:w="514" w:type="pct"/>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3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73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冰川矿棉板</w:t>
            </w:r>
          </w:p>
        </w:tc>
        <w:tc>
          <w:tcPr>
            <w:tcW w:w="51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14mm</w:t>
            </w:r>
          </w:p>
        </w:tc>
        <w:tc>
          <w:tcPr>
            <w:tcW w:w="183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14mm冰川矿棉板防火等级A级</w:t>
            </w:r>
          </w:p>
        </w:tc>
        <w:tc>
          <w:tcPr>
            <w:tcW w:w="542" w:type="pct"/>
            <w:shd w:val="clear" w:color="auto" w:fill="auto"/>
            <w:vAlign w:val="center"/>
          </w:tcPr>
          <w:p>
            <w:pPr>
              <w:jc w:val="center"/>
              <w:rPr>
                <w:rFonts w:hint="eastAsia" w:ascii="宋体" w:hAnsi="宋体" w:eastAsia="宋体" w:cs="宋体"/>
                <w:i w:val="0"/>
                <w:iCs w:val="0"/>
                <w:color w:val="000000"/>
                <w:sz w:val="22"/>
                <w:szCs w:val="22"/>
                <w:u w:val="none"/>
              </w:rPr>
            </w:pPr>
            <w:r>
              <w:rPr>
                <w:rFonts w:hint="eastAsia" w:cs="宋体"/>
                <w:i w:val="0"/>
                <w:iCs w:val="0"/>
                <w:color w:val="000000"/>
                <w:sz w:val="22"/>
                <w:szCs w:val="22"/>
                <w:u w:val="none"/>
                <w:lang w:val="en-US" w:eastAsia="zh-CN"/>
              </w:rPr>
              <w:t>合格</w:t>
            </w:r>
          </w:p>
        </w:tc>
        <w:tc>
          <w:tcPr>
            <w:tcW w:w="419" w:type="pct"/>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平米</w:t>
            </w:r>
          </w:p>
        </w:tc>
        <w:tc>
          <w:tcPr>
            <w:tcW w:w="514" w:type="pct"/>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39"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73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艺术肌理漆</w:t>
            </w:r>
          </w:p>
        </w:tc>
        <w:tc>
          <w:tcPr>
            <w:tcW w:w="519"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w:t>
            </w:r>
          </w:p>
        </w:tc>
        <w:tc>
          <w:tcPr>
            <w:tcW w:w="183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满足设计规范要求</w:t>
            </w:r>
          </w:p>
        </w:tc>
        <w:tc>
          <w:tcPr>
            <w:tcW w:w="542"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419"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kg</w:t>
            </w:r>
          </w:p>
        </w:tc>
        <w:tc>
          <w:tcPr>
            <w:tcW w:w="514"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39"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73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灰色无机涂料</w:t>
            </w:r>
          </w:p>
        </w:tc>
        <w:tc>
          <w:tcPr>
            <w:tcW w:w="519"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w:t>
            </w:r>
          </w:p>
        </w:tc>
        <w:tc>
          <w:tcPr>
            <w:tcW w:w="183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满足设计规范要求</w:t>
            </w:r>
          </w:p>
        </w:tc>
        <w:tc>
          <w:tcPr>
            <w:tcW w:w="54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41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kg</w:t>
            </w:r>
          </w:p>
        </w:tc>
        <w:tc>
          <w:tcPr>
            <w:tcW w:w="514"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39"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733"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专用投影漆</w:t>
            </w:r>
          </w:p>
        </w:tc>
        <w:tc>
          <w:tcPr>
            <w:tcW w:w="519"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w:t>
            </w:r>
          </w:p>
        </w:tc>
        <w:tc>
          <w:tcPr>
            <w:tcW w:w="183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满足设计规范要求</w:t>
            </w:r>
          </w:p>
        </w:tc>
        <w:tc>
          <w:tcPr>
            <w:tcW w:w="54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41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kg</w:t>
            </w:r>
          </w:p>
        </w:tc>
        <w:tc>
          <w:tcPr>
            <w:tcW w:w="514"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r>
    </w:tbl>
    <w:p>
      <w:pPr>
        <w:pStyle w:val="2"/>
        <w:rPr>
          <w:rFonts w:hint="eastAsia"/>
          <w:lang w:val="en-US" w:eastAsia="zh-CN"/>
        </w:rPr>
      </w:pPr>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TM1MTM0NzVhYjFlMDFlNzI4OWM4Y2Y3ZTA4MDEifQ=="/>
  </w:docVars>
  <w:rsids>
    <w:rsidRoot w:val="15012163"/>
    <w:rsid w:val="150121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spacing w:after="120"/>
      <w:ind w:left="420" w:leftChars="200" w:firstLine="420" w:firstLineChars="200"/>
    </w:pPr>
  </w:style>
  <w:style w:type="paragraph" w:customStyle="1" w:styleId="3">
    <w:name w:val="Body Text Indent1"/>
    <w:basedOn w:val="1"/>
    <w:qFormat/>
    <w:uiPriority w:val="0"/>
    <w:pPr>
      <w:spacing w:line="312" w:lineRule="atLeast"/>
      <w:ind w:left="719" w:leftChars="115" w:hanging="478" w:hangingChars="199"/>
    </w:pPr>
    <w:rPr>
      <w:rFonts w:ascii="黑体" w:eastAsia="黑体"/>
    </w:rPr>
  </w:style>
  <w:style w:type="character" w:customStyle="1" w:styleId="6">
    <w:name w:val="font0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2023-07-04T07:24:00Z</dcterms:created>
  <dc:creator>省博财务</dc:creator>
  <cp:lastModifiedBy>省博财务</cp:lastModifiedBy>
  <dcterms:modified xsi:type="dcterms:W3CDTF">2023-07-04T07:24:53Z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CD80C3D8E1504E8EBDB3C5A881FDCAFD_11</vt:lpwstr>
  </property>
</Properties>
</file>