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采  购  需  求</w:t>
      </w:r>
    </w:p>
    <w:p>
      <w:pPr>
        <w:spacing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项目名称：</w:t>
      </w:r>
    </w:p>
    <w:tbl>
      <w:tblPr>
        <w:tblStyle w:val="8"/>
        <w:tblW w:w="39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34"/>
        <w:gridCol w:w="673"/>
        <w:gridCol w:w="720"/>
        <w:gridCol w:w="9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64" w:type="pc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76" w:type="pct"/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采购品目名称</w:t>
            </w:r>
          </w:p>
        </w:tc>
        <w:tc>
          <w:tcPr>
            <w:tcW w:w="271" w:type="pc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90" w:type="pc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3797" w:type="pct"/>
            <w:shd w:val="clear" w:color="FFFFFF" w:fill="FFFFFF"/>
            <w:vAlign w:val="center"/>
          </w:tcPr>
          <w:p>
            <w:pPr>
              <w:widowControl/>
              <w:snapToGrid w:val="0"/>
              <w:jc w:val="center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264" w:type="pct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6" w:type="pct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粉体综合特性测定仪</w:t>
            </w:r>
          </w:p>
        </w:tc>
        <w:tc>
          <w:tcPr>
            <w:tcW w:w="271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290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97" w:type="pct"/>
            <w:vMerge w:val="restart"/>
            <w:shd w:val="clear" w:color="FFFFFF" w:fill="FFFFFF"/>
            <w:vAlign w:val="center"/>
          </w:tcPr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测试计算项目：15项。具体包括休止角、崩溃角、平板角、滑动角、分散度、振实密度、松装密度、差角、压缩度、空隙率、凝集度、均齐度、霍尔流速、流动性指数、喷流性指数。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角度范围：0-90°。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测量范围：粒度5毫米以内的样品。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角度测定方法：量角器法。通过量角器测量休止角、崩溃角和平板角。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振实密度振动频率：振动频率250</w:t>
            </w:r>
            <w:r>
              <w:rPr>
                <w:rFonts w:hint="eastAsia" w:eastAsiaTheme="majorEastAsia"/>
                <w:kern w:val="0"/>
                <w:szCs w:val="21"/>
              </w:rPr>
              <w:t>±</w:t>
            </w:r>
            <w:r>
              <w:rPr>
                <w:rFonts w:eastAsiaTheme="majorEastAsia"/>
                <w:kern w:val="0"/>
                <w:szCs w:val="21"/>
              </w:rPr>
              <w:t>10次/分钟。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振实密度振动幅度：振动幅度3mm和14mm可选。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软件：仪器配备离线软件，用户可将数据手动输入到软件中，软件可自动计算检测项目数值，可离线软件中打印报告单，操作简便、快捷、专业。</w:t>
            </w:r>
          </w:p>
          <w:p>
            <w:pPr>
              <w:pStyle w:val="16"/>
              <w:widowControl/>
              <w:numPr>
                <w:ilvl w:val="0"/>
                <w:numId w:val="1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制造标准：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休止角：GB/T 16913-2008 粉尘物性试验方法4.5 安息角的测定注入限定底面法。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崩溃角/差角/平板角/压缩度/均齐度/凝集度/分散度：卡尔标准ASTM D6393-08。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金属粉松装密度：GB/T 1479.1-2011 金属粉末松装密度的测量第一部分漏斗法。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非金属粉松装密度：GB/T 16913-2008 粉尘物性试验方法4.3 堆积密度的测定自然堆积法。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固定质量法振实密度：GB/T 5162-2006/ISO3953:1993 金属粉末振实密度的测定。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固定体积法振实密度：欧洲药典EP7.0 07/2010：20934 美国药典USP32-NF27&lt;616&gt;。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振实密度测量：GB/T31057.2-2018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流动性指数测量：GB/T31057.3-2018</w:t>
            </w:r>
          </w:p>
          <w:p>
            <w:pPr>
              <w:pStyle w:val="16"/>
              <w:numPr>
                <w:ilvl w:val="0"/>
                <w:numId w:val="2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适用范围：适用于大专院校，医药，科研单位以及其它从事粉体特性研究与应用领域。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lef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lef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64" w:type="pct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6" w:type="pct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电子天平（万分之一）</w:t>
            </w:r>
          </w:p>
        </w:tc>
        <w:tc>
          <w:tcPr>
            <w:tcW w:w="271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290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97" w:type="pct"/>
            <w:vMerge w:val="restart"/>
            <w:shd w:val="clear" w:color="FFFFFF" w:fill="FFFFFF"/>
            <w:vAlign w:val="center"/>
          </w:tcPr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后置式电磁力传感器，三开门大防风罩，宽敞称量室。采用国际上公认的高灵敏度、高稳定性后置式电磁力传感器技术获得更高的分辨率。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全自动一键内部校准、自动定时校准、温度变化自动校准。采用国际上先进的全自动校准技术，全方位消除由于温度、环境、时间等产生的误差，进一步优化天平性能。校准砝码不用人为接触，有效避免由于人为的砝码腐蚀、掉落损伤引起的天平误差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超大液晶白色背光显示屏。光亮和昏暗环境随意切换显示方式，保护视力。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多种计量单位和计数称量方式，单位转换及数据输出：克、克拉、盎司、记数、百分比称重等，适用于不同计量。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具有超载/欠载报警、温度补偿、全量程去皮、累加/累减、底钩称量（选配底挂钩）。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配有RS232输出接口，可与电脑、打印机等外配，充分满足实验室质量分析之需求。</w:t>
            </w:r>
          </w:p>
          <w:p>
            <w:pPr>
              <w:pStyle w:val="16"/>
              <w:widowControl/>
              <w:numPr>
                <w:ilvl w:val="0"/>
                <w:numId w:val="3"/>
              </w:numPr>
              <w:adjustRightInd w:val="0"/>
              <w:snapToGrid w:val="0"/>
              <w:ind w:left="357" w:hanging="357" w:hangingChars="17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称量参数：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最大称量：220g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最小读数：0.0001g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重复性误差：≤±0.0001g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线性误差：≤±0.0002g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偏载误差：≤±0.0002g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使用环境湿度：20%RH-85%RH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校准方式：全自动内校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砝码：内置环砝（F1等级）</w:t>
            </w:r>
          </w:p>
          <w:p>
            <w:pPr>
              <w:pStyle w:val="16"/>
              <w:widowControl/>
              <w:numPr>
                <w:ilvl w:val="0"/>
                <w:numId w:val="4"/>
              </w:numPr>
              <w:snapToGrid w:val="0"/>
              <w:ind w:left="357" w:leftChars="170" w:firstLine="0"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秤盘尺寸：φ90mm</w:t>
            </w:r>
          </w:p>
          <w:p>
            <w:pPr>
              <w:pStyle w:val="16"/>
              <w:widowControl/>
              <w:snapToGrid w:val="0"/>
              <w:ind w:left="357" w:firstLine="0" w:firstLineChars="0"/>
              <w:jc w:val="lef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lef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left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64" w:type="pct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6" w:type="pct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表面张力测定实验装置</w:t>
            </w:r>
          </w:p>
        </w:tc>
        <w:tc>
          <w:tcPr>
            <w:tcW w:w="271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290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97" w:type="pct"/>
            <w:vMerge w:val="restart"/>
            <w:shd w:val="clear" w:color="FFFFFF" w:fill="FFFFFF"/>
            <w:vAlign w:val="center"/>
          </w:tcPr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蠕动泵、微压差测量和表面张力装置一体化设计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蠕动压力输出替代滴液加压，避免玻璃仪器容易破碎的问题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蠕动泵输出10档数字可调，气泡溢出速率比玻璃活塞滴液更易于控制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压力输出可长时间连续工作，不会因为加水换水中断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配精密毛细管高度调节杆，使得调整相切液面简便易行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压力管路面板图示，蠕动泵外置，原理展示清晰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自带恒温夹套，可通循环水恒温，或用恒温平台恒温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按键触摸薄膜开关，双显示单位毫米水柱/帕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压差压力调节与测量范围：-10 KPa～+10KPa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压差压力分辨率：0.001kPa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压力双单位显示：Pa/mmH2O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四位半显示，具有1.5S峰值保持功能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出泡速度：10档数字可调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毛细管的管径出口部位设有一气泡状空腔。气泡状空腔在出口上方3－12mm以上的部位，气泡状空腔直径为管径的2－5倍</w:t>
            </w:r>
          </w:p>
          <w:p>
            <w:pPr>
              <w:pStyle w:val="16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毛细管高度调节杆行程大于：50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6" w:type="pct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全自动折光仪</w:t>
            </w:r>
          </w:p>
        </w:tc>
        <w:tc>
          <w:tcPr>
            <w:tcW w:w="271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290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797" w:type="pct"/>
            <w:vMerge w:val="restart"/>
            <w:shd w:val="clear" w:color="FFFFFF" w:fill="FFFFFF"/>
            <w:vAlign w:val="center"/>
          </w:tcPr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测量范围(nD)：≥1.30000-1.70000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测量范围( Brix)：≥0-100%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分辨率(nD）：≥0.00001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分辨率( Brix)：≥0.01%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测量精度(nD）：±0.00001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测量精度( Brix)：±0.01%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准确度(nD )：±0.0002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准确度(Brix)：±0.1%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内置测量方式：≥8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kern w:val="0"/>
                <w:szCs w:val="21"/>
              </w:rPr>
              <w:t>温度显示范围：0-90℃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通信接口：RS232/USB，U盘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数据存储：≥1000组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电源：220V±22V，50Hz±1 Hz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显示方式：≥7寸彩色触摸屏</w:t>
            </w:r>
          </w:p>
          <w:p>
            <w:pPr>
              <w:pStyle w:val="16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kern w:val="0"/>
                <w:szCs w:val="21"/>
              </w:rPr>
              <w:t>棱镜材质：高硬质玻璃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restart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6" w:type="pct"/>
            <w:vMerge w:val="restart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脉诊仪</w:t>
            </w:r>
          </w:p>
        </w:tc>
        <w:tc>
          <w:tcPr>
            <w:tcW w:w="271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290" w:type="pct"/>
            <w:vMerge w:val="restart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97" w:type="pct"/>
            <w:vMerge w:val="restart"/>
            <w:shd w:val="clear" w:color="FFFFFF" w:fill="FFFFFF"/>
            <w:vAlign w:val="center"/>
          </w:tcPr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腕式智能三部测脉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ascii="Segoe UI Symbol" w:hAnsi="Segoe UI Symbol" w:cs="Segoe UI Symbol" w:eastAsiaTheme="majorEastAsia"/>
                <w:bCs/>
                <w:szCs w:val="21"/>
              </w:rPr>
              <w:t>★</w:t>
            </w:r>
            <w:r>
              <w:rPr>
                <w:rFonts w:eastAsiaTheme="majorEastAsia"/>
                <w:bCs/>
                <w:szCs w:val="21"/>
              </w:rPr>
              <w:t>移动终端实时在线互动系统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仪器可推动，移动和操作方便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与检查者采集及交互符合人体工程学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 xml:space="preserve">移动终端实时在线互动系统（选配）； 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远程会诊系统平台（选配）；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脉诊采集单元：最大伸出长度加压一次伸出长度不超过1mm，最大伸出长度不超过6mm。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ascii="Segoe UI Symbol" w:hAnsi="Segoe UI Symbol" w:cs="Segoe UI Symbol" w:eastAsiaTheme="majorEastAsia"/>
                <w:bCs/>
                <w:szCs w:val="21"/>
              </w:rPr>
              <w:t>★</w:t>
            </w:r>
            <w:r>
              <w:rPr>
                <w:rFonts w:eastAsiaTheme="majorEastAsia"/>
                <w:bCs/>
                <w:szCs w:val="21"/>
              </w:rPr>
              <w:t>外加力学量的准确性设备的外加力学量显示范围为30g～300g，显示值的最大允许误差为≤±15%。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脉压准确性脉压采集范围为为4g～14g，显示值的最大允许误差为≤±10%。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脉率准确性脉率显示范围为≥40次/min～200次/min，分辨率为1次/min，显示值的最大允许误差为±3次/min。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传感器有效几何尺寸传感器的有效表面与脉管垂直的尺寸应在3mm～9mm之间。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支持寸关尺三点脉诊信息同时采集、量化并作出辅助分析。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采用96颗微型传感点阵，实现超高精度的脉诊数据量化；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采用嵌入式软件算法控制机械结构的精密运动，进行精准多层次加压，充分还原中医脉诊中的“寸口诊法”。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同时对指尖压力大小，反馈力度大小，模拟指尖触觉回馈记录等对数据进行充分量化。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ascii="Segoe UI Symbol" w:hAnsi="Segoe UI Symbol" w:cs="Segoe UI Symbol" w:eastAsiaTheme="majorEastAsia"/>
                <w:bCs/>
                <w:szCs w:val="21"/>
              </w:rPr>
              <w:t>★</w:t>
            </w:r>
            <w:r>
              <w:rPr>
                <w:rFonts w:eastAsiaTheme="majorEastAsia"/>
                <w:bCs/>
                <w:szCs w:val="21"/>
              </w:rPr>
              <w:t>构建中医脉诊3D模型，多维度表达中医脉象特征，实现测量过程及测量结果的3D可视化展示；</w:t>
            </w:r>
          </w:p>
          <w:p>
            <w:pPr>
              <w:pStyle w:val="16"/>
              <w:numPr>
                <w:ilvl w:val="0"/>
                <w:numId w:val="8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报告可进行气血津液，饮湿寒热的预警提示。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具备传统传感器作用在寸关尺腕部脉搏处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rFonts w:eastAsiaTheme="majorEastAsia"/>
                <w:bCs/>
                <w:szCs w:val="21"/>
              </w:rPr>
              <w:t>用袖带式进行腕部固定得到准确的脉象定位，通过传感器的袖带结构，进行LED十字定位校正，采用气加压方式。确定最佳取脉压力：按照阶梯加压方式，进行分段加压，并确定最佳取脉压力；脉象采集器具有过压保护功能。脉搏传感器触力面为符合人体工程学并模仿中医指法的Φ8圆形触力面，脉象传感器灵敏度为0.5mV/克力，采样精度24位 BIT，采样时间：≥40秒，脉象浮中沉阶梯加压，浮中沉静态取脉压可对施压50g、 75g、100g、125g、150g、175g、200g、225g，各档误差±10%， 动态取脉压：在0-250g的静压范围内，对于脉宽为0.5s的标准动压测量，误差小于±10%，机械加压，最大压力350mmHg，测量时将300 mmHg的压力冲入，在1min内压力不得低于5%，提供中医脉象图及相关测量参数，给出脉名判读结果。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传感器部件的静态输出为1.25±0.15V；灵敏度为2.5mV±15% 满量程；线性度允许偏差为±15%；在3g≤模拟脉力≤50g时，显示的脉搏传感器采集的脉率值为：30±4~240±4次/分钟。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Chars="0"/>
              <w:jc w:val="left"/>
              <w:rPr>
                <w:rFonts w:eastAsiaTheme="majorEastAsia"/>
                <w:bCs/>
                <w:szCs w:val="21"/>
              </w:rPr>
            </w:pPr>
            <w:r>
              <w:rPr>
                <w:rFonts w:eastAsiaTheme="majorEastAsia"/>
                <w:bCs/>
                <w:szCs w:val="21"/>
              </w:rPr>
              <w:t>可分析脉象六要素：脉位、脉力、脉率、脉律、流利度、紧张度；可识别临床常见的脉象；可提供中医脉象图及相关测量参数，给出脉名判读结果；系统软件开放，便于脉象数据库和专家库的二次开发应用。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中医体质辨识问诊采集单元：可以对中医九大体质做辨识判定。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对≥28种具体体质分型进行判断。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提供≥5种中医体质辨识版本，包括成人版、老年版、孕妇版、儿童版、中医五态人格版。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rFonts w:ascii="Segoe UI Symbol" w:hAnsi="Segoe UI Symbol" w:cs="Segoe UI Symbol" w:eastAsiaTheme="majorEastAsia"/>
                <w:kern w:val="0"/>
                <w:szCs w:val="21"/>
              </w:rPr>
              <w:t>★</w:t>
            </w:r>
            <w:r>
              <w:rPr>
                <w:szCs w:val="21"/>
              </w:rPr>
              <w:t>中医体质检测结果综合说明，包含特特征，体质成因，形体特征，心里特征，发病倾向，常见表现，重点人群，对外界环境适应能力，日常表现等常规提示。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中医体质检测健康建议，包含营养膳食，用药参考，中医保健建议，精神调养方案，饮食建议，药膳调补，运动建议，健康生活提示，针对儿童增加起居调养建议，小儿推拿康复建议。</w:t>
            </w:r>
          </w:p>
          <w:p>
            <w:pPr>
              <w:pStyle w:val="16"/>
              <w:numPr>
                <w:ilvl w:val="1"/>
                <w:numId w:val="7"/>
              </w:numPr>
              <w:adjustRightInd w:val="0"/>
              <w:snapToGrid w:val="0"/>
              <w:ind w:left="357" w:hanging="357" w:hangingChars="170"/>
              <w:rPr>
                <w:szCs w:val="21"/>
              </w:rPr>
            </w:pPr>
            <w:r>
              <w:rPr>
                <w:szCs w:val="21"/>
              </w:rPr>
              <w:t>配置清单：</w:t>
            </w:r>
          </w:p>
          <w:p>
            <w:pPr>
              <w:pStyle w:val="16"/>
              <w:numPr>
                <w:ilvl w:val="2"/>
                <w:numId w:val="10"/>
              </w:numPr>
              <w:adjustRightInd w:val="0"/>
              <w:snapToGrid w:val="0"/>
              <w:ind w:left="357" w:leftChars="170" w:firstLine="0" w:firstLineChars="0"/>
              <w:rPr>
                <w:szCs w:val="21"/>
              </w:rPr>
            </w:pPr>
            <w:r>
              <w:rPr>
                <w:szCs w:val="21"/>
              </w:rPr>
              <w:t>硬件配置：配置工业相机，一台；</w:t>
            </w:r>
          </w:p>
          <w:p>
            <w:pPr>
              <w:pStyle w:val="16"/>
              <w:numPr>
                <w:ilvl w:val="2"/>
                <w:numId w:val="10"/>
              </w:numPr>
              <w:adjustRightInd w:val="0"/>
              <w:snapToGrid w:val="0"/>
              <w:ind w:left="357" w:leftChars="170" w:firstLine="0" w:firstLineChars="0"/>
              <w:rPr>
                <w:szCs w:val="21"/>
              </w:rPr>
            </w:pPr>
            <w:r>
              <w:rPr>
                <w:szCs w:val="21"/>
              </w:rPr>
              <w:t>配置三部寸关尺同时采集脉诊采集器，一个；</w:t>
            </w:r>
          </w:p>
          <w:p>
            <w:pPr>
              <w:pStyle w:val="16"/>
              <w:numPr>
                <w:ilvl w:val="2"/>
                <w:numId w:val="10"/>
              </w:numPr>
              <w:adjustRightInd w:val="0"/>
              <w:snapToGrid w:val="0"/>
              <w:ind w:left="357" w:leftChars="170" w:firstLine="0" w:firstLineChars="0"/>
              <w:rPr>
                <w:szCs w:val="21"/>
              </w:rPr>
            </w:pPr>
            <w:r>
              <w:rPr>
                <w:szCs w:val="21"/>
              </w:rPr>
              <w:t>配置高清激光彩色打印机，一台；</w:t>
            </w:r>
          </w:p>
          <w:p>
            <w:pPr>
              <w:pStyle w:val="16"/>
              <w:numPr>
                <w:ilvl w:val="2"/>
                <w:numId w:val="10"/>
              </w:numPr>
              <w:adjustRightInd w:val="0"/>
              <w:snapToGrid w:val="0"/>
              <w:ind w:left="357" w:leftChars="170" w:firstLine="0" w:firstLineChars="0"/>
              <w:rPr>
                <w:szCs w:val="21"/>
              </w:rPr>
            </w:pPr>
            <w:r>
              <w:rPr>
                <w:szCs w:val="21"/>
              </w:rPr>
              <w:t>工业工控主机14个usb口，2个；</w:t>
            </w:r>
          </w:p>
          <w:p>
            <w:pPr>
              <w:pStyle w:val="16"/>
              <w:numPr>
                <w:ilvl w:val="2"/>
                <w:numId w:val="10"/>
              </w:numPr>
              <w:adjustRightInd w:val="0"/>
              <w:snapToGrid w:val="0"/>
              <w:ind w:left="357" w:leftChars="170" w:firstLine="0" w:firstLineChars="0"/>
              <w:rPr>
                <w:szCs w:val="21"/>
              </w:rPr>
            </w:pPr>
            <w:r>
              <w:rPr>
                <w:szCs w:val="21"/>
              </w:rPr>
              <w:t>网口口，一台；</w:t>
            </w:r>
          </w:p>
          <w:p>
            <w:pPr>
              <w:snapToGrid w:val="0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64" w:type="pct"/>
            <w:vMerge w:val="continue"/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1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vMerge w:val="continue"/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pct"/>
            <w:vMerge w:val="continue"/>
            <w:shd w:val="clear" w:color="FFFFFF" w:fill="FFFFFF"/>
            <w:vAlign w:val="center"/>
          </w:tcPr>
          <w:p>
            <w:pPr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</w:tbl>
    <w:p>
      <w:pPr>
        <w:tabs>
          <w:tab w:val="left" w:pos="7380"/>
        </w:tabs>
        <w:ind w:firstLine="435"/>
        <w:rPr>
          <w:szCs w:val="21"/>
        </w:rPr>
      </w:pPr>
    </w:p>
    <w:tbl>
      <w:tblPr>
        <w:tblStyle w:val="8"/>
        <w:tblW w:w="116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828"/>
        <w:gridCol w:w="995"/>
        <w:gridCol w:w="833"/>
        <w:gridCol w:w="7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1、安全柜基本参数：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（1）分类：B2型，100%外排， 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（2）台面距离地面高度：≥772mm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（3）风速： 平均下降风速：0.33±0.025m/s； 平均吸入口风速0.53±0.025m/s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（4）系统排风总量：≥1272 m3/h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（5）额定功率：≥1800W（含内插座500W）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（6）噪音等级：≤65dB（A）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（7）照明：≥1000lx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（8）过滤效率:送风和排风过滤器均采用HEPA（ULPA）高效过滤器，对0.3μm（0.12）颗粒过滤效率≥99.999%（99.9995%）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（9）使用人数：1—2人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2、生物安全性：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（1） 人员安全性：用碘化钾（KI）法测试，前窗操作口的保护因子应不小于1×105 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（2） 产品安全性：菌落数≤5CFU/次 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 交叉污染安全性：菌落数≤2CFU/次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二、结构功能特点： 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1、安全柜裸露工作区三侧壁板采用优质304不锈钢一体化结构，内部可清洗部位采用≥8mm大圆角处理，不留死角，易于清洁；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2、工作区采用四面（左右二侧、后部、底部）负压环绕设计工作区内，保护性更好、更安全；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3、工作台面材质为优质304#不锈钢，采用盆状式设计，即使实验有废液溢出，也不会流入积液槽中，便于清理；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4、福马脚轮设计：脚轮与支架一体化设计，安全柜即可通过脚轮安全移动，也可以通过调节脚轮支脚进行固定和调平；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5、柜体和支架可分离，支架高度可根据实际情况订制修改；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6、合理的结构设计：安全柜过滤器和风机的维修、更换，都可在安全柜的前侧进行，更加方便、快捷。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7、前窗玻璃采用双层夹胶防爆安全玻璃；即使玻璃破损，也不会伤人，并且生物安全柜还能正常工作，直到实验结束，更好的保护了人员及实验的安全。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、电容式触摸屏,显示气流流向动态，显示操作区的下降气流流速和流入气流流速，记录安全柜的整体运行时间，UV灯的运行时间，高效过滤器的运行时间，显示操作区的温度和湿度，显示送风和排风过滤器的阻力，时钟显示；运行状态全部显示,一目了然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9、电动控制前窗玻璃门，可同时采用脚踏控制、按键控制，玻璃门升降到安全操作高度时，自动停止升降，使操作更加方便；且玻璃门升降时不用直接接触玻璃，使实验人员更安全。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10、断电恢复功能：按键记忆功能、风机、日光、照明带掉电记忆功能，如果掉电后再通电有相应功能键开启会自动跳过密码进入主界面，并且有断电报警提示。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11、高效过滤器、紫外灯、系统工作时间查看，方便用户查询。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12、锁屏功能：轻触锁屏键，操作界面处于锁定状态，此时其他功能键处于锁定状态；防止误操作。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13、具有风机、紫外、插座的定时开关功能以及定时关机功能；风机与紫外预约定时，风机停止转动后，前窗玻璃自动关闭，紫外灯自动打开，定时时间结束后，紫外灯关闭；节省了工作时间，提高了工作效率。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14、用户密码修改，用户可以设置安全柜的开机密码。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15、工作区和外排出风口处各配备一个高灵敏度、高精度的风速传感器，非压差传感器，真实、实时检测风速。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16、严格的气密性检测：安全柜内加压500Pa，保持30min后气压不低于450Pa。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17、前窗气流隔断设计：防止了气流通过前窗侧壁及上侧进行泄露，使试验更加安全。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18、优良的风机选用：风机的电机当安全柜在正常运行而不调整电机的速度控制，经过滤器的风压下降50%时，风机的排气量下降不超过10%。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19、完善的报警系统：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（1）玻璃门不在安全高度报警：玻璃门安全高度为200mm，当安全柜前侧高于或低于安全高度时，安全柜会声光报警。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（2）过滤器压力超高报警：当过滤器的阻力变大，安全柜会声光报警。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（3）过滤器失效更换报警：当过滤器寿命使用到期后，会有过滤器更换声光报警。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（4）气流波动报警：当安全柜的气流波动超过标称值的20%时，声光报警。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20、安全的连锁保护设计：对误操作均设置连锁保护，即使误操作，也不会造成伤害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（1）安全柜风机与玻璃门互锁：当安全柜玻璃门落到最底部时，安全柜风机自动关闭，更改保护了安全柜的使用，增加了安全柜的使用寿命。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（2）紫外灯与安全柜玻璃门、风机及照明灯互锁：当玻璃落到底部且照明灯不开启时，紫外灯才能开启，防止紫外灯误操作对人体造成危害，更加保护了人员的安全。</w:t>
            </w: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6841" w:hRule="atLeast"/>
          <w:jc w:val="center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12"/>
              </w:tabs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注：★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号条款必须满足，一条不满足则废标；非“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★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”条款如有超过三条（含三条）不满足则废标。</w:t>
            </w:r>
          </w:p>
        </w:tc>
      </w:tr>
    </w:tbl>
    <w:p/>
    <w:p>
      <w:pPr>
        <w:tabs>
          <w:tab w:val="left" w:pos="312"/>
        </w:tabs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7380"/>
        </w:tabs>
        <w:rPr>
          <w:szCs w:val="21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Normal">
    <w:altName w:val="微软雅黑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6398"/>
    <w:multiLevelType w:val="multilevel"/>
    <w:tmpl w:val="06F76398"/>
    <w:lvl w:ilvl="0" w:tentative="0">
      <w:start w:val="1"/>
      <w:numFmt w:val="decimal"/>
      <w:lvlText w:val="%1)"/>
      <w:lvlJc w:val="left"/>
      <w:pPr>
        <w:ind w:left="777" w:hanging="420"/>
      </w:pPr>
    </w:lvl>
    <w:lvl w:ilvl="1" w:tentative="0">
      <w:start w:val="1"/>
      <w:numFmt w:val="lowerLetter"/>
      <w:lvlText w:val="%2)"/>
      <w:lvlJc w:val="left"/>
      <w:pPr>
        <w:ind w:left="1197" w:hanging="420"/>
      </w:pPr>
    </w:lvl>
    <w:lvl w:ilvl="2" w:tentative="0">
      <w:start w:val="1"/>
      <w:numFmt w:val="lowerRoman"/>
      <w:lvlText w:val="%3."/>
      <w:lvlJc w:val="right"/>
      <w:pPr>
        <w:ind w:left="1617" w:hanging="420"/>
      </w:pPr>
    </w:lvl>
    <w:lvl w:ilvl="3" w:tentative="0">
      <w:start w:val="1"/>
      <w:numFmt w:val="decimal"/>
      <w:lvlText w:val="%4."/>
      <w:lvlJc w:val="left"/>
      <w:pPr>
        <w:ind w:left="2037" w:hanging="420"/>
      </w:pPr>
    </w:lvl>
    <w:lvl w:ilvl="4" w:tentative="0">
      <w:start w:val="1"/>
      <w:numFmt w:val="lowerLetter"/>
      <w:lvlText w:val="%5)"/>
      <w:lvlJc w:val="left"/>
      <w:pPr>
        <w:ind w:left="2457" w:hanging="420"/>
      </w:pPr>
    </w:lvl>
    <w:lvl w:ilvl="5" w:tentative="0">
      <w:start w:val="1"/>
      <w:numFmt w:val="lowerRoman"/>
      <w:lvlText w:val="%6."/>
      <w:lvlJc w:val="right"/>
      <w:pPr>
        <w:ind w:left="2877" w:hanging="420"/>
      </w:pPr>
    </w:lvl>
    <w:lvl w:ilvl="6" w:tentative="0">
      <w:start w:val="1"/>
      <w:numFmt w:val="decimal"/>
      <w:lvlText w:val="%7."/>
      <w:lvlJc w:val="left"/>
      <w:pPr>
        <w:ind w:left="3297" w:hanging="420"/>
      </w:pPr>
    </w:lvl>
    <w:lvl w:ilvl="7" w:tentative="0">
      <w:start w:val="1"/>
      <w:numFmt w:val="lowerLetter"/>
      <w:lvlText w:val="%8)"/>
      <w:lvlJc w:val="left"/>
      <w:pPr>
        <w:ind w:left="3717" w:hanging="420"/>
      </w:pPr>
    </w:lvl>
    <w:lvl w:ilvl="8" w:tentative="0">
      <w:start w:val="1"/>
      <w:numFmt w:val="lowerRoman"/>
      <w:lvlText w:val="%9."/>
      <w:lvlJc w:val="right"/>
      <w:pPr>
        <w:ind w:left="4137" w:hanging="420"/>
      </w:pPr>
    </w:lvl>
  </w:abstractNum>
  <w:abstractNum w:abstractNumId="1">
    <w:nsid w:val="228D4450"/>
    <w:multiLevelType w:val="multilevel"/>
    <w:tmpl w:val="228D445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39913ED5"/>
    <w:multiLevelType w:val="multilevel"/>
    <w:tmpl w:val="39913ED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ind w:left="72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FC08AB"/>
    <w:multiLevelType w:val="multilevel"/>
    <w:tmpl w:val="4DFC08AB"/>
    <w:lvl w:ilvl="0" w:tentative="0">
      <w:start w:val="1"/>
      <w:numFmt w:val="decimal"/>
      <w:lvlText w:val="%1)"/>
      <w:lvlJc w:val="left"/>
      <w:pPr>
        <w:ind w:left="720" w:hanging="420"/>
      </w:p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5A471F13"/>
    <w:multiLevelType w:val="multilevel"/>
    <w:tmpl w:val="5A471F13"/>
    <w:lvl w:ilvl="0" w:tentative="0">
      <w:start w:val="1"/>
      <w:numFmt w:val="decimal"/>
      <w:lvlText w:val="%1)"/>
      <w:lvlJc w:val="left"/>
      <w:pPr>
        <w:ind w:left="7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64141625"/>
    <w:multiLevelType w:val="multilevel"/>
    <w:tmpl w:val="64141625"/>
    <w:lvl w:ilvl="0" w:tentative="0">
      <w:start w:val="1"/>
      <w:numFmt w:val="decimal"/>
      <w:lvlText w:val="%1)"/>
      <w:lvlJc w:val="left"/>
      <w:pPr>
        <w:ind w:left="7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647A6062"/>
    <w:multiLevelType w:val="multilevel"/>
    <w:tmpl w:val="647A606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686F3C8C"/>
    <w:multiLevelType w:val="multilevel"/>
    <w:tmpl w:val="686F3C8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EA39C4"/>
    <w:multiLevelType w:val="multilevel"/>
    <w:tmpl w:val="68EA39C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6B08711A"/>
    <w:multiLevelType w:val="multilevel"/>
    <w:tmpl w:val="6B0871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zKztDQ3MzIwsLBQ0lEKTi0uzszPAykwqQUA9wPl5ywAAAA="/>
    <w:docVar w:name="commondata" w:val="eyJoZGlkIjoiZGE1ZmMyMjE3OGZjYTA5NWJhMDdhZjA3OGM5MmExNjYifQ=="/>
  </w:docVars>
  <w:rsids>
    <w:rsidRoot w:val="007F24C0"/>
    <w:rsid w:val="000051EF"/>
    <w:rsid w:val="00014FB9"/>
    <w:rsid w:val="0003625C"/>
    <w:rsid w:val="000761BE"/>
    <w:rsid w:val="00081B87"/>
    <w:rsid w:val="000846D3"/>
    <w:rsid w:val="00086B68"/>
    <w:rsid w:val="000952D7"/>
    <w:rsid w:val="000A1825"/>
    <w:rsid w:val="000D08B4"/>
    <w:rsid w:val="000F28FB"/>
    <w:rsid w:val="000F5A01"/>
    <w:rsid w:val="0012339B"/>
    <w:rsid w:val="00137A27"/>
    <w:rsid w:val="00147B84"/>
    <w:rsid w:val="00153955"/>
    <w:rsid w:val="001558F6"/>
    <w:rsid w:val="001676D5"/>
    <w:rsid w:val="00173F86"/>
    <w:rsid w:val="001770A8"/>
    <w:rsid w:val="001B5BA5"/>
    <w:rsid w:val="001E4C72"/>
    <w:rsid w:val="001E5D64"/>
    <w:rsid w:val="001F0DFC"/>
    <w:rsid w:val="00210C56"/>
    <w:rsid w:val="00212DA7"/>
    <w:rsid w:val="00226257"/>
    <w:rsid w:val="00237F70"/>
    <w:rsid w:val="00245EA0"/>
    <w:rsid w:val="002B2B3E"/>
    <w:rsid w:val="002B3A95"/>
    <w:rsid w:val="002D5380"/>
    <w:rsid w:val="002D7A61"/>
    <w:rsid w:val="002F1F39"/>
    <w:rsid w:val="00302C3B"/>
    <w:rsid w:val="00315169"/>
    <w:rsid w:val="00320BC9"/>
    <w:rsid w:val="00331FC5"/>
    <w:rsid w:val="00360A1D"/>
    <w:rsid w:val="00361400"/>
    <w:rsid w:val="00381EE8"/>
    <w:rsid w:val="003B6E8D"/>
    <w:rsid w:val="00430E76"/>
    <w:rsid w:val="00435E83"/>
    <w:rsid w:val="00480AB2"/>
    <w:rsid w:val="00495E6C"/>
    <w:rsid w:val="004C3976"/>
    <w:rsid w:val="005211A3"/>
    <w:rsid w:val="00544470"/>
    <w:rsid w:val="00554D9A"/>
    <w:rsid w:val="00562A3E"/>
    <w:rsid w:val="00566FBA"/>
    <w:rsid w:val="00572B03"/>
    <w:rsid w:val="00573E7E"/>
    <w:rsid w:val="005C1956"/>
    <w:rsid w:val="005C53AC"/>
    <w:rsid w:val="005E0AB8"/>
    <w:rsid w:val="005E0EA8"/>
    <w:rsid w:val="00621FA4"/>
    <w:rsid w:val="00626213"/>
    <w:rsid w:val="0069264C"/>
    <w:rsid w:val="006C77DC"/>
    <w:rsid w:val="0072728E"/>
    <w:rsid w:val="00736D12"/>
    <w:rsid w:val="0074540C"/>
    <w:rsid w:val="007822BB"/>
    <w:rsid w:val="00786BFB"/>
    <w:rsid w:val="007A1C45"/>
    <w:rsid w:val="007B40B3"/>
    <w:rsid w:val="007C48C6"/>
    <w:rsid w:val="007F12ED"/>
    <w:rsid w:val="007F24C0"/>
    <w:rsid w:val="00823C68"/>
    <w:rsid w:val="00824AC4"/>
    <w:rsid w:val="00863E95"/>
    <w:rsid w:val="008A4B00"/>
    <w:rsid w:val="008B63BA"/>
    <w:rsid w:val="008C6983"/>
    <w:rsid w:val="008D22F1"/>
    <w:rsid w:val="008E1CFD"/>
    <w:rsid w:val="008F4E51"/>
    <w:rsid w:val="008F5F35"/>
    <w:rsid w:val="00920DCD"/>
    <w:rsid w:val="00923CCB"/>
    <w:rsid w:val="009273B1"/>
    <w:rsid w:val="00951C48"/>
    <w:rsid w:val="00975DD8"/>
    <w:rsid w:val="009C0A09"/>
    <w:rsid w:val="009C4D40"/>
    <w:rsid w:val="009D2C15"/>
    <w:rsid w:val="009D3A41"/>
    <w:rsid w:val="009F3577"/>
    <w:rsid w:val="009F5577"/>
    <w:rsid w:val="00A055D9"/>
    <w:rsid w:val="00A75B7A"/>
    <w:rsid w:val="00A86001"/>
    <w:rsid w:val="00AB042F"/>
    <w:rsid w:val="00AB2253"/>
    <w:rsid w:val="00AC7DA8"/>
    <w:rsid w:val="00AD1DCD"/>
    <w:rsid w:val="00AD1F5D"/>
    <w:rsid w:val="00AF0BAC"/>
    <w:rsid w:val="00AF1DE4"/>
    <w:rsid w:val="00B05EAD"/>
    <w:rsid w:val="00B34CFF"/>
    <w:rsid w:val="00B359BF"/>
    <w:rsid w:val="00B37B6B"/>
    <w:rsid w:val="00B64FF9"/>
    <w:rsid w:val="00B7504D"/>
    <w:rsid w:val="00BC3C2A"/>
    <w:rsid w:val="00BC3CE0"/>
    <w:rsid w:val="00BF428B"/>
    <w:rsid w:val="00C13470"/>
    <w:rsid w:val="00C85F66"/>
    <w:rsid w:val="00CA010B"/>
    <w:rsid w:val="00CA3F58"/>
    <w:rsid w:val="00CD68F6"/>
    <w:rsid w:val="00CE342A"/>
    <w:rsid w:val="00CE37E5"/>
    <w:rsid w:val="00CF3F6D"/>
    <w:rsid w:val="00D048BA"/>
    <w:rsid w:val="00D14271"/>
    <w:rsid w:val="00D233CD"/>
    <w:rsid w:val="00D23728"/>
    <w:rsid w:val="00D27F91"/>
    <w:rsid w:val="00D44FDC"/>
    <w:rsid w:val="00D64483"/>
    <w:rsid w:val="00DA7C2E"/>
    <w:rsid w:val="00DB331A"/>
    <w:rsid w:val="00DB41BB"/>
    <w:rsid w:val="00DC3675"/>
    <w:rsid w:val="00DD37C1"/>
    <w:rsid w:val="00E339D4"/>
    <w:rsid w:val="00EC3DE9"/>
    <w:rsid w:val="00EE69DD"/>
    <w:rsid w:val="00EF1F2A"/>
    <w:rsid w:val="00F10EDC"/>
    <w:rsid w:val="00F149A3"/>
    <w:rsid w:val="00F42D1E"/>
    <w:rsid w:val="00F42DF4"/>
    <w:rsid w:val="00F43E85"/>
    <w:rsid w:val="00F43F67"/>
    <w:rsid w:val="00F55830"/>
    <w:rsid w:val="00F63D6D"/>
    <w:rsid w:val="00F82714"/>
    <w:rsid w:val="00FA1D88"/>
    <w:rsid w:val="00FB570A"/>
    <w:rsid w:val="00FC1CCF"/>
    <w:rsid w:val="00FC253D"/>
    <w:rsid w:val="00FE4230"/>
    <w:rsid w:val="00FF2D59"/>
    <w:rsid w:val="00FF442F"/>
    <w:rsid w:val="042641DB"/>
    <w:rsid w:val="06302827"/>
    <w:rsid w:val="08CE609D"/>
    <w:rsid w:val="0D3D37F2"/>
    <w:rsid w:val="0F7C7F7B"/>
    <w:rsid w:val="12303925"/>
    <w:rsid w:val="1A935BF8"/>
    <w:rsid w:val="1B66799A"/>
    <w:rsid w:val="1D104A7F"/>
    <w:rsid w:val="1E5F5CBE"/>
    <w:rsid w:val="2375388E"/>
    <w:rsid w:val="27D33279"/>
    <w:rsid w:val="2AF94DA4"/>
    <w:rsid w:val="2D6C3526"/>
    <w:rsid w:val="2F2B1948"/>
    <w:rsid w:val="306953D3"/>
    <w:rsid w:val="32B83797"/>
    <w:rsid w:val="38482EC7"/>
    <w:rsid w:val="3C545D60"/>
    <w:rsid w:val="3DAC214A"/>
    <w:rsid w:val="3F375A43"/>
    <w:rsid w:val="410F4ECA"/>
    <w:rsid w:val="50E81293"/>
    <w:rsid w:val="54E12281"/>
    <w:rsid w:val="55AF412E"/>
    <w:rsid w:val="5DBE13B2"/>
    <w:rsid w:val="614257E2"/>
    <w:rsid w:val="63B70D7D"/>
    <w:rsid w:val="679F3566"/>
    <w:rsid w:val="67D40ECF"/>
    <w:rsid w:val="68B57855"/>
    <w:rsid w:val="6D7221B9"/>
    <w:rsid w:val="6FEF189F"/>
    <w:rsid w:val="719C15B2"/>
    <w:rsid w:val="72ED2C65"/>
    <w:rsid w:val="7AFE32DE"/>
    <w:rsid w:val="7C292420"/>
    <w:rsid w:val="7C49116D"/>
    <w:rsid w:val="7C9C2DAE"/>
    <w:rsid w:val="7CC320E9"/>
    <w:rsid w:val="7D3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正文-LHM"/>
    <w:basedOn w:val="1"/>
    <w:qFormat/>
    <w:uiPriority w:val="0"/>
    <w:pPr>
      <w:spacing w:line="340" w:lineRule="exact"/>
    </w:pPr>
    <w:rPr>
      <w:rFonts w:hint="eastAsia" w:ascii="思源黑体 CN Normal" w:hAnsi="思源黑体 CN Normal" w:eastAsia="思源黑体 CN Normal" w:cs="思源黑体 CN Normal"/>
      <w:sz w:val="18"/>
      <w:szCs w:val="1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9">
    <w:name w:val="批注文字 字符"/>
    <w:basedOn w:val="10"/>
    <w:link w:val="2"/>
    <w:qFormat/>
    <w:uiPriority w:val="99"/>
    <w:rPr>
      <w:kern w:val="2"/>
      <w:sz w:val="21"/>
      <w:szCs w:val="24"/>
    </w:rPr>
  </w:style>
  <w:style w:type="character" w:customStyle="1" w:styleId="20">
    <w:name w:val="批注主题 字符"/>
    <w:basedOn w:val="19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7796-E76C-4211-A194-6EF6C4069B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4973</Words>
  <Characters>5595</Characters>
  <Lines>42</Lines>
  <Paragraphs>11</Paragraphs>
  <TotalTime>48</TotalTime>
  <ScaleCrop>false</ScaleCrop>
  <LinksUpToDate>false</LinksUpToDate>
  <CharactersWithSpaces>5649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2023-05-06T08:32:00Z</dcterms:created>
  <dc:creator>Windows User</dc:creator>
  <cp:lastModifiedBy>黑龙江鼎鑫建筑工程管理咨询有限公司</cp:lastModifiedBy>
  <cp:lastPrinted>2022-06-13T08:04:00Z</cp:lastPrinted>
  <dcterms:modified xsi:type="dcterms:W3CDTF">2023-05-08T02:31:39Z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334643A56A5849E281BD4C8781FE15B8_13</vt:lpwstr>
  </property>
</Properties>
</file>