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24"/>
          <w:szCs w:val="24"/>
        </w:rPr>
      </w:pPr>
      <w:r>
        <w:rPr>
          <w:rFonts w:hint="eastAsia"/>
          <w:sz w:val="24"/>
          <w:szCs w:val="24"/>
        </w:rPr>
        <w:t>建设清单</w:t>
      </w:r>
    </w:p>
    <w:tbl>
      <w:tblPr>
        <w:tblStyle w:val="38"/>
        <w:tblW w:w="8237" w:type="dxa"/>
        <w:tblInd w:w="93" w:type="dxa"/>
        <w:tblLayout w:type="autofit"/>
        <w:tblCellMar>
          <w:top w:w="0" w:type="dxa"/>
          <w:left w:w="108" w:type="dxa"/>
          <w:bottom w:w="0" w:type="dxa"/>
          <w:right w:w="108" w:type="dxa"/>
        </w:tblCellMar>
      </w:tblPr>
      <w:tblGrid>
        <w:gridCol w:w="790"/>
        <w:gridCol w:w="3478"/>
        <w:gridCol w:w="3969"/>
      </w:tblGrid>
      <w:tr>
        <w:tblPrEx>
          <w:tblCellMar>
            <w:top w:w="0" w:type="dxa"/>
            <w:left w:w="108" w:type="dxa"/>
            <w:bottom w:w="0" w:type="dxa"/>
            <w:right w:w="108" w:type="dxa"/>
          </w:tblCellMar>
        </w:tblPrEx>
        <w:trPr>
          <w:trHeight w:val="375" w:hRule="atLeast"/>
        </w:trPr>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6"/>
              <w:rPr>
                <w:rFonts w:asciiTheme="minorEastAsia" w:hAnsiTheme="minorEastAsia"/>
                <w:szCs w:val="24"/>
              </w:rPr>
            </w:pPr>
            <w:r>
              <w:rPr>
                <w:rFonts w:hint="eastAsia" w:asciiTheme="minorEastAsia" w:hAnsiTheme="minorEastAsia"/>
                <w:szCs w:val="24"/>
              </w:rPr>
              <w:t>序号</w:t>
            </w:r>
          </w:p>
        </w:tc>
        <w:tc>
          <w:tcPr>
            <w:tcW w:w="3478" w:type="dxa"/>
            <w:tcBorders>
              <w:top w:val="single" w:color="auto" w:sz="4" w:space="0"/>
              <w:left w:val="nil"/>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模块名称</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功能名称</w:t>
            </w:r>
          </w:p>
        </w:tc>
      </w:tr>
      <w:tr>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1</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医院信息运维管理系统</w:t>
            </w:r>
          </w:p>
        </w:tc>
        <w:tc>
          <w:tcPr>
            <w:tcW w:w="3969"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IT资源监控</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asciiTheme="minorEastAsia" w:hAnsiTheme="minorEastAsia"/>
                <w:szCs w:val="24"/>
              </w:rPr>
              <w:t>2</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医院信息运维管理系统</w:t>
            </w:r>
          </w:p>
        </w:tc>
        <w:tc>
          <w:tcPr>
            <w:tcW w:w="3969"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智能报修</w:t>
            </w:r>
          </w:p>
        </w:tc>
      </w:tr>
      <w:tr>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3</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急诊管理系统</w:t>
            </w:r>
          </w:p>
        </w:tc>
        <w:tc>
          <w:tcPr>
            <w:tcW w:w="3969"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急诊分诊工作站系统</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4</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急诊管理系统</w:t>
            </w:r>
          </w:p>
        </w:tc>
        <w:tc>
          <w:tcPr>
            <w:tcW w:w="3969"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抢救工作站系统</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5</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急诊管理系统</w:t>
            </w:r>
          </w:p>
        </w:tc>
        <w:tc>
          <w:tcPr>
            <w:tcW w:w="3969"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留观工作站系统</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6</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急诊管理系统</w:t>
            </w:r>
          </w:p>
        </w:tc>
        <w:tc>
          <w:tcPr>
            <w:tcW w:w="3969" w:type="dxa"/>
            <w:tcBorders>
              <w:top w:val="nil"/>
              <w:left w:val="nil"/>
              <w:bottom w:val="single" w:color="auto" w:sz="4" w:space="0"/>
              <w:right w:val="single" w:color="auto" w:sz="4" w:space="0"/>
            </w:tcBorders>
            <w:shd w:val="clear" w:color="auto" w:fill="auto"/>
          </w:tcPr>
          <w:p>
            <w:pPr>
              <w:pStyle w:val="66"/>
              <w:jc w:val="center"/>
              <w:rPr>
                <w:rFonts w:asciiTheme="minorEastAsia" w:hAnsiTheme="minorEastAsia"/>
                <w:szCs w:val="24"/>
              </w:rPr>
            </w:pPr>
            <w:r>
              <w:rPr>
                <w:rFonts w:hint="eastAsia" w:asciiTheme="minorEastAsia" w:hAnsiTheme="minorEastAsia"/>
                <w:szCs w:val="24"/>
              </w:rPr>
              <w:t>急诊电子病历系统</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7</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急诊管理系统</w:t>
            </w:r>
          </w:p>
        </w:tc>
        <w:tc>
          <w:tcPr>
            <w:tcW w:w="3969" w:type="dxa"/>
            <w:tcBorders>
              <w:top w:val="nil"/>
              <w:left w:val="nil"/>
              <w:bottom w:val="single" w:color="auto" w:sz="4" w:space="0"/>
              <w:right w:val="single" w:color="auto" w:sz="4" w:space="0"/>
            </w:tcBorders>
            <w:shd w:val="clear" w:color="auto" w:fill="auto"/>
          </w:tcPr>
          <w:p>
            <w:pPr>
              <w:pStyle w:val="66"/>
              <w:jc w:val="center"/>
              <w:rPr>
                <w:rFonts w:asciiTheme="minorEastAsia" w:hAnsiTheme="minorEastAsia"/>
                <w:szCs w:val="24"/>
              </w:rPr>
            </w:pPr>
            <w:r>
              <w:rPr>
                <w:rFonts w:hint="eastAsia" w:asciiTheme="minorEastAsia" w:hAnsiTheme="minorEastAsia"/>
                <w:szCs w:val="24"/>
              </w:rPr>
              <w:t>质控管理系统</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8</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急诊管理系统</w:t>
            </w:r>
          </w:p>
        </w:tc>
        <w:tc>
          <w:tcPr>
            <w:tcW w:w="3969" w:type="dxa"/>
            <w:tcBorders>
              <w:top w:val="nil"/>
              <w:left w:val="nil"/>
              <w:bottom w:val="single" w:color="auto" w:sz="4" w:space="0"/>
              <w:right w:val="single" w:color="auto" w:sz="4" w:space="0"/>
            </w:tcBorders>
            <w:shd w:val="clear" w:color="auto" w:fill="auto"/>
          </w:tcPr>
          <w:p>
            <w:pPr>
              <w:pStyle w:val="66"/>
              <w:jc w:val="center"/>
              <w:rPr>
                <w:rFonts w:asciiTheme="minorEastAsia" w:hAnsiTheme="minorEastAsia"/>
                <w:szCs w:val="24"/>
              </w:rPr>
            </w:pPr>
            <w:r>
              <w:rPr>
                <w:rFonts w:hint="eastAsia" w:asciiTheme="minorEastAsia" w:hAnsiTheme="minorEastAsia"/>
                <w:szCs w:val="24"/>
              </w:rPr>
              <w:t>CA数字认证系统</w:t>
            </w:r>
          </w:p>
        </w:tc>
      </w:tr>
      <w:tr>
        <w:tblPrEx>
          <w:tblCellMar>
            <w:top w:w="0" w:type="dxa"/>
            <w:left w:w="108" w:type="dxa"/>
            <w:bottom w:w="0" w:type="dxa"/>
            <w:right w:w="108" w:type="dxa"/>
          </w:tblCellMar>
        </w:tblPrEx>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9</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医院感染管理系统</w:t>
            </w:r>
          </w:p>
        </w:tc>
        <w:tc>
          <w:tcPr>
            <w:tcW w:w="3969" w:type="dxa"/>
            <w:tcBorders>
              <w:top w:val="nil"/>
              <w:left w:val="nil"/>
              <w:bottom w:val="single" w:color="auto" w:sz="4" w:space="0"/>
              <w:right w:val="single" w:color="auto" w:sz="4" w:space="0"/>
            </w:tcBorders>
            <w:shd w:val="clear" w:color="auto" w:fill="auto"/>
          </w:tcPr>
          <w:p>
            <w:pPr>
              <w:pStyle w:val="66"/>
              <w:jc w:val="center"/>
              <w:rPr>
                <w:rFonts w:asciiTheme="minorEastAsia" w:hAnsiTheme="minorEastAsia"/>
                <w:szCs w:val="24"/>
              </w:rPr>
            </w:pPr>
            <w:r>
              <w:rPr>
                <w:rFonts w:hint="eastAsia" w:asciiTheme="minorEastAsia" w:hAnsiTheme="minorEastAsia"/>
                <w:szCs w:val="24"/>
              </w:rPr>
              <w:t>医院感染管理系统</w:t>
            </w:r>
          </w:p>
        </w:tc>
      </w:tr>
      <w:tr>
        <w:trPr>
          <w:trHeight w:val="375" w:hRule="atLeast"/>
        </w:trPr>
        <w:tc>
          <w:tcPr>
            <w:tcW w:w="790" w:type="dxa"/>
            <w:tcBorders>
              <w:top w:val="nil"/>
              <w:left w:val="single" w:color="auto" w:sz="4" w:space="0"/>
              <w:bottom w:val="single" w:color="auto" w:sz="4" w:space="0"/>
              <w:right w:val="single" w:color="auto" w:sz="4" w:space="0"/>
            </w:tcBorders>
            <w:shd w:val="clear" w:color="auto" w:fill="auto"/>
            <w:noWrap/>
            <w:vAlign w:val="center"/>
          </w:tcPr>
          <w:p>
            <w:pPr>
              <w:pStyle w:val="66"/>
              <w:jc w:val="center"/>
              <w:rPr>
                <w:rFonts w:asciiTheme="minorEastAsia" w:hAnsiTheme="minorEastAsia"/>
                <w:szCs w:val="24"/>
              </w:rPr>
            </w:pPr>
            <w:r>
              <w:rPr>
                <w:rFonts w:hint="eastAsia" w:asciiTheme="minorEastAsia" w:hAnsiTheme="minorEastAsia"/>
                <w:szCs w:val="24"/>
              </w:rPr>
              <w:t>1</w:t>
            </w:r>
            <w:r>
              <w:rPr>
                <w:rFonts w:asciiTheme="minorEastAsia" w:hAnsiTheme="minorEastAsia"/>
                <w:szCs w:val="24"/>
              </w:rPr>
              <w:t>0</w:t>
            </w:r>
          </w:p>
        </w:tc>
        <w:tc>
          <w:tcPr>
            <w:tcW w:w="3478" w:type="dxa"/>
            <w:tcBorders>
              <w:top w:val="nil"/>
              <w:left w:val="nil"/>
              <w:bottom w:val="single" w:color="auto" w:sz="4" w:space="0"/>
              <w:right w:val="single" w:color="auto" w:sz="4" w:space="0"/>
            </w:tcBorders>
            <w:shd w:val="clear" w:color="auto" w:fill="auto"/>
            <w:vAlign w:val="center"/>
          </w:tcPr>
          <w:p>
            <w:pPr>
              <w:pStyle w:val="66"/>
              <w:jc w:val="center"/>
              <w:rPr>
                <w:rFonts w:asciiTheme="minorEastAsia" w:hAnsiTheme="minorEastAsia"/>
                <w:szCs w:val="24"/>
              </w:rPr>
            </w:pPr>
            <w:r>
              <w:rPr>
                <w:rFonts w:hint="eastAsia" w:asciiTheme="minorEastAsia" w:hAnsiTheme="minorEastAsia"/>
                <w:szCs w:val="24"/>
              </w:rPr>
              <w:t>处方前置审核系统</w:t>
            </w:r>
          </w:p>
        </w:tc>
        <w:tc>
          <w:tcPr>
            <w:tcW w:w="3969" w:type="dxa"/>
            <w:tcBorders>
              <w:top w:val="nil"/>
              <w:left w:val="nil"/>
              <w:bottom w:val="single" w:color="auto" w:sz="4" w:space="0"/>
              <w:right w:val="single" w:color="auto" w:sz="4" w:space="0"/>
            </w:tcBorders>
            <w:shd w:val="clear" w:color="auto" w:fill="auto"/>
          </w:tcPr>
          <w:p>
            <w:pPr>
              <w:pStyle w:val="66"/>
              <w:jc w:val="center"/>
              <w:rPr>
                <w:rFonts w:asciiTheme="minorEastAsia" w:hAnsiTheme="minorEastAsia"/>
                <w:szCs w:val="24"/>
              </w:rPr>
            </w:pPr>
            <w:r>
              <w:rPr>
                <w:rFonts w:hint="eastAsia" w:asciiTheme="minorEastAsia" w:hAnsiTheme="minorEastAsia"/>
                <w:szCs w:val="24"/>
              </w:rPr>
              <w:t>处方前置审核系统</w:t>
            </w:r>
          </w:p>
        </w:tc>
      </w:tr>
    </w:tbl>
    <w:p>
      <w:pPr>
        <w:pStyle w:val="66"/>
        <w:rPr>
          <w:rFonts w:asciiTheme="minorEastAsia" w:hAnsiTheme="minorEastAsia"/>
          <w:szCs w:val="24"/>
        </w:rPr>
      </w:pPr>
    </w:p>
    <w:p>
      <w:pPr>
        <w:pStyle w:val="5"/>
        <w:rPr>
          <w:sz w:val="24"/>
          <w:szCs w:val="24"/>
        </w:rPr>
      </w:pPr>
      <w:r>
        <w:rPr>
          <w:rFonts w:hint="eastAsia"/>
          <w:sz w:val="24"/>
          <w:szCs w:val="24"/>
        </w:rPr>
        <w:t>建设内容</w:t>
      </w:r>
    </w:p>
    <w:p>
      <w:pPr>
        <w:pStyle w:val="6"/>
        <w:rPr>
          <w:szCs w:val="24"/>
        </w:rPr>
      </w:pPr>
      <w:r>
        <w:rPr>
          <w:rFonts w:hint="eastAsia"/>
          <w:szCs w:val="24"/>
        </w:rPr>
        <w:t>医院信息运维管理系统</w:t>
      </w:r>
    </w:p>
    <w:tbl>
      <w:tblPr>
        <w:tblStyle w:val="38"/>
        <w:tblpPr w:leftFromText="180" w:rightFromText="180" w:vertAnchor="text" w:horzAnchor="page" w:tblpX="1221" w:tblpY="655"/>
        <w:tblOverlap w:val="never"/>
        <w:tblW w:w="10050" w:type="dxa"/>
        <w:tblInd w:w="0" w:type="dxa"/>
        <w:tblLayout w:type="autofit"/>
        <w:tblCellMar>
          <w:top w:w="0" w:type="dxa"/>
          <w:left w:w="108" w:type="dxa"/>
          <w:bottom w:w="0" w:type="dxa"/>
          <w:right w:w="108" w:type="dxa"/>
        </w:tblCellMar>
      </w:tblPr>
      <w:tblGrid>
        <w:gridCol w:w="683"/>
        <w:gridCol w:w="2055"/>
        <w:gridCol w:w="7312"/>
      </w:tblGrid>
      <w:tr>
        <w:tblPrEx>
          <w:tblCellMar>
            <w:top w:w="0" w:type="dxa"/>
            <w:left w:w="108" w:type="dxa"/>
            <w:bottom w:w="0" w:type="dxa"/>
            <w:right w:w="108" w:type="dxa"/>
          </w:tblCellMar>
        </w:tblPrEx>
        <w:trPr>
          <w:trHeight w:val="740" w:hRule="atLeast"/>
        </w:trPr>
        <w:tc>
          <w:tcPr>
            <w:tcW w:w="68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名称</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功能模块</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产品描述</w:t>
            </w:r>
          </w:p>
        </w:tc>
      </w:tr>
      <w:tr>
        <w:tblPrEx>
          <w:tblCellMar>
            <w:top w:w="0" w:type="dxa"/>
            <w:left w:w="108" w:type="dxa"/>
            <w:bottom w:w="0" w:type="dxa"/>
            <w:right w:w="108" w:type="dxa"/>
          </w:tblCellMar>
        </w:tblPrEx>
        <w:trPr>
          <w:trHeight w:val="600" w:hRule="atLeast"/>
        </w:trPr>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IT资源监控</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ITM监控管理系统基础模块</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对IT基础资源监控管理，包括资源管理、拓扑管理、告警管理、报表管理、系统管理等功能组成，默认包含一个采集器</w:t>
            </w:r>
          </w:p>
        </w:tc>
      </w:tr>
      <w:tr>
        <w:tblPrEx>
          <w:tblCellMar>
            <w:top w:w="0" w:type="dxa"/>
            <w:left w:w="108" w:type="dxa"/>
            <w:bottom w:w="0" w:type="dxa"/>
            <w:right w:w="108" w:type="dxa"/>
          </w:tblCellMar>
        </w:tblPrEx>
        <w:trPr>
          <w:trHeight w:val="46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巡检管理功能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包括巡检计划管理、巡检报告建模功能</w:t>
            </w:r>
          </w:p>
        </w:tc>
      </w:tr>
      <w:tr>
        <w:tblPrEx>
          <w:tblCellMar>
            <w:top w:w="0" w:type="dxa"/>
            <w:left w:w="108" w:type="dxa"/>
            <w:bottom w:w="0" w:type="dxa"/>
            <w:right w:w="108" w:type="dxa"/>
          </w:tblCellMar>
        </w:tblPrEx>
        <w:trPr>
          <w:trHeight w:val="72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配置文件管理功能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包括网络设备的配置文件下载，配置版本化管理和变化异常预警功能</w:t>
            </w:r>
          </w:p>
        </w:tc>
      </w:tr>
      <w:tr>
        <w:tblPrEx>
          <w:tblCellMar>
            <w:top w:w="0" w:type="dxa"/>
            <w:left w:w="108" w:type="dxa"/>
            <w:bottom w:w="0" w:type="dxa"/>
            <w:right w:w="108" w:type="dxa"/>
          </w:tblCellMar>
        </w:tblPrEx>
        <w:trPr>
          <w:trHeight w:val="56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日志管理模块</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包括对syslog、snmp trap等相关的日志的监控，同时也支持与redis的日志系统进行集成管理</w:t>
            </w:r>
          </w:p>
        </w:tc>
      </w:tr>
      <w:tr>
        <w:tblPrEx>
          <w:tblCellMar>
            <w:top w:w="0" w:type="dxa"/>
            <w:left w:w="108" w:type="dxa"/>
            <w:bottom w:w="0" w:type="dxa"/>
            <w:right w:w="108" w:type="dxa"/>
          </w:tblCellMar>
        </w:tblPrEx>
        <w:trPr>
          <w:trHeight w:val="50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知识库管理模块</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支持知识及解决方案的新建、编辑，并可以与告警进行关联。同时支持脚本管理，可以通过系统的条件自动触发相关的脚本，实现故障处理自动化</w:t>
            </w:r>
          </w:p>
        </w:tc>
      </w:tr>
      <w:tr>
        <w:tblPrEx>
          <w:tblCellMar>
            <w:top w:w="0" w:type="dxa"/>
            <w:left w:w="108" w:type="dxa"/>
            <w:bottom w:w="0" w:type="dxa"/>
            <w:right w:w="108" w:type="dxa"/>
          </w:tblCellMar>
        </w:tblPrEx>
        <w:trPr>
          <w:trHeight w:val="32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APP移动端</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APP移动端可以查看系统的资源情况、告警情况，支持IOS、andriod客户端</w:t>
            </w:r>
          </w:p>
        </w:tc>
      </w:tr>
      <w:tr>
        <w:tblPrEx>
          <w:tblCellMar>
            <w:top w:w="0" w:type="dxa"/>
            <w:left w:w="108" w:type="dxa"/>
            <w:bottom w:w="0" w:type="dxa"/>
            <w:right w:w="108" w:type="dxa"/>
          </w:tblCellMar>
        </w:tblPrEx>
        <w:trPr>
          <w:trHeight w:val="44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微信告警端</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微信告警端通过配置企业微信号，将告警通过微信发送</w:t>
            </w:r>
          </w:p>
        </w:tc>
      </w:tr>
      <w:tr>
        <w:tblPrEx>
          <w:tblCellMar>
            <w:top w:w="0" w:type="dxa"/>
            <w:left w:w="108" w:type="dxa"/>
            <w:bottom w:w="0" w:type="dxa"/>
            <w:right w:w="108" w:type="dxa"/>
          </w:tblCellMar>
        </w:tblPrEx>
        <w:trPr>
          <w:trHeight w:val="72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扩展采集器(个)</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分布式数据采集器1个，根据硬件、软件、应用、存储、宿主机、虚拟机等购买的资源授权点数之和，计算所需扩展的采集器数量，每个采集器支持扩展500个监控资源数，每超过500个监控资源数，必须配置采集器数。</w:t>
            </w:r>
          </w:p>
        </w:tc>
      </w:tr>
      <w:tr>
        <w:tblPrEx>
          <w:tblCellMar>
            <w:top w:w="0" w:type="dxa"/>
            <w:left w:w="108" w:type="dxa"/>
            <w:bottom w:w="0" w:type="dxa"/>
            <w:right w:w="108" w:type="dxa"/>
          </w:tblCellMar>
        </w:tblPrEx>
        <w:trPr>
          <w:trHeight w:val="44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基础资源监控授权</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资源包括交换机、路由器、防火墙、服务器、数据库、应用量资源包括虚拟化（物理主机）、cluster、存储的数量授权等（AC1:1  瘦AP20:1)。</w:t>
            </w:r>
          </w:p>
        </w:tc>
      </w:tr>
      <w:tr>
        <w:tblPrEx>
          <w:tblCellMar>
            <w:top w:w="0" w:type="dxa"/>
            <w:left w:w="108" w:type="dxa"/>
            <w:bottom w:w="0" w:type="dxa"/>
            <w:right w:w="108" w:type="dxa"/>
          </w:tblCellMar>
        </w:tblPrEx>
        <w:trPr>
          <w:trHeight w:val="503"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应用监控功能授权</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应用监控功能点数授权：包括PING、Remote Ping、URL、PORT、FTP、DNS、POP3、SMTP、进程等基础应用</w:t>
            </w:r>
          </w:p>
        </w:tc>
      </w:tr>
      <w:tr>
        <w:tblPrEx>
          <w:tblCellMar>
            <w:top w:w="0" w:type="dxa"/>
            <w:left w:w="108" w:type="dxa"/>
            <w:bottom w:w="0" w:type="dxa"/>
            <w:right w:w="108" w:type="dxa"/>
          </w:tblCellMar>
        </w:tblPrEx>
        <w:trPr>
          <w:trHeight w:val="503"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虚拟化监控管理功能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对虚拟化设备监控管理（VMware、Hyper-v、ctrix、华为、openstack、KVM），包括虚拟化集群、存储、宿主机，虚拟机的运行状况监控管理功能。</w:t>
            </w:r>
          </w:p>
        </w:tc>
      </w:tr>
      <w:tr>
        <w:tblPrEx>
          <w:tblCellMar>
            <w:top w:w="0" w:type="dxa"/>
            <w:left w:w="108" w:type="dxa"/>
            <w:bottom w:w="0" w:type="dxa"/>
            <w:right w:w="108" w:type="dxa"/>
          </w:tblCellMar>
        </w:tblPrEx>
        <w:trPr>
          <w:trHeight w:val="33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微软雅黑" w:hAnsi="微软雅黑" w:eastAsia="微软雅黑" w:cs="微软雅黑"/>
                <w:color w:val="000000"/>
                <w:sz w:val="22"/>
                <w:szCs w:val="22"/>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业务管理监控功能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包括业务系统绘制、展现业务系统的业务服务构成、业务系统健康度及容量计算、业务系统汇总统计等</w:t>
            </w:r>
          </w:p>
        </w:tc>
      </w:tr>
      <w:tr>
        <w:tblPrEx>
          <w:tblCellMar>
            <w:top w:w="0" w:type="dxa"/>
            <w:left w:w="108" w:type="dxa"/>
            <w:bottom w:w="0" w:type="dxa"/>
            <w:right w:w="108" w:type="dxa"/>
          </w:tblCellMar>
        </w:tblPrEx>
        <w:trPr>
          <w:trHeight w:val="420" w:hRule="atLeast"/>
        </w:trPr>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智能报修</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智能报修基础模块</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支持微信报修、网页报修、电话报修多种报修渠道，提供手工派单模式、工单管理、通知公告、消息提醒、任务计划管理。</w:t>
            </w:r>
          </w:p>
        </w:tc>
      </w:tr>
      <w:tr>
        <w:tblPrEx>
          <w:tblCellMar>
            <w:top w:w="0" w:type="dxa"/>
            <w:left w:w="108" w:type="dxa"/>
            <w:bottom w:w="0" w:type="dxa"/>
            <w:right w:w="108" w:type="dxa"/>
          </w:tblCellMar>
        </w:tblPrEx>
        <w:trPr>
          <w:trHeight w:val="503"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智能服务台功能许可</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提供智能派单、延时智能派单功能许可。</w:t>
            </w:r>
          </w:p>
        </w:tc>
      </w:tr>
      <w:tr>
        <w:tblPrEx>
          <w:tblCellMar>
            <w:top w:w="0" w:type="dxa"/>
            <w:left w:w="108" w:type="dxa"/>
            <w:bottom w:w="0" w:type="dxa"/>
            <w:right w:w="108" w:type="dxa"/>
          </w:tblCellMar>
        </w:tblPrEx>
        <w:trPr>
          <w:trHeight w:val="33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微信小程序</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提供微信小程序报修、处理工单功能</w:t>
            </w:r>
          </w:p>
        </w:tc>
      </w:tr>
      <w:tr>
        <w:tblPrEx>
          <w:tblCellMar>
            <w:top w:w="0" w:type="dxa"/>
            <w:left w:w="108" w:type="dxa"/>
            <w:bottom w:w="0" w:type="dxa"/>
            <w:right w:w="108" w:type="dxa"/>
          </w:tblCellMar>
        </w:tblPrEx>
        <w:trPr>
          <w:trHeight w:val="32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综合管理</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含会议管理、排班管理</w:t>
            </w:r>
          </w:p>
        </w:tc>
      </w:tr>
      <w:tr>
        <w:tblPrEx>
          <w:tblCellMar>
            <w:top w:w="0" w:type="dxa"/>
            <w:left w:w="108" w:type="dxa"/>
            <w:bottom w:w="0" w:type="dxa"/>
            <w:right w:w="108" w:type="dxa"/>
          </w:tblCellMar>
        </w:tblPrEx>
        <w:trPr>
          <w:trHeight w:val="32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绩效管理功能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提供可配置的绩效管理算法及绩效报表</w:t>
            </w:r>
          </w:p>
        </w:tc>
      </w:tr>
      <w:tr>
        <w:tblPrEx>
          <w:tblCellMar>
            <w:top w:w="0" w:type="dxa"/>
            <w:left w:w="108" w:type="dxa"/>
            <w:bottom w:w="0" w:type="dxa"/>
            <w:right w:w="108" w:type="dxa"/>
          </w:tblCellMar>
        </w:tblPrEx>
        <w:trPr>
          <w:trHeight w:val="44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知识库功能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提供运维知识库管理</w:t>
            </w:r>
          </w:p>
        </w:tc>
      </w:tr>
      <w:tr>
        <w:tblPrEx>
          <w:tblCellMar>
            <w:top w:w="0" w:type="dxa"/>
            <w:left w:w="108" w:type="dxa"/>
            <w:bottom w:w="0" w:type="dxa"/>
            <w:right w:w="108" w:type="dxa"/>
          </w:tblCellMar>
        </w:tblPrEx>
        <w:trPr>
          <w:trHeight w:val="44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呼叫中心功能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提供工单的来电弹屏、电话录音、自动关联报修人信息、一键建单功能</w:t>
            </w:r>
          </w:p>
        </w:tc>
      </w:tr>
      <w:tr>
        <w:tblPrEx>
          <w:tblCellMar>
            <w:top w:w="0" w:type="dxa"/>
            <w:left w:w="108" w:type="dxa"/>
            <w:bottom w:w="0" w:type="dxa"/>
            <w:right w:w="108" w:type="dxa"/>
          </w:tblCellMar>
        </w:tblPrEx>
        <w:trPr>
          <w:trHeight w:val="42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项目管理功能</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提供数字化项目管理功能，包括项目看板、项目进度管理、项目交付物管理、任务管理项目日志等</w:t>
            </w:r>
          </w:p>
        </w:tc>
      </w:tr>
      <w:tr>
        <w:tblPrEx>
          <w:tblCellMar>
            <w:top w:w="0" w:type="dxa"/>
            <w:left w:w="108" w:type="dxa"/>
            <w:bottom w:w="0" w:type="dxa"/>
            <w:right w:w="108" w:type="dxa"/>
          </w:tblCellMar>
        </w:tblPrEx>
        <w:trPr>
          <w:trHeight w:val="63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微软雅黑" w:hAnsi="微软雅黑" w:eastAsia="微软雅黑" w:cs="微软雅黑"/>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资产管理</w:t>
            </w:r>
          </w:p>
        </w:tc>
        <w:tc>
          <w:tcPr>
            <w:tcW w:w="731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资产配置管理，包括资产的录入、导出等功能</w:t>
            </w:r>
          </w:p>
        </w:tc>
      </w:tr>
    </w:tbl>
    <w:p>
      <w:pPr>
        <w:ind w:firstLine="480"/>
      </w:pPr>
    </w:p>
    <w:p>
      <w:pPr>
        <w:pStyle w:val="6"/>
        <w:rPr>
          <w:szCs w:val="24"/>
        </w:rPr>
      </w:pPr>
      <w:r>
        <w:rPr>
          <w:rFonts w:hint="eastAsia"/>
          <w:szCs w:val="24"/>
        </w:rPr>
        <w:t>急诊分诊工作站系统</w:t>
      </w:r>
    </w:p>
    <w:tbl>
      <w:tblPr>
        <w:tblStyle w:val="38"/>
        <w:tblW w:w="10064" w:type="dxa"/>
        <w:tblInd w:w="-601" w:type="dxa"/>
        <w:tblLayout w:type="fixed"/>
        <w:tblCellMar>
          <w:top w:w="0" w:type="dxa"/>
          <w:left w:w="108" w:type="dxa"/>
          <w:bottom w:w="0" w:type="dxa"/>
          <w:right w:w="108" w:type="dxa"/>
        </w:tblCellMar>
      </w:tblPr>
      <w:tblGrid>
        <w:gridCol w:w="723"/>
        <w:gridCol w:w="2032"/>
        <w:gridCol w:w="7309"/>
      </w:tblGrid>
      <w:tr>
        <w:tblPrEx>
          <w:tblCellMar>
            <w:top w:w="0" w:type="dxa"/>
            <w:left w:w="108" w:type="dxa"/>
            <w:bottom w:w="0" w:type="dxa"/>
            <w:right w:w="108" w:type="dxa"/>
          </w:tblCellMar>
        </w:tblPrEx>
        <w:trPr>
          <w:trHeight w:val="285" w:hRule="atLeast"/>
        </w:trPr>
        <w:tc>
          <w:tcPr>
            <w:tcW w:w="7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名称</w:t>
            </w:r>
          </w:p>
        </w:tc>
        <w:tc>
          <w:tcPr>
            <w:tcW w:w="2032"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功能模块</w:t>
            </w:r>
          </w:p>
        </w:tc>
        <w:tc>
          <w:tcPr>
            <w:tcW w:w="7309" w:type="dxa"/>
            <w:tcBorders>
              <w:top w:val="single" w:color="auto" w:sz="4" w:space="0"/>
              <w:left w:val="nil"/>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产品描述</w:t>
            </w:r>
          </w:p>
        </w:tc>
      </w:tr>
      <w:tr>
        <w:tblPrEx>
          <w:tblCellMar>
            <w:top w:w="0" w:type="dxa"/>
            <w:left w:w="108" w:type="dxa"/>
            <w:bottom w:w="0" w:type="dxa"/>
            <w:right w:w="108" w:type="dxa"/>
          </w:tblCellMar>
        </w:tblPrEx>
        <w:trPr>
          <w:trHeight w:val="2700" w:hRule="atLeast"/>
        </w:trPr>
        <w:tc>
          <w:tcPr>
            <w:tcW w:w="723" w:type="dxa"/>
            <w:vMerge w:val="restart"/>
            <w:tcBorders>
              <w:top w:val="nil"/>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r>
              <w:rPr>
                <w:rFonts w:hint="eastAsia" w:ascii="微软雅黑" w:hAnsi="微软雅黑" w:eastAsia="微软雅黑" w:cs="微软雅黑"/>
                <w:color w:val="000000"/>
                <w:kern w:val="0"/>
                <w:sz w:val="20"/>
                <w:szCs w:val="20"/>
                <w:lang w:bidi="ar"/>
              </w:rPr>
              <w:t>急诊分诊工作站</w:t>
            </w: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患者登记</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1）需支持登记读卡功能，可通过读取就诊卡、身份证、医保卡途径获取患者信息；</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2）需支持与HIS挂号系统进行患者信息共享，减少二次录入；</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3）需支持直接录入患者信息；</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4）需支持三无患者登记：系统可自动分配预检号进行登记，后期可与挂号信息进行匹配；</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5）需支持绿色通道患者登记：对于需开通绿色通道的急危重症患者，允许先抢救，利用抢救过程采集的体征对分诊信息进行补录；</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6）需支持群伤事件患者快速登记、批量管理，患者追踪等功能；</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7）需支持患者来院方式、发病时间、流行病学指标登记；</w:t>
            </w:r>
          </w:p>
        </w:tc>
      </w:tr>
      <w:tr>
        <w:tblPrEx>
          <w:tblCellMar>
            <w:top w:w="0" w:type="dxa"/>
            <w:left w:w="108" w:type="dxa"/>
            <w:bottom w:w="0" w:type="dxa"/>
            <w:right w:w="108" w:type="dxa"/>
          </w:tblCellMar>
        </w:tblPrEx>
        <w:trPr>
          <w:trHeight w:val="1890" w:hRule="atLeast"/>
        </w:trPr>
        <w:tc>
          <w:tcPr>
            <w:tcW w:w="723"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患者分诊</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可按照三区四级进行患者分级分区，将患者分配到最合适的区域就诊：</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1）支持分诊知识库进行分级；</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2）支持患者生命体征进行分级；</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3）支持引入患者评分进行分级；</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4）支持常见病症的快捷分诊；</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实现自动分级、自动选择患者去向，分诊人员做最后判断。</w:t>
            </w:r>
          </w:p>
        </w:tc>
      </w:tr>
      <w:tr>
        <w:tblPrEx>
          <w:tblCellMar>
            <w:top w:w="0" w:type="dxa"/>
            <w:left w:w="108" w:type="dxa"/>
            <w:bottom w:w="0" w:type="dxa"/>
            <w:right w:w="108" w:type="dxa"/>
          </w:tblCellMar>
        </w:tblPrEx>
        <w:trPr>
          <w:trHeight w:val="1890" w:hRule="atLeast"/>
        </w:trPr>
        <w:tc>
          <w:tcPr>
            <w:tcW w:w="723"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分诊知识库</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1）系统可提供分级分诊的检伤知识库，包含外伤和非外伤两大系统；分诊知识库具备患者主诉、主诉判断依据，供预检分诊作为依据；</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2）分诊时可通过调用知识库，选择主诉判断依据后进行自动分诊；</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3）允许分诊护士对自动分级信息进行修正；</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4）授权人员可对分诊知识库进行自定义配置与维护，不断完善知识库内容；</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5）主诉需支持快捷键，允许快速选择。</w:t>
            </w:r>
          </w:p>
        </w:tc>
      </w:tr>
      <w:tr>
        <w:tblPrEx>
          <w:tblCellMar>
            <w:top w:w="0" w:type="dxa"/>
            <w:left w:w="108" w:type="dxa"/>
            <w:bottom w:w="0" w:type="dxa"/>
            <w:right w:w="108" w:type="dxa"/>
          </w:tblCellMar>
        </w:tblPrEx>
        <w:trPr>
          <w:trHeight w:val="810" w:hRule="atLeast"/>
        </w:trPr>
        <w:tc>
          <w:tcPr>
            <w:tcW w:w="723"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生命体征采集</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1）需支持患者生命体征信息采集录入；</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2）需能够录入收缩压、舒张压、SpO2、心率、体温；</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3）可连接监护仪、臂式血压计设备完成体征自动采集；</w:t>
            </w:r>
          </w:p>
        </w:tc>
      </w:tr>
      <w:tr>
        <w:tblPrEx>
          <w:tblCellMar>
            <w:top w:w="0" w:type="dxa"/>
            <w:left w:w="108" w:type="dxa"/>
            <w:bottom w:w="0" w:type="dxa"/>
            <w:right w:w="108" w:type="dxa"/>
          </w:tblCellMar>
        </w:tblPrEx>
        <w:trPr>
          <w:trHeight w:val="810" w:hRule="atLeast"/>
        </w:trPr>
        <w:tc>
          <w:tcPr>
            <w:tcW w:w="723"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患者评分</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需支持通过自动采集的体征，引入评分系统实现对患者病情的评估。需支持MEWS评分、REMS评分、GCS评分、创伤评分、痛疼评分等评分管理。</w:t>
            </w:r>
          </w:p>
        </w:tc>
      </w:tr>
      <w:tr>
        <w:tblPrEx>
          <w:tblCellMar>
            <w:top w:w="0" w:type="dxa"/>
            <w:left w:w="108" w:type="dxa"/>
            <w:bottom w:w="0" w:type="dxa"/>
            <w:right w:w="108" w:type="dxa"/>
          </w:tblCellMar>
        </w:tblPrEx>
        <w:trPr>
          <w:trHeight w:val="540" w:hRule="atLeast"/>
        </w:trPr>
        <w:tc>
          <w:tcPr>
            <w:tcW w:w="723"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患者标示</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系统需支持打印患者分诊信息在凭条、腕带上，实现患者唯一标示；需根据医院需要配置打印的分诊信息。</w:t>
            </w:r>
          </w:p>
        </w:tc>
      </w:tr>
      <w:tr>
        <w:tblPrEx>
          <w:tblCellMar>
            <w:top w:w="0" w:type="dxa"/>
            <w:left w:w="108" w:type="dxa"/>
            <w:bottom w:w="0" w:type="dxa"/>
            <w:right w:w="108" w:type="dxa"/>
          </w:tblCellMar>
        </w:tblPrEx>
        <w:trPr>
          <w:trHeight w:val="270" w:hRule="atLeast"/>
        </w:trPr>
        <w:tc>
          <w:tcPr>
            <w:tcW w:w="723"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患者去向</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分诊后自动记录患者去向，同时需支持手动更改去向信息。</w:t>
            </w:r>
          </w:p>
        </w:tc>
      </w:tr>
      <w:tr>
        <w:tblPrEx>
          <w:tblCellMar>
            <w:top w:w="0" w:type="dxa"/>
            <w:left w:w="108" w:type="dxa"/>
            <w:bottom w:w="0" w:type="dxa"/>
            <w:right w:w="108" w:type="dxa"/>
          </w:tblCellMar>
        </w:tblPrEx>
        <w:trPr>
          <w:trHeight w:val="540" w:hRule="atLeast"/>
        </w:trPr>
        <w:tc>
          <w:tcPr>
            <w:tcW w:w="723"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查询导出</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需提供患者列表包含基本信息、分诊级别、患者主诉、分诊去向、诊断等内容的导出功能。</w:t>
            </w:r>
          </w:p>
        </w:tc>
      </w:tr>
    </w:tbl>
    <w:p>
      <w:pPr>
        <w:ind w:firstLine="480"/>
      </w:pPr>
    </w:p>
    <w:p>
      <w:pPr>
        <w:ind w:firstLine="480"/>
      </w:pPr>
    </w:p>
    <w:p>
      <w:pPr>
        <w:pStyle w:val="6"/>
        <w:rPr>
          <w:szCs w:val="24"/>
        </w:rPr>
      </w:pPr>
      <w:r>
        <w:rPr>
          <w:rFonts w:hint="eastAsia"/>
          <w:szCs w:val="24"/>
        </w:rPr>
        <w:t>抢救工作站系统</w:t>
      </w:r>
    </w:p>
    <w:tbl>
      <w:tblPr>
        <w:tblStyle w:val="38"/>
        <w:tblW w:w="10078" w:type="dxa"/>
        <w:tblInd w:w="-615" w:type="dxa"/>
        <w:tblLayout w:type="fixed"/>
        <w:tblCellMar>
          <w:top w:w="0" w:type="dxa"/>
          <w:left w:w="108" w:type="dxa"/>
          <w:bottom w:w="0" w:type="dxa"/>
          <w:right w:w="108" w:type="dxa"/>
        </w:tblCellMar>
      </w:tblPr>
      <w:tblGrid>
        <w:gridCol w:w="737"/>
        <w:gridCol w:w="2045"/>
        <w:gridCol w:w="7296"/>
      </w:tblGrid>
      <w:tr>
        <w:tblPrEx>
          <w:tblCellMar>
            <w:top w:w="0" w:type="dxa"/>
            <w:left w:w="108" w:type="dxa"/>
            <w:bottom w:w="0" w:type="dxa"/>
            <w:right w:w="108" w:type="dxa"/>
          </w:tblCellMar>
        </w:tblPrEx>
        <w:trPr>
          <w:trHeight w:val="285"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名称</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功能模块</w:t>
            </w:r>
          </w:p>
        </w:tc>
        <w:tc>
          <w:tcPr>
            <w:tcW w:w="7296" w:type="dxa"/>
            <w:tcBorders>
              <w:top w:val="single" w:color="auto" w:sz="4" w:space="0"/>
              <w:left w:val="nil"/>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产品描述</w:t>
            </w:r>
          </w:p>
        </w:tc>
      </w:tr>
      <w:tr>
        <w:tblPrEx>
          <w:tblCellMar>
            <w:top w:w="0" w:type="dxa"/>
            <w:left w:w="108" w:type="dxa"/>
            <w:bottom w:w="0" w:type="dxa"/>
            <w:right w:w="108" w:type="dxa"/>
          </w:tblCellMar>
        </w:tblPrEx>
        <w:trPr>
          <w:trHeight w:val="540" w:hRule="atLeast"/>
        </w:trPr>
        <w:tc>
          <w:tcPr>
            <w:tcW w:w="737" w:type="dxa"/>
            <w:vMerge w:val="restart"/>
            <w:tcBorders>
              <w:top w:val="nil"/>
              <w:left w:val="single" w:color="auto" w:sz="4" w:space="0"/>
              <w:right w:val="single" w:color="auto" w:sz="4" w:space="0"/>
            </w:tcBorders>
            <w:vAlign w:val="center"/>
          </w:tcPr>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仿宋" w:hAnsi="仿宋" w:cs="宋体"/>
                <w:b/>
                <w:bCs/>
                <w:color w:val="000000"/>
                <w:kern w:val="0"/>
                <w:sz w:val="21"/>
                <w:szCs w:val="21"/>
              </w:rPr>
            </w:pPr>
            <w:r>
              <w:rPr>
                <w:rFonts w:hint="eastAsia" w:ascii="微软雅黑" w:hAnsi="微软雅黑" w:eastAsia="微软雅黑" w:cs="微软雅黑"/>
                <w:color w:val="000000"/>
                <w:kern w:val="0"/>
                <w:sz w:val="20"/>
                <w:szCs w:val="20"/>
                <w:lang w:bidi="ar"/>
              </w:rPr>
              <w:t>抢救工作站</w:t>
            </w: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临床信息集成</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需实现从医院现有HIS、LIS、PACS、EMR系统中提取患者的姓名、性别、年龄、费用信息、病历信息；</w:t>
            </w:r>
          </w:p>
        </w:tc>
      </w:tr>
      <w:tr>
        <w:tblPrEx>
          <w:tblCellMar>
            <w:top w:w="0" w:type="dxa"/>
            <w:left w:w="108" w:type="dxa"/>
            <w:bottom w:w="0" w:type="dxa"/>
            <w:right w:w="108" w:type="dxa"/>
          </w:tblCellMar>
        </w:tblPrEx>
        <w:trPr>
          <w:trHeight w:val="81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设备集成</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需自动采集床边具有输出协议的监护设备的数据，服务器同步数据存储，采集到的体征数据信息需要提供数字、曲线图多种方式展现，对于异常情况可进行数据修正和报警；</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基本信息管理</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需实现对抢救患者信息的查询功能，可根据日期、ID、级别、姓名、病种等条件自定义查询；需实现床头卡和列表两种显示方式；</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床位管理</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需实现患者床位管理功能，方便护士对抢救床位资源及患者病情的管理；</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患者首页</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可显示患者体征趋势图、医嘱等信息，实现患者病情的获取；</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分诊信息回顾</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抢救医生可调阅分诊时患者主诉，体征等详细信息，需支持分诊信息修改；</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检查检验</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需实现检查检验结果的调阅；</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病种监控</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可实现患者诊断与质控病种的关联，达到对病种质控的目的；</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绿色通道</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需实现危重患者的绿色通道诊疗，可实现先抢救后分诊，先记录诊疗措施后付费的模式；</w:t>
            </w:r>
          </w:p>
        </w:tc>
      </w:tr>
      <w:tr>
        <w:tblPrEx>
          <w:tblCellMar>
            <w:top w:w="0" w:type="dxa"/>
            <w:left w:w="108" w:type="dxa"/>
            <w:bottom w:w="0" w:type="dxa"/>
            <w:right w:w="108" w:type="dxa"/>
          </w:tblCellMar>
        </w:tblPrEx>
        <w:trPr>
          <w:trHeight w:val="81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患者诊断</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需支持ICD10标准诊断库与手工录入诊断两种方式，诊断信息自动体现在病历中；医生根据病情诊疗情况，可对初步诊断进行确认或修订；</w:t>
            </w:r>
          </w:p>
        </w:tc>
      </w:tr>
      <w:tr>
        <w:tblPrEx>
          <w:tblCellMar>
            <w:top w:w="0" w:type="dxa"/>
            <w:left w:w="108" w:type="dxa"/>
            <w:bottom w:w="0" w:type="dxa"/>
            <w:right w:w="108" w:type="dxa"/>
          </w:tblCellMar>
        </w:tblPrEx>
        <w:trPr>
          <w:trHeight w:val="405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抢救记录</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抢救记录单：需根据临床科室实际需要合理展现生命体征数据、护理措施信息，医嘱核对与执行信息，减少护士文字书写时间。</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1）护理措施：需根据抢救护理的具体需要，实现以下功能：</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a） 基础护理措施模板，可自定义模板内容</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b） 支持护士手动录入护理措施。</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2）医嘱核对与执行：需显示详细的医嘱执行信息，包括：</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a） 可通过数据接口形式集成同步HIS电子医嘱中的医嘱信息，并将医嘱进行分类，方便医护人员核对、执行医嘱。</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b） 可显示医嘱的具体名称、剂量、单位、途径、用法内容，执行后的医嘱可自动记录到抢救记录单中。</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3）生命体征：需自动采集床边仪器上的数据，数据可记录在抢救记录单上，无需护士再次抄写。</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4）特殊护理记录：需记录患者在抢救护理过程中的特殊护理（气管插管，洗胃，心肺复苏）操作，最终形成统计信息。</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抢救记录单实现与住院部科室的无纸化交接。</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护理文书</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需支持医院所有格式的护理文书，包括抢救记录单、各类评分类文书，各种同意书等；</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护理评估</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需支持压疮评估、跌倒评估、导管滑落评估等护理评估；</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出入量管理</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可记录患者的出量与入量信息，并最后计算总量；</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患者转归</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需记录患者去向信息；</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抢救时间轴</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以时间为轴实现患者行为跟踪，记录每个时间点的医疗措施与医疗记录，方便对患者诊疗的分析；</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危急值管理</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需实现对体征、评分等数据的危急值预警功能。</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医护人员处理危急值并且生成危急值管理统计数据；</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病情交接单</w:t>
            </w:r>
          </w:p>
        </w:tc>
        <w:tc>
          <w:tcPr>
            <w:tcW w:w="7296"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实现抢救室危重患者与接收科室的病情电子化交接；</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医护交班管理</w:t>
            </w:r>
          </w:p>
        </w:tc>
        <w:tc>
          <w:tcPr>
            <w:tcW w:w="7296"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实现科室护士绑定责任床位功能。</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科室患者床旁交班提取患者基本信息、体征、导管转态、检查检验、医嘱、出入量、特殊用药等信息汇总。</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系统自动生成交班所需统计汇总信息，提供查看往期加班统计数据及打印功能；</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会诊管理</w:t>
            </w:r>
          </w:p>
        </w:tc>
        <w:tc>
          <w:tcPr>
            <w:tcW w:w="7296"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支持会诊申请，会诊状态查看及会诊意见汇总。</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会诊申请能够对接医院信息通知平台对接，实现呼叫会诊医生。</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提供会诊统计记录分析与管理。</w:t>
            </w:r>
          </w:p>
        </w:tc>
      </w:tr>
    </w:tbl>
    <w:p>
      <w:pPr>
        <w:ind w:firstLine="480"/>
      </w:pPr>
    </w:p>
    <w:p>
      <w:pPr>
        <w:pStyle w:val="6"/>
        <w:rPr>
          <w:szCs w:val="24"/>
        </w:rPr>
      </w:pPr>
      <w:r>
        <w:rPr>
          <w:rFonts w:hint="eastAsia"/>
          <w:szCs w:val="24"/>
        </w:rPr>
        <w:t>留观工作站系统</w:t>
      </w:r>
    </w:p>
    <w:tbl>
      <w:tblPr>
        <w:tblStyle w:val="38"/>
        <w:tblW w:w="10064" w:type="dxa"/>
        <w:tblInd w:w="-601" w:type="dxa"/>
        <w:tblLayout w:type="fixed"/>
        <w:tblCellMar>
          <w:top w:w="0" w:type="dxa"/>
          <w:left w:w="108" w:type="dxa"/>
          <w:bottom w:w="0" w:type="dxa"/>
          <w:right w:w="108" w:type="dxa"/>
        </w:tblCellMar>
      </w:tblPr>
      <w:tblGrid>
        <w:gridCol w:w="737"/>
        <w:gridCol w:w="2018"/>
        <w:gridCol w:w="7309"/>
      </w:tblGrid>
      <w:tr>
        <w:tblPrEx>
          <w:tblCellMar>
            <w:top w:w="0" w:type="dxa"/>
            <w:left w:w="108" w:type="dxa"/>
            <w:bottom w:w="0" w:type="dxa"/>
            <w:right w:w="108" w:type="dxa"/>
          </w:tblCellMar>
        </w:tblPrEx>
        <w:trPr>
          <w:trHeight w:val="285"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名称</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功能模块</w:t>
            </w:r>
          </w:p>
        </w:tc>
        <w:tc>
          <w:tcPr>
            <w:tcW w:w="7309" w:type="dxa"/>
            <w:tcBorders>
              <w:top w:val="single" w:color="auto" w:sz="4" w:space="0"/>
              <w:left w:val="nil"/>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产品描述</w:t>
            </w:r>
          </w:p>
        </w:tc>
      </w:tr>
      <w:tr>
        <w:tblPrEx>
          <w:tblCellMar>
            <w:top w:w="0" w:type="dxa"/>
            <w:left w:w="108" w:type="dxa"/>
            <w:bottom w:w="0" w:type="dxa"/>
            <w:right w:w="108" w:type="dxa"/>
          </w:tblCellMar>
        </w:tblPrEx>
        <w:trPr>
          <w:trHeight w:val="540" w:hRule="atLeast"/>
        </w:trPr>
        <w:tc>
          <w:tcPr>
            <w:tcW w:w="737" w:type="dxa"/>
            <w:vMerge w:val="restart"/>
            <w:tcBorders>
              <w:top w:val="nil"/>
              <w:left w:val="single" w:color="auto" w:sz="4" w:space="0"/>
              <w:right w:val="single" w:color="auto" w:sz="4" w:space="0"/>
            </w:tcBorders>
            <w:vAlign w:val="center"/>
          </w:tcPr>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widowControl/>
              <w:spacing w:line="240" w:lineRule="auto"/>
              <w:ind w:firstLine="0" w:firstLineChars="0"/>
              <w:rPr>
                <w:rFonts w:ascii="微软雅黑" w:hAnsi="微软雅黑" w:eastAsia="微软雅黑" w:cs="微软雅黑"/>
                <w:color w:val="000000"/>
                <w:kern w:val="0"/>
                <w:sz w:val="20"/>
                <w:szCs w:val="20"/>
                <w:lang w:bidi="ar"/>
              </w:rPr>
            </w:pPr>
          </w:p>
          <w:p>
            <w:pPr>
              <w:pStyle w:val="2"/>
              <w:ind w:firstLine="200"/>
              <w:rPr>
                <w:rFonts w:ascii="微软雅黑" w:hAnsi="微软雅黑" w:eastAsia="微软雅黑" w:cs="微软雅黑"/>
                <w:color w:val="000000"/>
                <w:kern w:val="0"/>
                <w:sz w:val="20"/>
                <w:szCs w:val="20"/>
                <w:lang w:bidi="ar"/>
              </w:rPr>
            </w:pPr>
          </w:p>
          <w:p>
            <w:pPr>
              <w:pStyle w:val="2"/>
              <w:ind w:firstLine="200"/>
              <w:rPr>
                <w:rFonts w:ascii="微软雅黑" w:hAnsi="微软雅黑" w:eastAsia="微软雅黑" w:cs="微软雅黑"/>
                <w:color w:val="000000"/>
                <w:kern w:val="0"/>
                <w:sz w:val="20"/>
                <w:szCs w:val="20"/>
                <w:lang w:bidi="ar"/>
              </w:rPr>
            </w:pPr>
          </w:p>
          <w:p>
            <w:pPr>
              <w:widowControl/>
              <w:spacing w:line="240" w:lineRule="auto"/>
              <w:ind w:firstLine="0" w:firstLineChars="0"/>
              <w:rPr>
                <w:rFonts w:ascii="仿宋" w:hAnsi="仿宋" w:cs="宋体"/>
                <w:b/>
                <w:bCs/>
                <w:color w:val="000000"/>
                <w:kern w:val="0"/>
                <w:sz w:val="21"/>
                <w:szCs w:val="21"/>
              </w:rPr>
            </w:pPr>
            <w:r>
              <w:rPr>
                <w:rFonts w:hint="eastAsia" w:ascii="微软雅黑" w:hAnsi="微软雅黑" w:eastAsia="微软雅黑" w:cs="微软雅黑"/>
                <w:color w:val="000000"/>
                <w:kern w:val="0"/>
                <w:sz w:val="20"/>
                <w:szCs w:val="20"/>
                <w:lang w:bidi="ar"/>
              </w:rPr>
              <w:t>留观工作站</w:t>
            </w: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临床信息集成</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kern w:val="0"/>
                <w:sz w:val="20"/>
                <w:szCs w:val="20"/>
                <w:lang w:bidi="ar"/>
              </w:rPr>
              <w:t>需实现从医院现有HIS、LIS、PACS、EMR系统中提取患者的姓名、性别、年龄、费用信息、病历信息；</w:t>
            </w:r>
          </w:p>
        </w:tc>
      </w:tr>
      <w:tr>
        <w:tblPrEx>
          <w:tblCellMar>
            <w:top w:w="0" w:type="dxa"/>
            <w:left w:w="108" w:type="dxa"/>
            <w:bottom w:w="0" w:type="dxa"/>
            <w:right w:w="108" w:type="dxa"/>
          </w:tblCellMar>
        </w:tblPrEx>
        <w:trPr>
          <w:trHeight w:val="81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设备集成</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可自动采集床边具有输出协议的监护设备的数据，服务器同步数据存储，采集到的体征数据信息需要提供数字、曲线图多种方式展现，对于异常情况可以进行数据修正和报警；</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基本信息管理</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需实现对留观患者信息的查询功能，可根据日期、ID、级别、姓名、病种等条件自定义查询；需实现床头卡和列表两种显示方式；</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床位管理</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需实现患者床位管理功能，方便护士对抢救床位资源及患者病情的管理；</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患者首页</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可显示患者体征趋势图、医嘱等信息，实现患者病情的获取；</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分诊信息回顾</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留观医生可调阅分诊时患者主诉，体征等详细信息，需支持分诊信息修改；</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检查检验</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需实现检查检验结果的调阅；</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病种监控</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实现患者诊断与质控病种的关联，达到对病种质控的目的；</w:t>
            </w:r>
          </w:p>
        </w:tc>
      </w:tr>
      <w:tr>
        <w:tblPrEx>
          <w:tblCellMar>
            <w:top w:w="0" w:type="dxa"/>
            <w:left w:w="108" w:type="dxa"/>
            <w:bottom w:w="0" w:type="dxa"/>
            <w:right w:w="108" w:type="dxa"/>
          </w:tblCellMar>
        </w:tblPrEx>
        <w:trPr>
          <w:trHeight w:val="81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患者诊断</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需支持ICD10标准诊断库与手工录入诊断两种方式，诊断信息自动体现在病历中；医生根据病情诊疗情况，可对初步诊断进行确认或修订；</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留观记录</w:t>
            </w:r>
          </w:p>
        </w:tc>
        <w:tc>
          <w:tcPr>
            <w:tcW w:w="7309" w:type="dxa"/>
            <w:tcBorders>
              <w:top w:val="nil"/>
              <w:left w:val="nil"/>
              <w:bottom w:val="nil"/>
              <w:right w:val="nil"/>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可按照病种提供留观护理模板，快速录入护理措施；</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护理文书</w:t>
            </w:r>
          </w:p>
        </w:tc>
        <w:tc>
          <w:tcPr>
            <w:tcW w:w="7309"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需支持医院所有格式的护理文书，包括留观记录单、各类评分类文书，各种同意书；</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护理评估</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需支持压疮评估、跌倒评估、导管滑落评估等护理评估；</w:t>
            </w:r>
          </w:p>
        </w:tc>
      </w:tr>
      <w:tr>
        <w:tblPrEx>
          <w:tblCellMar>
            <w:top w:w="0" w:type="dxa"/>
            <w:left w:w="108" w:type="dxa"/>
            <w:bottom w:w="0" w:type="dxa"/>
            <w:right w:w="108" w:type="dxa"/>
          </w:tblCellMar>
        </w:tblPrEx>
        <w:trPr>
          <w:trHeight w:val="108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医嘱核对与执行</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可通过数据接口形式集成同步HIS电子医嘱中的医嘱信息，并将医嘱进行分类，方便医护人员核对、执行医嘱；需显示医嘱的具体名称、剂量、单位、途径、用法内容，执行后的医嘱可自动记录到抢救记录单中。</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出入量管理</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记录患者的出量与入量信息，并最后计算总量；</w:t>
            </w:r>
          </w:p>
        </w:tc>
      </w:tr>
      <w:tr>
        <w:tblPrEx>
          <w:tblCellMar>
            <w:top w:w="0" w:type="dxa"/>
            <w:left w:w="108" w:type="dxa"/>
            <w:bottom w:w="0" w:type="dxa"/>
            <w:right w:w="108" w:type="dxa"/>
          </w:tblCellMar>
        </w:tblPrEx>
        <w:trPr>
          <w:trHeight w:val="27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患者转归</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需记录患者去向信息；</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留观时间轴</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以时间为轴实现患者行为跟踪，记录每个时间点的医疗措施与医疗记录，方便对患者诊疗的分析；</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危急值管理</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需实现对体征、评分等数据的危急值预警功能。</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医护人员处理危急值并且生成危急值管理统计数据；</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病情交接单</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实现留观患者与接收科室的病情电子化交接；</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医护交班</w:t>
            </w:r>
          </w:p>
        </w:tc>
        <w:tc>
          <w:tcPr>
            <w:tcW w:w="7309"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实现科室护士绑定责任床位功能。</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科室患者床旁交班提取患者基本信息、体征、导管转态、检查检验、医嘱、出入量、特殊用药等信息汇总。</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系统自动生成交班所需统计汇总信息，提供查看往期加班统计数据及打印功能</w:t>
            </w:r>
          </w:p>
        </w:tc>
      </w:tr>
      <w:tr>
        <w:tblPrEx>
          <w:tblCellMar>
            <w:top w:w="0" w:type="dxa"/>
            <w:left w:w="108" w:type="dxa"/>
            <w:bottom w:w="0" w:type="dxa"/>
            <w:right w:w="108" w:type="dxa"/>
          </w:tblCellMar>
        </w:tblPrEx>
        <w:trPr>
          <w:trHeight w:val="540" w:hRule="atLeast"/>
        </w:trPr>
        <w:tc>
          <w:tcPr>
            <w:tcW w:w="737"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会诊管理</w:t>
            </w:r>
          </w:p>
        </w:tc>
        <w:tc>
          <w:tcPr>
            <w:tcW w:w="7309"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支持会诊申请，会诊状态查看及会诊意见汇总。</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会诊申请能够通过</w:t>
            </w:r>
            <w:r>
              <w:rPr>
                <w:rFonts w:hint="eastAsia" w:ascii="微软雅黑" w:hAnsi="微软雅黑" w:eastAsia="微软雅黑" w:cs="微软雅黑"/>
                <w:kern w:val="0"/>
                <w:sz w:val="20"/>
                <w:szCs w:val="20"/>
                <w:lang w:bidi="ar"/>
              </w:rPr>
              <w:t>医院his消息管理系统进行提醒医生的各项通知</w:t>
            </w:r>
            <w:r>
              <w:rPr>
                <w:rFonts w:hint="eastAsia" w:ascii="微软雅黑" w:hAnsi="微软雅黑" w:eastAsia="微软雅黑" w:cs="微软雅黑"/>
                <w:color w:val="000000"/>
                <w:kern w:val="0"/>
                <w:sz w:val="20"/>
                <w:szCs w:val="20"/>
                <w:lang w:bidi="ar"/>
              </w:rPr>
              <w:t>，实现呼叫会诊医生。</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提供会诊统计记录分析与管理。</w:t>
            </w:r>
          </w:p>
        </w:tc>
      </w:tr>
    </w:tbl>
    <w:p>
      <w:pPr>
        <w:ind w:firstLine="480"/>
      </w:pPr>
    </w:p>
    <w:p>
      <w:pPr>
        <w:ind w:firstLine="480"/>
      </w:pPr>
    </w:p>
    <w:p>
      <w:pPr>
        <w:pStyle w:val="6"/>
        <w:rPr>
          <w:szCs w:val="24"/>
        </w:rPr>
      </w:pPr>
      <w:r>
        <w:rPr>
          <w:rFonts w:hint="eastAsia"/>
          <w:szCs w:val="24"/>
        </w:rPr>
        <w:t>急诊电子病历系统</w:t>
      </w:r>
    </w:p>
    <w:tbl>
      <w:tblPr>
        <w:tblStyle w:val="38"/>
        <w:tblW w:w="10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031"/>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Align w:val="center"/>
          </w:tcPr>
          <w:p>
            <w:pPr>
              <w:widowControl/>
              <w:ind w:firstLine="0" w:firstLineChars="0"/>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名称</w:t>
            </w:r>
          </w:p>
        </w:tc>
        <w:tc>
          <w:tcPr>
            <w:tcW w:w="2031" w:type="dxa"/>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功能模块</w:t>
            </w:r>
          </w:p>
        </w:tc>
        <w:tc>
          <w:tcPr>
            <w:tcW w:w="7296" w:type="dxa"/>
            <w:vAlign w:val="center"/>
          </w:tcPr>
          <w:p>
            <w:pPr>
              <w:widowControl/>
              <w:ind w:firstLine="440"/>
              <w:jc w:val="center"/>
              <w:textAlignment w:val="center"/>
              <w:rPr>
                <w:rFonts w:ascii="仿宋" w:hAnsi="仿宋" w:cs="宋体"/>
                <w:b/>
                <w:color w:val="000000"/>
                <w:kern w:val="0"/>
                <w:sz w:val="21"/>
                <w:szCs w:val="21"/>
              </w:rPr>
            </w:pPr>
            <w:r>
              <w:rPr>
                <w:rFonts w:hint="eastAsia" w:ascii="微软雅黑" w:hAnsi="微软雅黑" w:eastAsia="微软雅黑" w:cs="微软雅黑"/>
                <w:b/>
                <w:bCs/>
                <w:color w:val="000000"/>
                <w:kern w:val="0"/>
                <w:sz w:val="22"/>
                <w:szCs w:val="22"/>
                <w:lang w:bidi="ar"/>
              </w:rPr>
              <w:t>产品描述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restart"/>
            <w:vAlign w:val="center"/>
          </w:tcPr>
          <w:p>
            <w:pPr>
              <w:widowControl/>
              <w:spacing w:line="240" w:lineRule="auto"/>
              <w:ind w:firstLine="0" w:firstLineChars="0"/>
              <w:jc w:val="center"/>
              <w:rPr>
                <w:rFonts w:ascii="微软雅黑" w:hAnsi="微软雅黑" w:eastAsia="微软雅黑" w:cs="微软雅黑"/>
                <w:color w:val="000000"/>
                <w:kern w:val="0"/>
                <w:sz w:val="20"/>
                <w:szCs w:val="20"/>
                <w:lang w:bidi="ar"/>
              </w:rPr>
            </w:pPr>
          </w:p>
          <w:p>
            <w:pPr>
              <w:widowControl/>
              <w:spacing w:line="240" w:lineRule="auto"/>
              <w:ind w:firstLine="0" w:firstLineChars="0"/>
              <w:jc w:val="center"/>
              <w:rPr>
                <w:rFonts w:ascii="微软雅黑" w:hAnsi="微软雅黑" w:eastAsia="微软雅黑" w:cs="微软雅黑"/>
                <w:color w:val="000000"/>
                <w:kern w:val="0"/>
                <w:sz w:val="20"/>
                <w:szCs w:val="20"/>
                <w:lang w:bidi="ar"/>
              </w:rPr>
            </w:pPr>
          </w:p>
          <w:p>
            <w:pPr>
              <w:widowControl/>
              <w:spacing w:line="240" w:lineRule="auto"/>
              <w:ind w:firstLine="0" w:firstLineChars="0"/>
              <w:jc w:val="center"/>
              <w:rPr>
                <w:rFonts w:ascii="微软雅黑" w:hAnsi="微软雅黑" w:eastAsia="微软雅黑" w:cs="微软雅黑"/>
                <w:color w:val="000000"/>
                <w:kern w:val="0"/>
                <w:sz w:val="20"/>
                <w:szCs w:val="20"/>
                <w:lang w:bidi="ar"/>
              </w:rPr>
            </w:pPr>
          </w:p>
          <w:p>
            <w:pPr>
              <w:widowControl/>
              <w:spacing w:line="240" w:lineRule="auto"/>
              <w:ind w:firstLine="0" w:firstLineChars="0"/>
              <w:jc w:val="center"/>
              <w:rPr>
                <w:rFonts w:ascii="微软雅黑" w:hAnsi="微软雅黑" w:eastAsia="微软雅黑" w:cs="微软雅黑"/>
                <w:color w:val="000000"/>
                <w:kern w:val="0"/>
                <w:sz w:val="20"/>
                <w:szCs w:val="20"/>
                <w:lang w:bidi="ar"/>
              </w:rPr>
            </w:pPr>
          </w:p>
          <w:p>
            <w:pPr>
              <w:widowControl/>
              <w:spacing w:line="240" w:lineRule="auto"/>
              <w:ind w:firstLine="0" w:firstLineChars="0"/>
              <w:jc w:val="center"/>
              <w:rPr>
                <w:rFonts w:ascii="仿宋" w:hAnsi="仿宋" w:cs="宋体"/>
                <w:b/>
                <w:bCs/>
                <w:color w:val="000000"/>
                <w:kern w:val="0"/>
                <w:sz w:val="21"/>
                <w:szCs w:val="21"/>
              </w:rPr>
            </w:pPr>
            <w:r>
              <w:rPr>
                <w:rFonts w:hint="eastAsia" w:ascii="微软雅黑" w:hAnsi="微软雅黑" w:eastAsia="微软雅黑" w:cs="微软雅黑"/>
                <w:color w:val="000000"/>
                <w:kern w:val="0"/>
                <w:sz w:val="20"/>
                <w:szCs w:val="20"/>
                <w:lang w:bidi="ar"/>
              </w:rPr>
              <w:t>急诊电子病历</w:t>
            </w: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病历规范</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依据电子病历规范提供结构化电子病历；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病历模版</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需按照管理需求提供病种、科室、个人提供病历模板；</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提供病历模板配置工具，允许科室自己维护各种结构化病历模板；</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需支持将现有病历内容保存为病历模板功能；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病历书写</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需支持医学术语、检验结果、处方内容动态插入病历文书中；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会诊记录单</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记录会诊时间，内容，参与人员，会诊摘要与意见；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病程记录</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实现上级医生查房，患者留观的病程记录；</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实现病程记录的续写及续打功能；</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实现病程记录的合并打印功能；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抢救病历</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需按照医院抢救病历格式进行定制；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留观病历</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需按照医院留观病历格式进行定制；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病历集成</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实现临床数据的“单次输入，全程共享”，能够自动导入和选择导入相结合的方式，实现病历、护理间数据的充分衔接；</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实现与住院电子病历的集成，实现急诊与住院病历的共享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病历质控</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病历可支持权限管理，记录病历修改痕迹，对数据合理性判断；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知情同意书</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需实现各种同意书的电子化；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7" w:type="dxa"/>
            <w:vMerge w:val="continue"/>
            <w:vAlign w:val="center"/>
          </w:tcPr>
          <w:p>
            <w:pPr>
              <w:widowControl/>
              <w:spacing w:line="240" w:lineRule="auto"/>
              <w:ind w:firstLine="0" w:firstLineChars="0"/>
              <w:jc w:val="center"/>
              <w:rPr>
                <w:rFonts w:ascii="仿宋" w:hAnsi="仿宋" w:cs="宋体"/>
                <w:b/>
                <w:bCs/>
                <w:color w:val="000000"/>
                <w:kern w:val="0"/>
                <w:sz w:val="21"/>
                <w:szCs w:val="21"/>
              </w:rPr>
            </w:pPr>
          </w:p>
        </w:tc>
        <w:tc>
          <w:tcPr>
            <w:tcW w:w="203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病历存储打印</w:t>
            </w:r>
          </w:p>
        </w:tc>
        <w:tc>
          <w:tcPr>
            <w:tcW w:w="7296"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需实现所有病历文书的打印功能；</w:t>
            </w:r>
          </w:p>
        </w:tc>
      </w:tr>
    </w:tbl>
    <w:p>
      <w:pPr>
        <w:ind w:firstLine="480"/>
      </w:pPr>
    </w:p>
    <w:p>
      <w:pPr>
        <w:pStyle w:val="6"/>
        <w:rPr>
          <w:szCs w:val="24"/>
        </w:rPr>
      </w:pPr>
      <w:r>
        <w:rPr>
          <w:rFonts w:hint="eastAsia"/>
          <w:szCs w:val="24"/>
        </w:rPr>
        <w:t>质控管理系统</w:t>
      </w:r>
    </w:p>
    <w:tbl>
      <w:tblPr>
        <w:tblStyle w:val="38"/>
        <w:tblW w:w="10213" w:type="dxa"/>
        <w:tblInd w:w="-846" w:type="dxa"/>
        <w:tblLayout w:type="fixed"/>
        <w:tblCellMar>
          <w:top w:w="0" w:type="dxa"/>
          <w:left w:w="108" w:type="dxa"/>
          <w:bottom w:w="0" w:type="dxa"/>
          <w:right w:w="108" w:type="dxa"/>
        </w:tblCellMar>
      </w:tblPr>
      <w:tblGrid>
        <w:gridCol w:w="886"/>
        <w:gridCol w:w="2032"/>
        <w:gridCol w:w="7295"/>
      </w:tblGrid>
      <w:tr>
        <w:tblPrEx>
          <w:tblCellMar>
            <w:top w:w="0" w:type="dxa"/>
            <w:left w:w="108" w:type="dxa"/>
            <w:bottom w:w="0" w:type="dxa"/>
            <w:right w:w="108" w:type="dxa"/>
          </w:tblCellMar>
        </w:tblPrEx>
        <w:trPr>
          <w:trHeight w:val="55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名称</w:t>
            </w:r>
          </w:p>
        </w:tc>
        <w:tc>
          <w:tcPr>
            <w:tcW w:w="2032"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center"/>
              <w:rPr>
                <w:rFonts w:ascii="仿宋" w:hAnsi="仿宋" w:cs="宋体"/>
                <w:b/>
                <w:bCs/>
                <w:color w:val="000000"/>
                <w:kern w:val="0"/>
                <w:sz w:val="21"/>
                <w:szCs w:val="21"/>
              </w:rPr>
            </w:pPr>
            <w:r>
              <w:rPr>
                <w:rFonts w:hint="eastAsia" w:ascii="微软雅黑" w:hAnsi="微软雅黑" w:eastAsia="微软雅黑" w:cs="微软雅黑"/>
                <w:b/>
                <w:bCs/>
                <w:color w:val="000000"/>
                <w:kern w:val="0"/>
                <w:sz w:val="22"/>
                <w:szCs w:val="22"/>
                <w:lang w:bidi="ar"/>
              </w:rPr>
              <w:t>功能模块</w:t>
            </w:r>
          </w:p>
        </w:tc>
        <w:tc>
          <w:tcPr>
            <w:tcW w:w="7295" w:type="dxa"/>
            <w:tcBorders>
              <w:top w:val="single" w:color="auto" w:sz="4" w:space="0"/>
              <w:left w:val="nil"/>
              <w:bottom w:val="single" w:color="auto" w:sz="4" w:space="0"/>
              <w:right w:val="single" w:color="auto" w:sz="4" w:space="0"/>
            </w:tcBorders>
            <w:vAlign w:val="center"/>
          </w:tcPr>
          <w:p>
            <w:pPr>
              <w:widowControl/>
              <w:ind w:firstLine="440"/>
              <w:jc w:val="center"/>
              <w:textAlignment w:val="center"/>
              <w:rPr>
                <w:rFonts w:ascii="仿宋" w:hAnsi="仿宋" w:cs="宋体"/>
                <w:b/>
                <w:color w:val="000000"/>
                <w:kern w:val="0"/>
                <w:sz w:val="21"/>
                <w:szCs w:val="21"/>
              </w:rPr>
            </w:pPr>
            <w:r>
              <w:rPr>
                <w:rFonts w:hint="eastAsia" w:ascii="微软雅黑" w:hAnsi="微软雅黑" w:eastAsia="微软雅黑" w:cs="微软雅黑"/>
                <w:b/>
                <w:bCs/>
                <w:color w:val="000000"/>
                <w:kern w:val="0"/>
                <w:sz w:val="22"/>
                <w:szCs w:val="22"/>
                <w:lang w:bidi="ar"/>
              </w:rPr>
              <w:t>产品描述</w:t>
            </w:r>
          </w:p>
        </w:tc>
      </w:tr>
      <w:tr>
        <w:tblPrEx>
          <w:tblCellMar>
            <w:top w:w="0" w:type="dxa"/>
            <w:left w:w="108" w:type="dxa"/>
            <w:bottom w:w="0" w:type="dxa"/>
            <w:right w:w="108" w:type="dxa"/>
          </w:tblCellMar>
        </w:tblPrEx>
        <w:trPr>
          <w:trHeight w:val="1890" w:hRule="atLeast"/>
        </w:trPr>
        <w:tc>
          <w:tcPr>
            <w:tcW w:w="886"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r>
              <w:rPr>
                <w:rFonts w:hint="eastAsia" w:ascii="微软雅黑" w:hAnsi="微软雅黑" w:eastAsia="微软雅黑" w:cs="微软雅黑"/>
                <w:color w:val="000000"/>
                <w:kern w:val="0"/>
                <w:sz w:val="20"/>
                <w:szCs w:val="20"/>
                <w:lang w:bidi="ar"/>
              </w:rPr>
              <w:t>质控管理</w:t>
            </w:r>
          </w:p>
        </w:tc>
        <w:tc>
          <w:tcPr>
            <w:tcW w:w="203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质控报表</w:t>
            </w:r>
          </w:p>
        </w:tc>
        <w:tc>
          <w:tcPr>
            <w:tcW w:w="7295"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1）患者分诊登记表</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2）急诊疾病谱分布</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3）急诊日报表统计</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4）急诊患者救治统计（包括离院、死亡、转院等）</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5）危重患者抢救成功率统计</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6）病种质控统计</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7）重点患者主诉统计</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8）急诊时间质控统计</w:t>
            </w:r>
          </w:p>
        </w:tc>
      </w:tr>
      <w:tr>
        <w:tblPrEx>
          <w:tblCellMar>
            <w:top w:w="0" w:type="dxa"/>
            <w:left w:w="108" w:type="dxa"/>
            <w:bottom w:w="0" w:type="dxa"/>
            <w:right w:w="108" w:type="dxa"/>
          </w:tblCellMar>
        </w:tblPrEx>
        <w:trPr>
          <w:trHeight w:val="885" w:hRule="atLeast"/>
        </w:trPr>
        <w:tc>
          <w:tcPr>
            <w:tcW w:w="886" w:type="dxa"/>
            <w:vMerge w:val="continue"/>
            <w:tcBorders>
              <w:left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nil"/>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kern w:val="0"/>
                <w:sz w:val="20"/>
                <w:szCs w:val="20"/>
                <w:lang w:bidi="ar"/>
              </w:rPr>
              <w:t>10项质控指标</w:t>
            </w:r>
          </w:p>
        </w:tc>
        <w:tc>
          <w:tcPr>
            <w:tcW w:w="7295" w:type="dxa"/>
            <w:tcBorders>
              <w:top w:val="nil"/>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1）急诊科医患比</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2）急诊科护患比</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3）急诊各级患者比例</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4）抢救室滞留时间中位数</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5）急性心肌梗死门药时间</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6）急性心肌梗死门球时间</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7）急诊抢救室患者死亡率</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8）急诊手术患者死亡率</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9）ROSC成功率</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10）非计划重返抢救室率</w:t>
            </w:r>
          </w:p>
        </w:tc>
      </w:tr>
      <w:tr>
        <w:tblPrEx>
          <w:tblCellMar>
            <w:top w:w="0" w:type="dxa"/>
            <w:left w:w="108" w:type="dxa"/>
            <w:bottom w:w="0" w:type="dxa"/>
            <w:right w:w="108" w:type="dxa"/>
          </w:tblCellMar>
        </w:tblPrEx>
        <w:trPr>
          <w:trHeight w:val="885" w:hRule="atLeast"/>
        </w:trPr>
        <w:tc>
          <w:tcPr>
            <w:tcW w:w="886"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rPr>
                <w:rFonts w:ascii="仿宋" w:hAnsi="仿宋" w:cs="宋体"/>
                <w:b/>
                <w:bCs/>
                <w:color w:val="000000"/>
                <w:kern w:val="0"/>
                <w:sz w:val="21"/>
                <w:szCs w:val="21"/>
              </w:rPr>
            </w:pPr>
          </w:p>
        </w:tc>
        <w:tc>
          <w:tcPr>
            <w:tcW w:w="203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科室常用统计报表</w:t>
            </w:r>
          </w:p>
        </w:tc>
        <w:tc>
          <w:tcPr>
            <w:tcW w:w="7295"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支持质控科室系统常用统计报表的开发。</w:t>
            </w:r>
          </w:p>
        </w:tc>
      </w:tr>
    </w:tbl>
    <w:p>
      <w:pPr>
        <w:ind w:firstLine="0" w:firstLineChars="0"/>
      </w:pPr>
    </w:p>
    <w:p>
      <w:pPr>
        <w:pStyle w:val="6"/>
      </w:pPr>
      <w:r>
        <w:rPr>
          <w:rFonts w:hint="eastAsia"/>
          <w:szCs w:val="24"/>
        </w:rPr>
        <w:t>CA数字认证系统</w:t>
      </w:r>
    </w:p>
    <w:tbl>
      <w:tblPr>
        <w:tblStyle w:val="39"/>
        <w:tblW w:w="10213"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51"/>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 w:type="dxa"/>
            <w:vAlign w:val="center"/>
          </w:tcPr>
          <w:p>
            <w:pPr>
              <w:widowControl/>
              <w:ind w:firstLine="0" w:firstLineChars="0"/>
              <w:textAlignment w:val="center"/>
              <w:rPr>
                <w:rFonts w:ascii="宋体" w:hAnsi="宋体"/>
                <w:b/>
              </w:rPr>
            </w:pPr>
            <w:r>
              <w:rPr>
                <w:rFonts w:hint="eastAsia" w:ascii="微软雅黑" w:hAnsi="微软雅黑" w:eastAsia="微软雅黑" w:cs="微软雅黑"/>
                <w:b/>
                <w:bCs/>
                <w:color w:val="000000"/>
                <w:kern w:val="0"/>
                <w:sz w:val="22"/>
                <w:szCs w:val="22"/>
                <w:lang w:bidi="ar"/>
              </w:rPr>
              <w:t>名称</w:t>
            </w:r>
          </w:p>
        </w:tc>
        <w:tc>
          <w:tcPr>
            <w:tcW w:w="2051" w:type="dxa"/>
            <w:vAlign w:val="center"/>
          </w:tcPr>
          <w:p>
            <w:pPr>
              <w:widowControl/>
              <w:ind w:firstLine="440"/>
              <w:jc w:val="center"/>
              <w:textAlignment w:val="center"/>
              <w:rPr>
                <w:rFonts w:ascii="宋体" w:hAnsi="宋体"/>
                <w:b/>
              </w:rPr>
            </w:pPr>
            <w:r>
              <w:rPr>
                <w:rFonts w:hint="eastAsia" w:ascii="微软雅黑" w:hAnsi="微软雅黑" w:eastAsia="微软雅黑" w:cs="微软雅黑"/>
                <w:b/>
                <w:bCs/>
                <w:color w:val="000000"/>
                <w:kern w:val="0"/>
                <w:sz w:val="22"/>
                <w:szCs w:val="22"/>
                <w:lang w:bidi="ar"/>
              </w:rPr>
              <w:t>功能模块</w:t>
            </w:r>
          </w:p>
        </w:tc>
        <w:tc>
          <w:tcPr>
            <w:tcW w:w="7262" w:type="dxa"/>
            <w:vAlign w:val="center"/>
          </w:tcPr>
          <w:p>
            <w:pPr>
              <w:widowControl/>
              <w:ind w:firstLine="440"/>
              <w:jc w:val="center"/>
              <w:textAlignment w:val="center"/>
              <w:rPr>
                <w:rFonts w:ascii="宋体" w:hAnsi="宋体"/>
                <w:b/>
                <w:lang w:val="zh-CN"/>
              </w:rPr>
            </w:pPr>
            <w:r>
              <w:rPr>
                <w:rFonts w:hint="eastAsia" w:ascii="微软雅黑" w:hAnsi="微软雅黑" w:eastAsia="微软雅黑" w:cs="微软雅黑"/>
                <w:b/>
                <w:bCs/>
                <w:color w:val="000000"/>
                <w:kern w:val="0"/>
                <w:sz w:val="22"/>
                <w:szCs w:val="22"/>
                <w:lang w:bidi="ar"/>
              </w:rPr>
              <w:t>产品描述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 w:type="dxa"/>
            <w:vMerge w:val="restart"/>
            <w:vAlign w:val="center"/>
          </w:tcPr>
          <w:p>
            <w:pPr>
              <w:adjustRightInd w:val="0"/>
              <w:snapToGrid w:val="0"/>
              <w:spacing w:before="156" w:beforeLines="50" w:after="50"/>
              <w:ind w:firstLine="0" w:firstLineChars="0"/>
              <w:rPr>
                <w:rFonts w:ascii="微软雅黑" w:hAnsi="微软雅黑" w:eastAsia="微软雅黑" w:cs="微软雅黑"/>
                <w:color w:val="000000"/>
                <w:kern w:val="0"/>
                <w:sz w:val="20"/>
                <w:szCs w:val="20"/>
                <w:lang w:bidi="ar"/>
              </w:rPr>
            </w:pPr>
          </w:p>
          <w:p>
            <w:pPr>
              <w:adjustRightInd w:val="0"/>
              <w:snapToGrid w:val="0"/>
              <w:spacing w:before="156" w:beforeLines="50" w:after="50"/>
              <w:ind w:firstLine="0" w:firstLineChars="0"/>
              <w:rPr>
                <w:rFonts w:ascii="微软雅黑" w:hAnsi="微软雅黑" w:eastAsia="微软雅黑" w:cs="微软雅黑"/>
                <w:color w:val="000000"/>
                <w:kern w:val="0"/>
                <w:sz w:val="20"/>
                <w:szCs w:val="20"/>
                <w:lang w:bidi="ar"/>
              </w:rPr>
            </w:pPr>
          </w:p>
          <w:p>
            <w:pPr>
              <w:adjustRightInd w:val="0"/>
              <w:snapToGrid w:val="0"/>
              <w:spacing w:before="156" w:beforeLines="50" w:after="50"/>
              <w:ind w:firstLine="0" w:firstLineChars="0"/>
              <w:rPr>
                <w:rFonts w:ascii="微软雅黑" w:hAnsi="微软雅黑" w:eastAsia="微软雅黑" w:cs="微软雅黑"/>
                <w:color w:val="000000"/>
                <w:kern w:val="0"/>
                <w:sz w:val="20"/>
                <w:szCs w:val="20"/>
                <w:lang w:bidi="ar"/>
              </w:rPr>
            </w:pPr>
          </w:p>
          <w:p>
            <w:pPr>
              <w:adjustRightInd w:val="0"/>
              <w:snapToGrid w:val="0"/>
              <w:spacing w:before="156" w:beforeLines="50" w:after="50"/>
              <w:ind w:firstLine="0" w:firstLineChars="0"/>
              <w:rPr>
                <w:rFonts w:ascii="微软雅黑" w:hAnsi="微软雅黑" w:eastAsia="微软雅黑" w:cs="微软雅黑"/>
                <w:color w:val="000000"/>
                <w:kern w:val="0"/>
                <w:sz w:val="20"/>
                <w:szCs w:val="20"/>
                <w:lang w:bidi="ar"/>
              </w:rPr>
            </w:pPr>
          </w:p>
          <w:p>
            <w:pPr>
              <w:adjustRightInd w:val="0"/>
              <w:snapToGrid w:val="0"/>
              <w:spacing w:before="156" w:beforeLines="50" w:after="50"/>
              <w:ind w:firstLine="0" w:firstLineChars="0"/>
              <w:rPr>
                <w:rFonts w:ascii="宋体" w:hAnsi="宋体" w:cs="Arial"/>
                <w:color w:val="000000"/>
              </w:rPr>
            </w:pPr>
            <w:r>
              <w:rPr>
                <w:rFonts w:hint="eastAsia" w:ascii="微软雅黑" w:hAnsi="微软雅黑" w:eastAsia="微软雅黑" w:cs="微软雅黑"/>
                <w:color w:val="000000"/>
                <w:kern w:val="0"/>
                <w:sz w:val="20"/>
                <w:szCs w:val="20"/>
                <w:lang w:bidi="ar"/>
              </w:rPr>
              <w:t>CA数字认证</w:t>
            </w:r>
          </w:p>
        </w:tc>
        <w:tc>
          <w:tcPr>
            <w:tcW w:w="2051" w:type="dxa"/>
            <w:vAlign w:val="center"/>
          </w:tcPr>
          <w:p>
            <w:pPr>
              <w:widowControl/>
              <w:ind w:firstLine="0" w:firstLineChars="0"/>
              <w:textAlignment w:val="center"/>
              <w:rPr>
                <w:rFonts w:ascii="微软雅黑" w:hAnsi="微软雅黑" w:eastAsia="微软雅黑" w:cs="微软雅黑"/>
                <w:color w:val="000000"/>
                <w:kern w:val="0"/>
                <w:sz w:val="20"/>
                <w:szCs w:val="20"/>
                <w:lang w:val="zh-CN" w:bidi="ar"/>
              </w:rPr>
            </w:pPr>
            <w:r>
              <w:rPr>
                <w:rFonts w:hint="eastAsia" w:ascii="微软雅黑" w:hAnsi="微软雅黑" w:eastAsia="微软雅黑" w:cs="微软雅黑"/>
                <w:color w:val="000000"/>
                <w:kern w:val="0"/>
                <w:sz w:val="20"/>
                <w:szCs w:val="20"/>
                <w:lang w:val="zh-CN" w:bidi="ar"/>
              </w:rPr>
              <w:t>数字签名服务器</w:t>
            </w:r>
          </w:p>
        </w:tc>
        <w:tc>
          <w:tcPr>
            <w:tcW w:w="7262"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支持数字签名/验证、文件签名/验证、数字信封等功能。</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支持符合X509v3标准格式的数字证书。</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支持验证数字证书的真实性和有效性。</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支持证书有效期、CA信任机构和CRL等多种验证方式。</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支持国密算法和RSA算法。</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支持PKCS#10证书申请,私钥不可导出。</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支持私钥证书导入。</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支持多CA信任机构管理。</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支持与外部时间源进行时间同步。</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支持日志管理功能，支持按需记录，支持本地、SYSLOG服务器、GMS服务器存储。</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系统管理必须支持通过管理员证书管理登录，通信过程必须加密处理。</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支持配置的备份和恢复。</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支持双机热备和负载均衡的部署模式。</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性能：SM2算法签名≥1800次/秒，验证≥1600次/秒，制作信封≥800次/秒，解密信封≥900次/秒。</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具有商用密码产品认证证书。</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具有公安部销售许可证书。</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提供与应用结合的API接口(包括C接口、JAVA接口、COM接口)。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 w:type="dxa"/>
            <w:vMerge w:val="continue"/>
            <w:vAlign w:val="center"/>
          </w:tcPr>
          <w:p>
            <w:pPr>
              <w:adjustRightInd w:val="0"/>
              <w:snapToGrid w:val="0"/>
              <w:spacing w:before="156" w:beforeLines="50" w:after="50"/>
              <w:ind w:firstLine="0" w:firstLineChars="0"/>
              <w:rPr>
                <w:rFonts w:ascii="宋体" w:hAnsi="宋体" w:cs="Arial"/>
                <w:color w:val="000000"/>
                <w:lang w:val="zh-CN"/>
              </w:rPr>
            </w:pPr>
          </w:p>
        </w:tc>
        <w:tc>
          <w:tcPr>
            <w:tcW w:w="2051" w:type="dxa"/>
            <w:vAlign w:val="center"/>
          </w:tcPr>
          <w:p>
            <w:pPr>
              <w:widowControl/>
              <w:ind w:firstLine="0" w:firstLineChars="0"/>
              <w:textAlignment w:val="center"/>
              <w:rPr>
                <w:rFonts w:ascii="微软雅黑" w:hAnsi="微软雅黑" w:eastAsia="微软雅黑" w:cs="微软雅黑"/>
                <w:color w:val="000000"/>
                <w:kern w:val="0"/>
                <w:sz w:val="20"/>
                <w:szCs w:val="20"/>
                <w:lang w:val="zh-CN" w:bidi="ar"/>
              </w:rPr>
            </w:pPr>
            <w:r>
              <w:rPr>
                <w:rFonts w:hint="eastAsia" w:ascii="微软雅黑" w:hAnsi="微软雅黑" w:eastAsia="微软雅黑" w:cs="微软雅黑"/>
                <w:color w:val="000000"/>
                <w:kern w:val="0"/>
                <w:sz w:val="20"/>
                <w:szCs w:val="20"/>
                <w:lang w:bidi="ar"/>
              </w:rPr>
              <w:t>电子印章</w:t>
            </w:r>
          </w:p>
        </w:tc>
        <w:tc>
          <w:tcPr>
            <w:tcW w:w="7262"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支持使用符合X509v3标准格式的数字证书，包括第三方CA机构、企业内部CA系统以及自建CA系统签发的数字证书。</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盖章后的数据可以验证，盖章基本信息可查看。</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保护文件不被非法篡改：能对所签文件内容进行完整性认证，确定其是否被篡改。如果签署后的文件发生了变更，验证时则会提示文件验证失败。</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确保文件签署者不可否认：通过数字签名的唯一性及可验证性，从而确保签署者对所签文件的不可抵赖。</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支持VB、VC、JAVA、ASP、DELPHI、.NET等多种常用编程语言。</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电子印章必须使用可靠的数字证书实现电子签名，数字证书真实性可验证。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 w:type="dxa"/>
            <w:vMerge w:val="continue"/>
            <w:vAlign w:val="center"/>
          </w:tcPr>
          <w:p>
            <w:pPr>
              <w:adjustRightInd w:val="0"/>
              <w:snapToGrid w:val="0"/>
              <w:spacing w:before="156" w:beforeLines="50" w:after="50"/>
              <w:ind w:firstLine="0" w:firstLineChars="0"/>
              <w:rPr>
                <w:rFonts w:ascii="宋体" w:hAnsi="宋体" w:cs="Arial"/>
                <w:color w:val="000000"/>
                <w:lang w:val="zh-CN"/>
              </w:rPr>
            </w:pPr>
          </w:p>
        </w:tc>
        <w:tc>
          <w:tcPr>
            <w:tcW w:w="2051" w:type="dxa"/>
            <w:vAlign w:val="center"/>
          </w:tcPr>
          <w:p>
            <w:pPr>
              <w:widowControl/>
              <w:ind w:firstLine="0" w:firstLineChars="0"/>
              <w:textAlignment w:val="center"/>
              <w:rPr>
                <w:rFonts w:ascii="微软雅黑" w:hAnsi="微软雅黑" w:eastAsia="微软雅黑" w:cs="微软雅黑"/>
                <w:color w:val="000000"/>
                <w:kern w:val="0"/>
                <w:sz w:val="20"/>
                <w:szCs w:val="20"/>
                <w:lang w:val="zh-CN" w:bidi="ar"/>
              </w:rPr>
            </w:pPr>
            <w:r>
              <w:rPr>
                <w:rFonts w:hint="eastAsia" w:ascii="微软雅黑" w:hAnsi="微软雅黑" w:eastAsia="微软雅黑" w:cs="微软雅黑"/>
                <w:color w:val="000000"/>
                <w:kern w:val="0"/>
                <w:sz w:val="20"/>
                <w:szCs w:val="20"/>
                <w:lang w:bidi="ar"/>
              </w:rPr>
              <w:t>数字证书</w:t>
            </w:r>
          </w:p>
        </w:tc>
        <w:tc>
          <w:tcPr>
            <w:tcW w:w="7262"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数字证书要求：</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用于标识机构用户、个人用户、硬件设备的网络身份。</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符合《中华人民共和国电子签名法》。</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遵守中华人民共和国《商用密码管理条例》。</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证书格式标准遵循x．509v3标准。</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使用国密算法。</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支持介质：智能USB-Key、带有密码卡的服务器或密码机、密码模块等。</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支持自定义证书扩展域。</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证书服务要求：</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提供数字证书应用全生命周期服务，包括数字证书申请、审核、签发、注销解锁、证书目录发布，OCSP查询、CRL发布。</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提供培训、接口开发、故障处理服务。</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提供热线、网络支持、远程协助和现场支持等服务方式。</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提供查询统计服务，支持对证书发放情况、证书状态等信息的查询与统计，满足管理部门的日常管理需要及安全审计需求。</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提供应急保障服务，制定应急服务预案、应急保障措施和应急工作机制。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 w:type="dxa"/>
            <w:vMerge w:val="continue"/>
            <w:vAlign w:val="center"/>
          </w:tcPr>
          <w:p>
            <w:pPr>
              <w:adjustRightInd w:val="0"/>
              <w:snapToGrid w:val="0"/>
              <w:spacing w:before="156" w:beforeLines="50" w:after="50"/>
              <w:ind w:firstLine="0" w:firstLineChars="0"/>
              <w:rPr>
                <w:rFonts w:ascii="宋体" w:hAnsi="宋体" w:cs="Arial"/>
                <w:color w:val="000000"/>
                <w:lang w:val="zh-CN"/>
              </w:rPr>
            </w:pPr>
          </w:p>
        </w:tc>
        <w:tc>
          <w:tcPr>
            <w:tcW w:w="2051"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bookmarkStart w:id="0" w:name="_Hlk107404054"/>
            <w:r>
              <w:rPr>
                <w:rFonts w:hint="eastAsia" w:ascii="微软雅黑" w:hAnsi="微软雅黑" w:eastAsia="微软雅黑" w:cs="微软雅黑"/>
                <w:color w:val="000000"/>
                <w:kern w:val="0"/>
                <w:sz w:val="20"/>
                <w:szCs w:val="20"/>
                <w:lang w:bidi="ar"/>
              </w:rPr>
              <w:t>智能密码钥匙</w:t>
            </w:r>
          </w:p>
          <w:bookmarkEnd w:id="0"/>
          <w:p>
            <w:pPr>
              <w:widowControl/>
              <w:ind w:firstLine="0" w:firstLineChars="0"/>
              <w:textAlignment w:val="center"/>
              <w:rPr>
                <w:rFonts w:ascii="微软雅黑" w:hAnsi="微软雅黑" w:eastAsia="微软雅黑" w:cs="微软雅黑"/>
                <w:color w:val="000000"/>
                <w:kern w:val="0"/>
                <w:sz w:val="20"/>
                <w:szCs w:val="20"/>
                <w:lang w:val="zh-CN" w:bidi="ar"/>
              </w:rPr>
            </w:pPr>
          </w:p>
        </w:tc>
        <w:tc>
          <w:tcPr>
            <w:tcW w:w="7262" w:type="dxa"/>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支持USB2.0、3.0接口。</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符合CE和FCC标准认证。</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内置安全加密数据存储芯片。</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支持硬件随机数生成器。</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支持PKI应用，提供CSP及国密接口。</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符合国家密码管理局关于“密钥不落地”的技术规范要求和《智能IC卡及智能密码钥匙密码应用接口规范》。</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使用自主知识产权的COS，并且可根据用户需求进行COS定制。</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需具备《商用密码产品型号证书》。</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需具备《计算机信息系统安全专用产品销售许可证》。</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支持多证书存储。</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支持多应用，并支持并发访问。</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支持PIN码保护。</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支持多浏览器。</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支持RSA1024/2048、国密算法。</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存储寿命：最少10年、EEPROM:不少于30万次。FLASH：不少于2万次。。</w:t>
            </w:r>
          </w:p>
        </w:tc>
      </w:tr>
    </w:tbl>
    <w:p>
      <w:pPr>
        <w:pStyle w:val="37"/>
        <w:ind w:firstLine="0" w:firstLineChars="0"/>
      </w:pPr>
    </w:p>
    <w:p>
      <w:pPr>
        <w:pStyle w:val="6"/>
      </w:pPr>
      <w:r>
        <w:rPr>
          <w:rFonts w:hint="eastAsia"/>
          <w:szCs w:val="24"/>
        </w:rPr>
        <w:t>医院感染管理系统</w:t>
      </w:r>
    </w:p>
    <w:tbl>
      <w:tblPr>
        <w:tblStyle w:val="38"/>
        <w:tblW w:w="10213" w:type="dxa"/>
        <w:tblInd w:w="-87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00"/>
        <w:gridCol w:w="2045"/>
        <w:gridCol w:w="726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7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宋体" w:hAnsi="宋体"/>
              </w:rPr>
            </w:pPr>
            <w:r>
              <w:rPr>
                <w:rFonts w:hint="eastAsia" w:ascii="微软雅黑" w:hAnsi="微软雅黑" w:eastAsia="微软雅黑" w:cs="微软雅黑"/>
                <w:b/>
                <w:bCs/>
                <w:color w:val="000000"/>
                <w:kern w:val="0"/>
                <w:sz w:val="22"/>
                <w:szCs w:val="22"/>
                <w:lang w:bidi="ar"/>
              </w:rPr>
              <w:t>名称</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440"/>
              <w:jc w:val="center"/>
              <w:textAlignment w:val="center"/>
              <w:rPr>
                <w:lang w:val="zh-TW"/>
              </w:rPr>
            </w:pPr>
            <w:r>
              <w:rPr>
                <w:rFonts w:hint="eastAsia" w:ascii="微软雅黑" w:hAnsi="微软雅黑" w:eastAsia="微软雅黑" w:cs="微软雅黑"/>
                <w:b/>
                <w:bCs/>
                <w:color w:val="000000"/>
                <w:kern w:val="0"/>
                <w:sz w:val="22"/>
                <w:szCs w:val="22"/>
                <w:lang w:bidi="ar"/>
              </w:rPr>
              <w:t>功能模块</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440"/>
              <w:jc w:val="center"/>
              <w:textAlignment w:val="center"/>
              <w:rPr>
                <w:rFonts w:ascii="宋体" w:hAnsi="宋体"/>
              </w:rPr>
            </w:pPr>
            <w:r>
              <w:rPr>
                <w:rFonts w:hint="eastAsia" w:ascii="微软雅黑" w:hAnsi="微软雅黑" w:eastAsia="微软雅黑" w:cs="微软雅黑"/>
                <w:b/>
                <w:bCs/>
                <w:color w:val="000000"/>
                <w:kern w:val="0"/>
                <w:sz w:val="22"/>
                <w:szCs w:val="22"/>
                <w:lang w:bidi="ar"/>
              </w:rPr>
              <w:t>产品描述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70" w:hRule="atLeast"/>
        </w:trPr>
        <w:tc>
          <w:tcPr>
            <w:tcW w:w="900"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0" w:firstLineChars="0"/>
              <w:rPr>
                <w:rFonts w:ascii="微软雅黑" w:hAnsi="微软雅黑" w:eastAsia="微软雅黑" w:cs="微软雅黑"/>
                <w:color w:val="000000"/>
                <w:kern w:val="0"/>
                <w:sz w:val="20"/>
                <w:szCs w:val="20"/>
                <w:lang w:bidi="ar"/>
              </w:rPr>
            </w:pPr>
          </w:p>
          <w:p>
            <w:pPr>
              <w:widowControl/>
              <w:spacing w:line="276" w:lineRule="auto"/>
              <w:ind w:firstLine="0" w:firstLineChars="0"/>
              <w:rPr>
                <w:rFonts w:ascii="微软雅黑" w:hAnsi="微软雅黑" w:eastAsia="微软雅黑" w:cs="微软雅黑"/>
                <w:color w:val="000000"/>
                <w:kern w:val="0"/>
                <w:sz w:val="20"/>
                <w:szCs w:val="20"/>
                <w:lang w:bidi="ar"/>
              </w:rPr>
            </w:pPr>
          </w:p>
          <w:p>
            <w:pPr>
              <w:widowControl/>
              <w:spacing w:line="276" w:lineRule="auto"/>
              <w:ind w:firstLine="0" w:firstLineChars="0"/>
              <w:rPr>
                <w:rFonts w:ascii="微软雅黑" w:hAnsi="微软雅黑" w:eastAsia="微软雅黑" w:cs="微软雅黑"/>
                <w:color w:val="000000"/>
                <w:kern w:val="0"/>
                <w:sz w:val="20"/>
                <w:szCs w:val="20"/>
                <w:lang w:bidi="ar"/>
              </w:rPr>
            </w:pPr>
          </w:p>
          <w:p>
            <w:pPr>
              <w:widowControl/>
              <w:spacing w:line="276" w:lineRule="auto"/>
              <w:ind w:firstLine="0" w:firstLineChars="0"/>
            </w:pPr>
            <w:r>
              <w:rPr>
                <w:rFonts w:hint="eastAsia" w:ascii="微软雅黑" w:hAnsi="微软雅黑" w:eastAsia="微软雅黑" w:cs="微软雅黑"/>
                <w:color w:val="000000"/>
                <w:kern w:val="0"/>
                <w:sz w:val="20"/>
                <w:szCs w:val="20"/>
                <w:lang w:bidi="ar"/>
              </w:rPr>
              <w:t>医院感染管理系统</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PMingLiU"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标准与规范</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满足卫计委2017年发布的《医院感染管理信息系统基本功能规范》；</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满足卫计委2016年发布的《NIHA医院感染监测基本数据集及质量控制指标集实施指南（2016版）》；</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满足行业发布的《医疗机构耐药菌MDR、XDR、PDR的国际标准化定义专家建议(草案)》；</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满足卫生部2001年发布的《医院感染诊断标准（试行） 2001》。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6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病例预警</w:t>
            </w:r>
          </w:p>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基于卫计委颁布《医院感染诊断标准</w:t>
            </w:r>
            <w:r>
              <w:rPr>
                <w:rFonts w:hint="eastAsia" w:ascii="微软雅黑" w:hAnsi="微软雅黑" w:eastAsia="微软雅黑" w:cs="微软雅黑"/>
                <w:color w:val="000000"/>
                <w:kern w:val="0"/>
                <w:sz w:val="20"/>
                <w:szCs w:val="20"/>
                <w:lang w:bidi="ar"/>
              </w:rPr>
              <w:t>(2001)</w:t>
            </w:r>
            <w:r>
              <w:rPr>
                <w:rFonts w:hint="eastAsia" w:ascii="微软雅黑" w:hAnsi="微软雅黑" w:eastAsia="微软雅黑" w:cs="微软雅黑"/>
                <w:color w:val="000000"/>
                <w:kern w:val="0"/>
                <w:sz w:val="20"/>
                <w:szCs w:val="20"/>
                <w:lang w:val="zh-TW" w:eastAsia="zh-TW" w:bidi="ar"/>
              </w:rPr>
              <w:t>》之上，运用独有核心知识产权的预警模型，对患者的诊疗信息数据进行分析预警，及时提醒感控专职人员及临床医生的疑似感染病例；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 xml:space="preserve"> 支持《美国</w:t>
            </w:r>
            <w:r>
              <w:rPr>
                <w:rFonts w:hint="eastAsia" w:ascii="微软雅黑" w:hAnsi="微软雅黑" w:eastAsia="微软雅黑" w:cs="微软雅黑"/>
                <w:color w:val="000000"/>
                <w:kern w:val="0"/>
                <w:sz w:val="20"/>
                <w:szCs w:val="20"/>
                <w:lang w:val="zh-TW" w:eastAsia="zh-TW" w:bidi="ar"/>
              </w:rPr>
              <w:t>CDC</w:t>
            </w:r>
            <w:r>
              <w:rPr>
                <w:rFonts w:hint="eastAsia" w:ascii="微软雅黑" w:hAnsi="微软雅黑" w:eastAsia="微软雅黑" w:cs="微软雅黑"/>
                <w:color w:val="000000"/>
                <w:kern w:val="0"/>
                <w:sz w:val="20"/>
                <w:szCs w:val="20"/>
                <w:lang w:val="zh-TW" w:bidi="ar"/>
              </w:rPr>
              <w:t>医疗保健相关感染的监测定义和急性医疗机构感染的分型标准（</w:t>
            </w:r>
            <w:r>
              <w:rPr>
                <w:rFonts w:hint="eastAsia" w:ascii="微软雅黑" w:hAnsi="微软雅黑" w:eastAsia="微软雅黑" w:cs="微软雅黑"/>
                <w:color w:val="000000"/>
                <w:kern w:val="0"/>
                <w:sz w:val="20"/>
                <w:szCs w:val="20"/>
                <w:lang w:val="zh-TW" w:eastAsia="zh-TW" w:bidi="ar"/>
              </w:rPr>
              <w:t>2009</w:t>
            </w:r>
            <w:r>
              <w:rPr>
                <w:rFonts w:hint="eastAsia" w:ascii="微软雅黑" w:hAnsi="微软雅黑" w:eastAsia="微软雅黑" w:cs="微软雅黑"/>
                <w:color w:val="000000"/>
                <w:kern w:val="0"/>
                <w:sz w:val="20"/>
                <w:szCs w:val="20"/>
                <w:lang w:val="zh-TW" w:bidi="ar"/>
              </w:rPr>
              <w:t>年）》诊断模型。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智能分析能力强，能够处理万级数量床位的超大型医院，</w:t>
            </w:r>
            <w:r>
              <w:rPr>
                <w:rFonts w:hint="eastAsia" w:ascii="微软雅黑" w:hAnsi="微软雅黑" w:eastAsia="微软雅黑" w:cs="微软雅黑"/>
                <w:color w:val="000000"/>
                <w:kern w:val="0"/>
                <w:sz w:val="20"/>
                <w:szCs w:val="20"/>
                <w:lang w:bidi="ar"/>
              </w:rPr>
              <w:t>1</w:t>
            </w:r>
            <w:r>
              <w:rPr>
                <w:rFonts w:hint="eastAsia" w:ascii="微软雅黑" w:hAnsi="微软雅黑" w:eastAsia="微软雅黑" w:cs="微软雅黑"/>
                <w:color w:val="000000"/>
                <w:kern w:val="0"/>
                <w:sz w:val="20"/>
                <w:szCs w:val="20"/>
                <w:lang w:val="zh-TW" w:eastAsia="zh-TW" w:bidi="ar"/>
              </w:rPr>
              <w:t>小时可分析</w:t>
            </w:r>
            <w:r>
              <w:rPr>
                <w:rFonts w:hint="eastAsia" w:ascii="微软雅黑" w:hAnsi="微软雅黑" w:eastAsia="微软雅黑" w:cs="微软雅黑"/>
                <w:color w:val="000000"/>
                <w:kern w:val="0"/>
                <w:sz w:val="20"/>
                <w:szCs w:val="20"/>
                <w:lang w:bidi="ar"/>
              </w:rPr>
              <w:t>10</w:t>
            </w:r>
            <w:r>
              <w:rPr>
                <w:rFonts w:hint="eastAsia" w:ascii="微软雅黑" w:hAnsi="微软雅黑" w:eastAsia="微软雅黑" w:cs="微软雅黑"/>
                <w:color w:val="000000"/>
                <w:kern w:val="0"/>
                <w:sz w:val="20"/>
                <w:szCs w:val="20"/>
                <w:lang w:val="zh-TW" w:eastAsia="zh-TW" w:bidi="ar"/>
              </w:rPr>
              <w:t>万条患者诊疗数据；</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 xml:space="preserve"> </w:t>
            </w:r>
            <w:r>
              <w:rPr>
                <w:rFonts w:hint="eastAsia" w:ascii="微软雅黑" w:hAnsi="微软雅黑" w:eastAsia="微软雅黑" w:cs="微软雅黑"/>
                <w:color w:val="000000"/>
                <w:kern w:val="0"/>
                <w:sz w:val="20"/>
                <w:szCs w:val="20"/>
                <w:lang w:val="zh-TW" w:eastAsia="zh-TW" w:bidi="ar"/>
              </w:rPr>
              <w:t>支持对纯文本、半结构化或结构化的病历内容进行自然语言分析处理，对</w:t>
            </w:r>
            <w:r>
              <w:rPr>
                <w:rFonts w:hint="eastAsia" w:ascii="微软雅黑" w:hAnsi="微软雅黑" w:eastAsia="微软雅黑" w:cs="微软雅黑"/>
                <w:color w:val="000000"/>
                <w:kern w:val="0"/>
                <w:sz w:val="20"/>
                <w:szCs w:val="20"/>
                <w:lang w:bidi="ar"/>
              </w:rPr>
              <w:t>xml</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html、rtf、txt</w:t>
            </w:r>
            <w:r>
              <w:rPr>
                <w:rFonts w:hint="eastAsia" w:ascii="微软雅黑" w:hAnsi="微软雅黑" w:eastAsia="微软雅黑" w:cs="微软雅黑"/>
                <w:color w:val="000000"/>
                <w:kern w:val="0"/>
                <w:sz w:val="20"/>
                <w:szCs w:val="20"/>
                <w:lang w:val="zh-TW" w:eastAsia="zh-TW" w:bidi="ar"/>
              </w:rPr>
              <w:t>友好支持；</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 xml:space="preserve"> </w:t>
            </w:r>
            <w:r>
              <w:rPr>
                <w:rFonts w:hint="eastAsia" w:ascii="微软雅黑" w:hAnsi="微软雅黑" w:eastAsia="微软雅黑" w:cs="微软雅黑"/>
                <w:color w:val="000000"/>
                <w:kern w:val="0"/>
                <w:sz w:val="20"/>
                <w:szCs w:val="20"/>
                <w:lang w:val="zh-TW" w:eastAsia="zh-TW" w:bidi="ar"/>
              </w:rPr>
              <w:t>分析病历中感染因素，并与病历中描述部位、上下文结合智能识别感染因素预警；</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支持对患者常规检验中感染相关重要指标进行分析并提示，如降钙素原、</w:t>
            </w:r>
            <w:r>
              <w:rPr>
                <w:rFonts w:hint="eastAsia" w:ascii="微软雅黑" w:hAnsi="微软雅黑" w:eastAsia="微软雅黑" w:cs="微软雅黑"/>
                <w:color w:val="000000"/>
                <w:kern w:val="0"/>
                <w:sz w:val="20"/>
                <w:szCs w:val="20"/>
                <w:lang w:bidi="ar"/>
              </w:rPr>
              <w:t>C</w:t>
            </w:r>
            <w:r>
              <w:rPr>
                <w:rFonts w:hint="eastAsia" w:ascii="微软雅黑" w:hAnsi="微软雅黑" w:eastAsia="微软雅黑" w:cs="微软雅黑"/>
                <w:color w:val="000000"/>
                <w:kern w:val="0"/>
                <w:sz w:val="20"/>
                <w:szCs w:val="20"/>
                <w:lang w:val="zh-TW" w:eastAsia="zh-TW" w:bidi="ar"/>
              </w:rPr>
              <w:t>反应蛋白、超敏</w:t>
            </w:r>
            <w:r>
              <w:rPr>
                <w:rFonts w:hint="eastAsia" w:ascii="微软雅黑" w:hAnsi="微软雅黑" w:eastAsia="微软雅黑" w:cs="微软雅黑"/>
                <w:color w:val="000000"/>
                <w:kern w:val="0"/>
                <w:sz w:val="20"/>
                <w:szCs w:val="20"/>
                <w:lang w:bidi="ar"/>
              </w:rPr>
              <w:t>C</w:t>
            </w:r>
            <w:r>
              <w:rPr>
                <w:rFonts w:hint="eastAsia" w:ascii="微软雅黑" w:hAnsi="微软雅黑" w:eastAsia="微软雅黑" w:cs="微软雅黑"/>
                <w:color w:val="000000"/>
                <w:kern w:val="0"/>
                <w:sz w:val="20"/>
                <w:szCs w:val="20"/>
                <w:lang w:val="zh-TW" w:eastAsia="zh-TW" w:bidi="ar"/>
              </w:rPr>
              <w:t>反应蛋白；</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结合模型预警计算出患者感染部位的感染开始日期，自动区分出医院感染与社区感染；</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自动生成待处理疑似感染病例，按在院、关注患者、出院三种患者角度进行预警病例查看，同时支持根据用户管辖科室、全院两种方式查看；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支持对患者疑似感染病例操作的同时，可查看患者的重要关注因素；</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支持专职人员对疑似病例处理，包括确认、代报、排除，处理后的疑似病例标记为已确认、已排除，未处理的则是未处理标识；</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对疑似感染病例的预警来源维度分类展示，包括：病历、检验、体温、影像、抗菌药物使用情况，方便专职人员查阅；</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对疑似感染病例的预警来源直观展示，包括：诊断感染依据、原文内容、出现时间段；</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支持对病历中感染因素进行颜色标记，以便专职人员能够直观</w:t>
            </w:r>
            <w:r>
              <w:rPr>
                <w:rFonts w:hint="eastAsia" w:ascii="微软雅黑" w:hAnsi="微软雅黑" w:eastAsia="微软雅黑" w:cs="微软雅黑"/>
                <w:color w:val="000000"/>
                <w:kern w:val="0"/>
                <w:sz w:val="20"/>
                <w:szCs w:val="20"/>
                <w:lang w:val="zh-TW" w:bidi="ar"/>
              </w:rPr>
              <w:t>追溯病历重要内容；</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支持对患者病例</w:t>
            </w:r>
            <w:r>
              <w:rPr>
                <w:rFonts w:hint="eastAsia" w:ascii="微软雅黑" w:hAnsi="微软雅黑" w:eastAsia="微软雅黑" w:cs="微软雅黑"/>
                <w:color w:val="000000"/>
                <w:kern w:val="0"/>
                <w:sz w:val="20"/>
                <w:szCs w:val="20"/>
                <w:lang w:val="zh-TW" w:bidi="ar"/>
              </w:rPr>
              <w:t>重点</w:t>
            </w:r>
            <w:r>
              <w:rPr>
                <w:rFonts w:hint="eastAsia" w:ascii="微软雅黑" w:hAnsi="微软雅黑" w:eastAsia="微软雅黑" w:cs="微软雅黑"/>
                <w:color w:val="000000"/>
                <w:kern w:val="0"/>
                <w:sz w:val="20"/>
                <w:szCs w:val="20"/>
                <w:lang w:val="zh-TW" w:eastAsia="zh-TW" w:bidi="ar"/>
              </w:rPr>
              <w:t>关注操作，同时以</w:t>
            </w:r>
            <w:r>
              <w:rPr>
                <w:rFonts w:hint="eastAsia" w:ascii="微软雅黑" w:hAnsi="微软雅黑" w:eastAsia="微软雅黑" w:cs="微软雅黑"/>
                <w:color w:val="000000"/>
                <w:kern w:val="0"/>
                <w:sz w:val="20"/>
                <w:szCs w:val="20"/>
                <w:lang w:val="zh-TW" w:bidi="ar"/>
              </w:rPr>
              <w:t>角标</w:t>
            </w:r>
            <w:r>
              <w:rPr>
                <w:rFonts w:hint="eastAsia" w:ascii="微软雅黑" w:hAnsi="微软雅黑" w:eastAsia="微软雅黑" w:cs="微软雅黑"/>
                <w:color w:val="000000"/>
                <w:kern w:val="0"/>
                <w:sz w:val="20"/>
                <w:szCs w:val="20"/>
                <w:lang w:val="zh-TW" w:eastAsia="zh-TW" w:bidi="ar"/>
              </w:rPr>
              <w:t>标记患者诊疗卡片，方便用户直观看到是否为关注患者</w:t>
            </w:r>
            <w:r>
              <w:rPr>
                <w:rFonts w:hint="eastAsia" w:ascii="微软雅黑" w:hAnsi="微软雅黑" w:eastAsia="微软雅黑" w:cs="微软雅黑"/>
                <w:color w:val="000000"/>
                <w:kern w:val="0"/>
                <w:sz w:val="20"/>
                <w:szCs w:val="20"/>
                <w:lang w:val="zh-TW" w:bidi="ar"/>
              </w:rPr>
              <w:t>，进行后续跟踪</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支持对患者的疑似感染进行干预到临床操作处理，临床医生接收干预消息后，可对患者进行疑似感染病主动确认或排除操作；</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支持对患者的疑似感染进行感染病例代报。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暴发预警</w:t>
            </w:r>
          </w:p>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以事件形式展示疑似暴发概况；</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支持暴发预警提示在首页监测面板显著提示，对未处理的暴发预警始终显示；</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监测项目包括：发热、腹泻、大便常规、血培养、相同耐药谱、感染部位、病原体、痰培养；</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支持对监测项目的关注程度进行自定义调整，包括重点关注、一般关注；</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支持对查询结果内容穿透查看具体明细，如血培养疑似暴发的送检项目、送检时间可直接展示查看，减少打开页面次数；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支持对疑似暴发的审核操作，包括确认暴发、排除暴发、备注事件、干预；</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支持对审核后的疑似暴发事件查看审核人、审核时间、备注内容；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69"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bidi="ar"/>
              </w:rPr>
              <w:t xml:space="preserve"> </w:t>
            </w:r>
            <w:r>
              <w:rPr>
                <w:rFonts w:hint="eastAsia" w:ascii="微软雅黑" w:hAnsi="微软雅黑" w:eastAsia="微软雅黑" w:cs="微软雅黑"/>
                <w:color w:val="000000"/>
                <w:kern w:val="0"/>
                <w:sz w:val="20"/>
                <w:szCs w:val="20"/>
                <w:lang w:val="zh-TW" w:eastAsia="zh-TW" w:bidi="ar"/>
              </w:rPr>
              <w:t>监测面板</w:t>
            </w:r>
          </w:p>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提供友好的用户交互界面，能够集中展示全院概况、待处理事宜、重点指标监测；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全院概况，能够支持用户查看及穿透至对应页面，全院概况内容包括：在院患者人数、体温异常人数（体温</w:t>
            </w:r>
            <w:r>
              <w:rPr>
                <w:rFonts w:hint="eastAsia" w:ascii="微软雅黑" w:hAnsi="微软雅黑" w:eastAsia="微软雅黑" w:cs="微软雅黑"/>
                <w:color w:val="000000"/>
                <w:kern w:val="0"/>
                <w:sz w:val="20"/>
                <w:szCs w:val="20"/>
                <w:lang w:bidi="ar"/>
              </w:rPr>
              <w:t>≥38℃</w:t>
            </w:r>
            <w:r>
              <w:rPr>
                <w:rFonts w:hint="eastAsia" w:ascii="微软雅黑" w:hAnsi="微软雅黑" w:eastAsia="微软雅黑" w:cs="微软雅黑"/>
                <w:color w:val="000000"/>
                <w:kern w:val="0"/>
                <w:sz w:val="20"/>
                <w:szCs w:val="20"/>
                <w:lang w:val="zh-TW" w:eastAsia="zh-TW" w:bidi="ar"/>
              </w:rPr>
              <w:t>）、三大插管人数、MDRO检出人数，重点菌检出人数；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待办事宜，能够对</w:t>
            </w:r>
            <w:r>
              <w:rPr>
                <w:rFonts w:hint="eastAsia" w:ascii="微软雅黑" w:hAnsi="微软雅黑" w:eastAsia="微软雅黑" w:cs="微软雅黑"/>
                <w:color w:val="000000"/>
                <w:kern w:val="0"/>
                <w:sz w:val="20"/>
                <w:szCs w:val="20"/>
                <w:lang w:bidi="ar"/>
              </w:rPr>
              <w:t>1</w:t>
            </w:r>
            <w:r>
              <w:rPr>
                <w:rFonts w:hint="eastAsia" w:ascii="微软雅黑" w:hAnsi="微软雅黑" w:eastAsia="微软雅黑" w:cs="微软雅黑"/>
                <w:color w:val="000000"/>
                <w:kern w:val="0"/>
                <w:sz w:val="20"/>
                <w:szCs w:val="20"/>
                <w:lang w:val="zh-TW" w:eastAsia="zh-TW" w:bidi="ar"/>
              </w:rPr>
              <w:t>个月内未处理的内容总数展示及穿透相应功能进行业务处理，待办事宜内容包括：暴发预警、感染预警、感染报卡、暴露上报，暴露复查；</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重点指标监测，能够对重点的指标进行监测及穿透查询相应统计分析，包括：感染部位构成（年度）、送检标本构成（年度）、检出重点菌构成（年度）、检出重点菌构成（年度）、职业暴露人员构成（年度）、全院发热患者趋势（近</w:t>
            </w:r>
            <w:r>
              <w:rPr>
                <w:rFonts w:hint="eastAsia" w:ascii="微软雅黑" w:hAnsi="微软雅黑" w:eastAsia="微软雅黑" w:cs="微软雅黑"/>
                <w:color w:val="000000"/>
                <w:kern w:val="0"/>
                <w:sz w:val="20"/>
                <w:szCs w:val="20"/>
                <w:lang w:bidi="ar"/>
              </w:rPr>
              <w:t>7</w:t>
            </w:r>
            <w:r>
              <w:rPr>
                <w:rFonts w:hint="eastAsia" w:ascii="微软雅黑" w:hAnsi="微软雅黑" w:eastAsia="微软雅黑" w:cs="微软雅黑"/>
                <w:color w:val="000000"/>
                <w:kern w:val="0"/>
                <w:sz w:val="20"/>
                <w:szCs w:val="20"/>
                <w:lang w:val="zh-TW" w:eastAsia="zh-TW" w:bidi="ar"/>
              </w:rPr>
              <w:t>天）、</w:t>
            </w:r>
            <w:r>
              <w:rPr>
                <w:rFonts w:hint="eastAsia" w:ascii="微软雅黑" w:hAnsi="微软雅黑" w:eastAsia="微软雅黑" w:cs="微软雅黑"/>
                <w:color w:val="000000"/>
                <w:kern w:val="0"/>
                <w:sz w:val="20"/>
                <w:szCs w:val="20"/>
                <w:lang w:bidi="ar"/>
              </w:rPr>
              <w:t>MRSA</w:t>
            </w:r>
            <w:r>
              <w:rPr>
                <w:rFonts w:hint="eastAsia" w:ascii="微软雅黑" w:hAnsi="微软雅黑" w:eastAsia="微软雅黑" w:cs="微软雅黑"/>
                <w:color w:val="000000"/>
                <w:kern w:val="0"/>
                <w:sz w:val="20"/>
                <w:szCs w:val="20"/>
                <w:lang w:val="zh-TW" w:eastAsia="zh-TW" w:bidi="ar"/>
              </w:rPr>
              <w:t>相关血流感染（近</w:t>
            </w:r>
            <w:r>
              <w:rPr>
                <w:rFonts w:hint="eastAsia" w:ascii="微软雅黑" w:hAnsi="微软雅黑" w:eastAsia="微软雅黑" w:cs="微软雅黑"/>
                <w:color w:val="000000"/>
                <w:kern w:val="0"/>
                <w:sz w:val="20"/>
                <w:szCs w:val="20"/>
                <w:lang w:bidi="ar"/>
              </w:rPr>
              <w:t>7</w:t>
            </w:r>
            <w:r>
              <w:rPr>
                <w:rFonts w:hint="eastAsia" w:ascii="微软雅黑" w:hAnsi="微软雅黑" w:eastAsia="微软雅黑" w:cs="微软雅黑"/>
                <w:color w:val="000000"/>
                <w:kern w:val="0"/>
                <w:sz w:val="20"/>
                <w:szCs w:val="20"/>
                <w:lang w:val="zh-TW" w:eastAsia="zh-TW" w:bidi="ar"/>
              </w:rPr>
              <w:t>天）、多重耐药菌检出率趋势（近</w:t>
            </w:r>
            <w:r>
              <w:rPr>
                <w:rFonts w:hint="eastAsia" w:ascii="微软雅黑" w:hAnsi="微软雅黑" w:eastAsia="微软雅黑" w:cs="微软雅黑"/>
                <w:color w:val="000000"/>
                <w:kern w:val="0"/>
                <w:sz w:val="20"/>
                <w:szCs w:val="20"/>
                <w:lang w:bidi="ar"/>
              </w:rPr>
              <w:t>7</w:t>
            </w:r>
            <w:r>
              <w:rPr>
                <w:rFonts w:hint="eastAsia" w:ascii="微软雅黑" w:hAnsi="微软雅黑" w:eastAsia="微软雅黑" w:cs="微软雅黑"/>
                <w:color w:val="000000"/>
                <w:kern w:val="0"/>
                <w:sz w:val="20"/>
                <w:szCs w:val="20"/>
                <w:lang w:val="zh-TW" w:eastAsia="zh-TW" w:bidi="ar"/>
              </w:rPr>
              <w:t>天）、发病率趋势（近</w:t>
            </w:r>
            <w:r>
              <w:rPr>
                <w:rFonts w:hint="eastAsia" w:ascii="微软雅黑" w:hAnsi="微软雅黑" w:eastAsia="微软雅黑" w:cs="微软雅黑"/>
                <w:color w:val="000000"/>
                <w:kern w:val="0"/>
                <w:sz w:val="20"/>
                <w:szCs w:val="20"/>
                <w:lang w:bidi="ar"/>
              </w:rPr>
              <w:t>12</w:t>
            </w:r>
            <w:r>
              <w:rPr>
                <w:rFonts w:hint="eastAsia" w:ascii="微软雅黑" w:hAnsi="微软雅黑" w:eastAsia="微软雅黑" w:cs="微软雅黑"/>
                <w:color w:val="000000"/>
                <w:kern w:val="0"/>
                <w:sz w:val="20"/>
                <w:szCs w:val="20"/>
                <w:lang w:val="zh-TW" w:eastAsia="zh-TW" w:bidi="ar"/>
              </w:rPr>
              <w:t>个月）。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69"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持续改进</w:t>
            </w:r>
          </w:p>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支持建立全院的</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持续改进机制，能够有效地根据发现问题进行项目</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能够支持感控专职人员维护</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流程模板中的模板名称、过程名称</w:t>
            </w:r>
            <w:r>
              <w:rPr>
                <w:rFonts w:hint="eastAsia" w:ascii="微软雅黑" w:hAnsi="微软雅黑" w:eastAsia="微软雅黑" w:cs="微软雅黑"/>
                <w:color w:val="000000"/>
                <w:kern w:val="0"/>
                <w:sz w:val="20"/>
                <w:szCs w:val="20"/>
                <w:lang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支持感控专职人员发起新增</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持续改进，包括关联科室名称、监测项目、预期目标、资料来源、监测结果、问题叙述、原因分析、督导项目负责人、参与人员、是否开展调查与改进、具体</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调查与改进步骤</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内容打印报告、另存为</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改进模板；</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支持医院对</w:t>
            </w:r>
            <w:r>
              <w:rPr>
                <w:rFonts w:hint="eastAsia" w:ascii="微软雅黑" w:hAnsi="微软雅黑" w:eastAsia="微软雅黑" w:cs="微软雅黑"/>
                <w:color w:val="000000"/>
                <w:kern w:val="0"/>
                <w:sz w:val="20"/>
                <w:szCs w:val="20"/>
                <w:lang w:bidi="ar"/>
              </w:rPr>
              <w:t>PDCA</w:t>
            </w:r>
            <w:r>
              <w:rPr>
                <w:rFonts w:hint="eastAsia" w:ascii="微软雅黑" w:hAnsi="微软雅黑" w:eastAsia="微软雅黑" w:cs="微软雅黑"/>
                <w:color w:val="000000"/>
                <w:kern w:val="0"/>
                <w:sz w:val="20"/>
                <w:szCs w:val="20"/>
                <w:lang w:val="zh-TW" w:eastAsia="zh-TW" w:bidi="ar"/>
              </w:rPr>
              <w:t>流程的自定义及顺序调整。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51"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干预会话</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更为灵活的消息盒子，支持与医院主业务系统消息对接，如</w:t>
            </w:r>
            <w:r>
              <w:rPr>
                <w:rFonts w:hint="eastAsia" w:ascii="微软雅黑" w:hAnsi="微软雅黑" w:eastAsia="微软雅黑" w:cs="微软雅黑"/>
                <w:color w:val="000000"/>
                <w:kern w:val="0"/>
                <w:sz w:val="20"/>
                <w:szCs w:val="20"/>
                <w:lang w:bidi="ar"/>
              </w:rPr>
              <w:t>HIS</w:t>
            </w:r>
            <w:r>
              <w:rPr>
                <w:rFonts w:hint="eastAsia" w:ascii="微软雅黑" w:hAnsi="微软雅黑" w:eastAsia="微软雅黑" w:cs="微软雅黑"/>
                <w:color w:val="000000"/>
                <w:kern w:val="0"/>
                <w:sz w:val="20"/>
                <w:szCs w:val="20"/>
                <w:lang w:val="zh-TW" w:eastAsia="zh-TW" w:bidi="ar"/>
              </w:rPr>
              <w:t>系统、电子病历系统，对接后使消息接收和传送更加统一；</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支持对未读的消息一键已读操作，同时可查看全部消息；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消息发送支持个人到个人的一对一方式、个人到科室的一对多方式；</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支持临床科室接收感控管理端的消息，包括：感染病例审核结果提醒、职业暴露复查提醒、干预消息提醒、即时通讯消息提醒、</w:t>
            </w:r>
            <w:r>
              <w:rPr>
                <w:rFonts w:hint="eastAsia" w:ascii="微软雅黑" w:hAnsi="微软雅黑" w:eastAsia="微软雅黑" w:cs="微软雅黑"/>
                <w:color w:val="000000"/>
                <w:kern w:val="0"/>
                <w:sz w:val="20"/>
                <w:szCs w:val="20"/>
                <w:lang w:bidi="ar"/>
              </w:rPr>
              <w:t>SOP</w:t>
            </w:r>
            <w:r>
              <w:rPr>
                <w:rFonts w:hint="eastAsia" w:ascii="微软雅黑" w:hAnsi="微软雅黑" w:eastAsia="微软雅黑" w:cs="微软雅黑"/>
                <w:color w:val="000000"/>
                <w:kern w:val="0"/>
                <w:sz w:val="20"/>
                <w:szCs w:val="20"/>
                <w:lang w:val="zh-TW" w:eastAsia="zh-TW" w:bidi="ar"/>
              </w:rPr>
              <w:t>感控标准操作流程提醒；</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支持感控管理端接收临床科室的消息，包括：感染病例报卡提醒、职业暴露上报提醒、即时通讯消息提醒；</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不同的消息类型，点击后可进入不同的界面，进行查看、审核等业务操作，减少用户跳转操作；</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支持以患者为中心，查看贯穿患者在院期间所有干预信息及即时消息内容。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1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感染监测</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支持对感染病例报卡的审核操作，报卡信息的补充及修改</w:t>
            </w:r>
            <w:r>
              <w:rPr>
                <w:rFonts w:hint="eastAsia" w:ascii="微软雅黑" w:hAnsi="微软雅黑" w:eastAsia="微软雅黑" w:cs="微软雅黑"/>
                <w:color w:val="000000"/>
                <w:kern w:val="0"/>
                <w:sz w:val="20"/>
                <w:szCs w:val="20"/>
                <w:lang w:val="zh-TW" w:bidi="ar"/>
              </w:rPr>
              <w:t>、报卡退回</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支持对感染病例审核时，可查看患者历史报卡的记录概况；</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支持按不同筛选条件进行感染病例查询，如：日期类别、感染类别、感染诊断名称、导管相关性条件、致病菌名称；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支持对感染病例进行感染终止日期修改、</w:t>
            </w:r>
            <w:r>
              <w:rPr>
                <w:rFonts w:hint="eastAsia" w:ascii="微软雅黑" w:hAnsi="微软雅黑" w:eastAsia="微软雅黑" w:cs="微软雅黑"/>
                <w:color w:val="000000"/>
                <w:kern w:val="0"/>
                <w:sz w:val="20"/>
                <w:szCs w:val="20"/>
                <w:lang w:val="zh-TW" w:bidi="ar"/>
              </w:rPr>
              <w:t>感染</w:t>
            </w:r>
            <w:r>
              <w:rPr>
                <w:rFonts w:hint="eastAsia" w:ascii="微软雅黑" w:hAnsi="微软雅黑" w:eastAsia="微软雅黑" w:cs="微软雅黑"/>
                <w:color w:val="000000"/>
                <w:kern w:val="0"/>
                <w:sz w:val="20"/>
                <w:szCs w:val="20"/>
                <w:lang w:val="zh-TW" w:eastAsia="zh-TW" w:bidi="ar"/>
              </w:rPr>
              <w:t>转归</w:t>
            </w:r>
            <w:r>
              <w:rPr>
                <w:rFonts w:hint="eastAsia" w:ascii="微软雅黑" w:hAnsi="微软雅黑" w:eastAsia="微软雅黑" w:cs="微软雅黑"/>
                <w:color w:val="000000"/>
                <w:kern w:val="0"/>
                <w:sz w:val="20"/>
                <w:szCs w:val="20"/>
                <w:lang w:val="zh-TW" w:bidi="ar"/>
              </w:rPr>
              <w:t>情况</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支持对已确认的感染病例报卡删除操作；</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支持最新</w:t>
            </w:r>
            <w:r>
              <w:rPr>
                <w:rFonts w:hint="eastAsia" w:ascii="微软雅黑" w:hAnsi="微软雅黑" w:eastAsia="微软雅黑" w:cs="微软雅黑"/>
                <w:color w:val="000000"/>
                <w:kern w:val="0"/>
                <w:sz w:val="20"/>
                <w:szCs w:val="20"/>
                <w:lang w:bidi="ar"/>
              </w:rPr>
              <w:t>2018</w:t>
            </w:r>
            <w:r>
              <w:rPr>
                <w:rFonts w:hint="eastAsia" w:ascii="微软雅黑" w:hAnsi="微软雅黑" w:eastAsia="微软雅黑" w:cs="微软雅黑"/>
                <w:color w:val="000000"/>
                <w:kern w:val="0"/>
                <w:sz w:val="20"/>
                <w:szCs w:val="20"/>
                <w:lang w:val="zh-TW" w:eastAsia="zh-TW" w:bidi="ar"/>
              </w:rPr>
              <w:t>年全国医院感染培训基地的现患率横断面个案调查表；</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支持不限次数的现患率横断面调查；</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支持一键自动生成调查日在院患者及出院患者现患数据，如：患者基本信息、所在科室，调查者可对调查表进行信息补充；</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支持对完成的调查数据可直接上报至全国医院感染监控管理培训基地；</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支持查询在院患者及出院患者，并可按住院号、病案号、姓名模糊查询。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56" w:hRule="atLeast"/>
        </w:trPr>
        <w:tc>
          <w:tcPr>
            <w:tcW w:w="900" w:type="dxa"/>
            <w:vMerge w:val="continue"/>
            <w:tcBorders>
              <w:left w:val="single" w:color="000000" w:sz="4" w:space="0"/>
              <w:right w:val="single" w:color="000000" w:sz="4" w:space="0"/>
            </w:tcBorders>
            <w:shd w:val="clear" w:color="auto" w:fill="auto"/>
            <w:vAlign w:val="center"/>
          </w:tcPr>
          <w:p>
            <w:pPr>
              <w:ind w:firstLine="480"/>
              <w:jc w:val="center"/>
            </w:pP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细菌监测</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 xml:space="preserve"> </w:t>
            </w:r>
            <w:r>
              <w:rPr>
                <w:rFonts w:hint="eastAsia" w:ascii="微软雅黑" w:hAnsi="微软雅黑" w:eastAsia="微软雅黑" w:cs="微软雅黑"/>
                <w:color w:val="000000"/>
                <w:kern w:val="0"/>
                <w:sz w:val="20"/>
                <w:szCs w:val="20"/>
                <w:lang w:val="zh-TW" w:eastAsia="zh-TW" w:bidi="ar"/>
              </w:rPr>
              <w:t>自动对微生物数据进行加载，结合最新多耐定义标准《医疗机构耐药菌</w:t>
            </w:r>
            <w:r>
              <w:rPr>
                <w:rFonts w:hint="eastAsia" w:ascii="微软雅黑" w:hAnsi="微软雅黑" w:eastAsia="微软雅黑" w:cs="微软雅黑"/>
                <w:color w:val="000000"/>
                <w:kern w:val="0"/>
                <w:sz w:val="20"/>
                <w:szCs w:val="20"/>
                <w:lang w:bidi="ar"/>
              </w:rPr>
              <w:t>MDR</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XDR</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PDR</w:t>
            </w:r>
            <w:r>
              <w:rPr>
                <w:rFonts w:hint="eastAsia" w:ascii="微软雅黑" w:hAnsi="微软雅黑" w:eastAsia="微软雅黑" w:cs="微软雅黑"/>
                <w:color w:val="000000"/>
                <w:kern w:val="0"/>
                <w:sz w:val="20"/>
                <w:szCs w:val="20"/>
                <w:lang w:val="zh-TW" w:eastAsia="zh-TW" w:bidi="ar"/>
              </w:rPr>
              <w:t>的国际标准化定义专家建议（草案）》进行多耐分析及时对临床科室和感控科预警提示。</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支持根据最新规范标准，自动区分出</w:t>
            </w:r>
            <w:r>
              <w:rPr>
                <w:rFonts w:hint="eastAsia" w:ascii="微软雅黑" w:hAnsi="微软雅黑" w:eastAsia="微软雅黑" w:cs="微软雅黑"/>
                <w:color w:val="000000"/>
                <w:kern w:val="0"/>
                <w:sz w:val="20"/>
                <w:szCs w:val="20"/>
                <w:lang w:bidi="ar"/>
              </w:rPr>
              <w:t>MDR</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XDR</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PDR</w:t>
            </w:r>
            <w:r>
              <w:rPr>
                <w:rFonts w:hint="eastAsia" w:ascii="微软雅黑" w:hAnsi="微软雅黑" w:eastAsia="微软雅黑" w:cs="微软雅黑"/>
                <w:color w:val="000000"/>
                <w:kern w:val="0"/>
                <w:sz w:val="20"/>
                <w:szCs w:val="20"/>
                <w:lang w:val="zh-TW" w:eastAsia="zh-TW" w:bidi="ar"/>
              </w:rPr>
              <w:t>、特殊耐药菌、能够自动剔除天然耐药。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支持查看菌的药敏结果，并按照药敏药物的药品类别分组显示，如果是菌的天然耐药菌，有显眼提示；</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支持每日检出菌中按管辖科室或全院视角查看，自动优先展示未审核的重点菌内容，对聚焦重点菌的审核、干预；</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支持自动关联感染的致病菌信息，包括：感染类型、感染时间、感染部位；</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支持对菌的感染类型</w:t>
            </w:r>
            <w:r>
              <w:rPr>
                <w:rFonts w:hint="eastAsia" w:ascii="微软雅黑" w:hAnsi="微软雅黑" w:eastAsia="微软雅黑" w:cs="微软雅黑"/>
                <w:color w:val="000000"/>
                <w:kern w:val="0"/>
                <w:sz w:val="20"/>
                <w:szCs w:val="20"/>
                <w:lang w:val="zh-TW" w:bidi="ar"/>
              </w:rPr>
              <w:t>审核处理</w:t>
            </w:r>
            <w:r>
              <w:rPr>
                <w:rFonts w:hint="eastAsia" w:ascii="微软雅黑" w:hAnsi="微软雅黑" w:eastAsia="微软雅黑" w:cs="微软雅黑"/>
                <w:color w:val="000000"/>
                <w:kern w:val="0"/>
                <w:sz w:val="20"/>
                <w:szCs w:val="20"/>
                <w:lang w:val="zh-TW" w:eastAsia="zh-TW" w:bidi="ar"/>
              </w:rPr>
              <w:t>，包括：院感、社感、定植、污染、不确定、未审核</w:t>
            </w:r>
            <w:r>
              <w:rPr>
                <w:rFonts w:hint="eastAsia" w:ascii="微软雅黑" w:hAnsi="微软雅黑" w:eastAsia="微软雅黑" w:cs="微软雅黑"/>
                <w:color w:val="000000"/>
                <w:kern w:val="0"/>
                <w:sz w:val="20"/>
                <w:szCs w:val="20"/>
                <w:lang w:val="zh-TW" w:bidi="ar"/>
              </w:rPr>
              <w:t>，审核为院感时，可优先干预到临床，要求临床先进行院感致病菌报告；</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支持根据患者医嘱情况，自动展示患者隔离</w:t>
            </w:r>
            <w:r>
              <w:rPr>
                <w:rFonts w:hint="eastAsia" w:ascii="微软雅黑" w:hAnsi="微软雅黑" w:eastAsia="微软雅黑" w:cs="微软雅黑"/>
                <w:color w:val="000000"/>
                <w:kern w:val="0"/>
                <w:sz w:val="20"/>
                <w:szCs w:val="20"/>
                <w:lang w:val="zh-TW" w:bidi="ar"/>
              </w:rPr>
              <w:t>标识</w:t>
            </w:r>
            <w:r>
              <w:rPr>
                <w:rFonts w:hint="eastAsia" w:ascii="微软雅黑" w:hAnsi="微软雅黑" w:eastAsia="微软雅黑" w:cs="微软雅黑"/>
                <w:color w:val="000000"/>
                <w:kern w:val="0"/>
                <w:sz w:val="20"/>
                <w:szCs w:val="20"/>
                <w:lang w:val="zh-TW" w:eastAsia="zh-TW" w:bidi="ar"/>
              </w:rPr>
              <w:t>，自动计算出患者开始隔离日期、解除隔离日期</w:t>
            </w:r>
            <w:r>
              <w:rPr>
                <w:rFonts w:hint="eastAsia" w:ascii="微软雅黑" w:hAnsi="微软雅黑" w:eastAsia="微软雅黑" w:cs="微软雅黑"/>
                <w:color w:val="000000"/>
                <w:kern w:val="0"/>
                <w:sz w:val="20"/>
                <w:szCs w:val="20"/>
                <w:lang w:val="zh-TW" w:bidi="ar"/>
              </w:rPr>
              <w:t>，可钻取隔离标识的医嘱明细</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支持对干预的检出菌患者，进行隔离干预消息操作，干预自动生成；</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支持调阅查看多重耐药菌患者的感染防控评估表执行情况；</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支持按多条件查询检出菌明细，条件包括：时间类型（送检日期、检出日期），患者检索、科室类型、科室名称、重点菌和非重点菌、细菌名称、革兰氏</w:t>
            </w:r>
            <w:r>
              <w:rPr>
                <w:rFonts w:hint="eastAsia" w:ascii="微软雅黑" w:hAnsi="微软雅黑" w:eastAsia="微软雅黑" w:cs="微软雅黑"/>
                <w:color w:val="000000"/>
                <w:kern w:val="0"/>
                <w:sz w:val="20"/>
                <w:szCs w:val="20"/>
                <w:lang w:bidi="ar"/>
              </w:rPr>
              <w:t>G+/G-</w:t>
            </w:r>
            <w:r>
              <w:rPr>
                <w:rFonts w:hint="eastAsia" w:ascii="微软雅黑" w:hAnsi="微软雅黑" w:eastAsia="微软雅黑" w:cs="微软雅黑"/>
                <w:color w:val="000000"/>
                <w:kern w:val="0"/>
                <w:sz w:val="20"/>
                <w:szCs w:val="20"/>
                <w:lang w:val="zh-TW" w:eastAsia="zh-TW" w:bidi="ar"/>
              </w:rPr>
              <w:t>、菌属分类、感染类型、隔离医嘱情况、管辖科室</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全院；</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支持对查询的菌结果，可直接导出</w:t>
            </w:r>
            <w:r>
              <w:rPr>
                <w:rFonts w:hint="eastAsia" w:ascii="微软雅黑" w:hAnsi="微软雅黑" w:eastAsia="微软雅黑" w:cs="微软雅黑"/>
                <w:color w:val="000000"/>
                <w:kern w:val="0"/>
                <w:sz w:val="20"/>
                <w:szCs w:val="20"/>
                <w:lang w:bidi="ar"/>
              </w:rPr>
              <w:t>XLS</w:t>
            </w:r>
            <w:r>
              <w:rPr>
                <w:rFonts w:hint="eastAsia" w:ascii="微软雅黑" w:hAnsi="微软雅黑" w:eastAsia="微软雅黑" w:cs="微软雅黑"/>
                <w:color w:val="000000"/>
                <w:kern w:val="0"/>
                <w:sz w:val="20"/>
                <w:szCs w:val="20"/>
                <w:lang w:val="zh-TW" w:eastAsia="zh-TW" w:bidi="ar"/>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481" w:hRule="atLeast"/>
        </w:trPr>
        <w:tc>
          <w:tcPr>
            <w:tcW w:w="900" w:type="dxa"/>
            <w:vMerge w:val="continue"/>
            <w:tcBorders>
              <w:left w:val="single" w:color="000000" w:sz="4" w:space="0"/>
              <w:right w:val="single" w:color="000000" w:sz="4" w:space="0"/>
            </w:tcBorders>
            <w:shd w:val="clear" w:color="auto" w:fill="CED7E7"/>
            <w:vAlign w:val="center"/>
          </w:tcPr>
          <w:p>
            <w:pPr>
              <w:widowControl/>
              <w:ind w:firstLine="480"/>
              <w:jc w:val="left"/>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支持可按多种条件进行查询统计，包括：时间类型（送检日期、检出日期）</w:t>
            </w:r>
            <w:r>
              <w:rPr>
                <w:rFonts w:hint="eastAsia" w:ascii="微软雅黑" w:hAnsi="微软雅黑" w:eastAsia="微软雅黑" w:cs="微软雅黑"/>
                <w:color w:val="000000"/>
                <w:kern w:val="0"/>
                <w:sz w:val="20"/>
                <w:szCs w:val="20"/>
                <w:lang w:val="zh-TW" w:bidi="ar"/>
              </w:rPr>
              <w:t>按月度、季度、年度、自定义时间段</w:t>
            </w:r>
            <w:r>
              <w:rPr>
                <w:rFonts w:hint="eastAsia" w:ascii="微软雅黑" w:hAnsi="微软雅黑" w:eastAsia="微软雅黑" w:cs="微软雅黑"/>
                <w:color w:val="000000"/>
                <w:kern w:val="0"/>
                <w:sz w:val="20"/>
                <w:szCs w:val="20"/>
                <w:lang w:val="zh-TW" w:eastAsia="zh-TW" w:bidi="ar"/>
              </w:rPr>
              <w:t>，科室类型、科室名称、细菌名称、标本名称、革兰氏</w:t>
            </w:r>
            <w:r>
              <w:rPr>
                <w:rFonts w:hint="eastAsia" w:ascii="微软雅黑" w:hAnsi="微软雅黑" w:eastAsia="微软雅黑" w:cs="微软雅黑"/>
                <w:color w:val="000000"/>
                <w:kern w:val="0"/>
                <w:sz w:val="20"/>
                <w:szCs w:val="20"/>
                <w:lang w:bidi="ar"/>
              </w:rPr>
              <w:t>G+/G-</w:t>
            </w:r>
            <w:r>
              <w:rPr>
                <w:rFonts w:hint="eastAsia" w:ascii="微软雅黑" w:hAnsi="微软雅黑" w:eastAsia="微软雅黑" w:cs="微软雅黑"/>
                <w:color w:val="000000"/>
                <w:kern w:val="0"/>
                <w:sz w:val="20"/>
                <w:szCs w:val="20"/>
                <w:lang w:val="zh-TW" w:eastAsia="zh-TW" w:bidi="ar"/>
              </w:rPr>
              <w:t>、菌属分类、感染类型、管辖科室</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全院维度，自动剔除重复</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指标包括：</w:t>
            </w:r>
            <w:r>
              <w:rPr>
                <w:rFonts w:hint="eastAsia" w:ascii="微软雅黑" w:hAnsi="微软雅黑" w:eastAsia="微软雅黑" w:cs="微软雅黑"/>
                <w:color w:val="000000"/>
                <w:kern w:val="0"/>
                <w:sz w:val="20"/>
                <w:szCs w:val="20"/>
                <w:lang w:val="zh-TW" w:eastAsia="zh-TW" w:bidi="ar"/>
              </w:rPr>
              <w:t>送检阳性率（科室）</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送检多耐率（科室）</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检出菌耐药率统计</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按耐药率程度颜色标记</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检出菌标本分布</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检出菌科室分布</w:t>
            </w:r>
            <w:r>
              <w:rPr>
                <w:rFonts w:hint="eastAsia" w:ascii="微软雅黑" w:hAnsi="微软雅黑" w:eastAsia="微软雅黑" w:cs="微软雅黑"/>
                <w:color w:val="000000"/>
                <w:kern w:val="0"/>
                <w:sz w:val="20"/>
                <w:szCs w:val="20"/>
                <w:lang w:val="zh-TW" w:bidi="ar"/>
              </w:rPr>
              <w:t>、感染类型分布、多重耐药菌感染人（例次）数、多重耐药菌感染发生（例次）率、多重耐药菌千日感染（例次）率、重点菌感染次数、检出菌标本分布、标本检出菌分布、体温异常血培养送检率；</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按月度、季度、年度的环比分析检出率趋势、多耐率趋势、菌的耐药率趋势；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ICU</w:t>
            </w:r>
            <w:r>
              <w:rPr>
                <w:rFonts w:hint="eastAsia" w:ascii="微软雅黑" w:hAnsi="微软雅黑" w:eastAsia="微软雅黑" w:cs="微软雅黑"/>
                <w:color w:val="000000"/>
                <w:kern w:val="0"/>
                <w:sz w:val="20"/>
                <w:szCs w:val="20"/>
                <w:lang w:val="zh-TW" w:eastAsia="zh-TW" w:bidi="ar"/>
              </w:rPr>
              <w:t>监测</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支持对全院</w:t>
            </w:r>
            <w:r>
              <w:rPr>
                <w:rFonts w:hint="eastAsia" w:ascii="微软雅黑" w:hAnsi="微软雅黑" w:eastAsia="微软雅黑" w:cs="微软雅黑"/>
                <w:color w:val="000000"/>
                <w:kern w:val="0"/>
                <w:sz w:val="20"/>
                <w:szCs w:val="20"/>
                <w:lang w:bidi="ar"/>
              </w:rPr>
              <w:t>ICU</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PICU</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CCU</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MICU</w:t>
            </w:r>
            <w:r>
              <w:rPr>
                <w:rFonts w:hint="eastAsia" w:ascii="微软雅黑" w:hAnsi="微软雅黑" w:eastAsia="微软雅黑" w:cs="微软雅黑"/>
                <w:color w:val="000000"/>
                <w:kern w:val="0"/>
                <w:sz w:val="20"/>
                <w:szCs w:val="20"/>
                <w:lang w:val="zh-TW" w:eastAsia="zh-TW" w:bidi="ar"/>
              </w:rPr>
              <w:t>等</w:t>
            </w:r>
            <w:r>
              <w:rPr>
                <w:rFonts w:hint="eastAsia" w:ascii="微软雅黑" w:hAnsi="微软雅黑" w:eastAsia="微软雅黑" w:cs="微软雅黑"/>
                <w:color w:val="000000"/>
                <w:kern w:val="0"/>
                <w:sz w:val="20"/>
                <w:szCs w:val="20"/>
                <w:lang w:bidi="ar"/>
              </w:rPr>
              <w:t>ICU</w:t>
            </w:r>
            <w:r>
              <w:rPr>
                <w:rFonts w:hint="eastAsia" w:ascii="微软雅黑" w:hAnsi="微软雅黑" w:eastAsia="微软雅黑" w:cs="微软雅黑"/>
                <w:color w:val="000000"/>
                <w:kern w:val="0"/>
                <w:sz w:val="20"/>
                <w:szCs w:val="20"/>
                <w:lang w:val="zh-TW" w:eastAsia="zh-TW" w:bidi="ar"/>
              </w:rPr>
              <w:t>病房监测；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支持自动生成新住进患者数、住在患者数、留置导尿管使用患者数、中心静脉插管使用患者数、呼吸机使用患者数；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支持对监测月报中的患者数列表穿透，可查看插管使用开始时间、结束时间、使用天数</w:t>
            </w:r>
            <w:r>
              <w:rPr>
                <w:rFonts w:hint="eastAsia" w:ascii="微软雅黑" w:hAnsi="微软雅黑" w:eastAsia="微软雅黑" w:cs="微软雅黑"/>
                <w:color w:val="000000"/>
                <w:kern w:val="0"/>
                <w:sz w:val="20"/>
                <w:szCs w:val="20"/>
                <w:lang w:val="zh-TW" w:bidi="ar"/>
              </w:rPr>
              <w:t>、插管评估概况</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w:t>
            </w:r>
            <w:r>
              <w:rPr>
                <w:rFonts w:hint="eastAsia" w:ascii="微软雅黑" w:hAnsi="微软雅黑" w:eastAsia="微软雅黑" w:cs="微软雅黑"/>
                <w:color w:val="000000"/>
                <w:kern w:val="0"/>
                <w:sz w:val="20"/>
                <w:szCs w:val="20"/>
                <w:lang w:val="zh-TW" w:bidi="ar"/>
              </w:rPr>
              <w:t>高危新生儿</w:t>
            </w:r>
            <w:r>
              <w:rPr>
                <w:rFonts w:hint="eastAsia" w:ascii="微软雅黑" w:hAnsi="微软雅黑" w:eastAsia="微软雅黑" w:cs="微软雅黑"/>
                <w:color w:val="000000"/>
                <w:kern w:val="0"/>
                <w:sz w:val="20"/>
                <w:szCs w:val="20"/>
                <w:lang w:val="zh-TW" w:eastAsia="zh-TW" w:bidi="ar"/>
              </w:rPr>
              <w:t>病房监测；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能够自动生成监测月报按（</w:t>
            </w:r>
            <w:r>
              <w:rPr>
                <w:rFonts w:hint="eastAsia" w:ascii="微软雅黑" w:hAnsi="微软雅黑" w:eastAsia="微软雅黑" w:cs="微软雅黑"/>
                <w:color w:val="000000"/>
                <w:kern w:val="0"/>
                <w:sz w:val="20"/>
                <w:szCs w:val="20"/>
                <w:lang w:bidi="ar"/>
              </w:rPr>
              <w:t>≤1000g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1001-1500</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1501-2500</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≥2500g</w:t>
            </w:r>
            <w:r>
              <w:rPr>
                <w:rFonts w:hint="eastAsia" w:ascii="微软雅黑" w:hAnsi="微软雅黑" w:eastAsia="微软雅黑" w:cs="微软雅黑"/>
                <w:color w:val="000000"/>
                <w:kern w:val="0"/>
                <w:sz w:val="20"/>
                <w:szCs w:val="20"/>
                <w:lang w:val="zh-TW" w:eastAsia="zh-TW" w:bidi="ar"/>
              </w:rPr>
              <w:t>）进行分组</w:t>
            </w:r>
            <w:r>
              <w:rPr>
                <w:rFonts w:hint="eastAsia" w:ascii="微软雅黑" w:hAnsi="微软雅黑" w:eastAsia="微软雅黑" w:cs="微软雅黑"/>
                <w:color w:val="000000"/>
                <w:kern w:val="0"/>
                <w:sz w:val="20"/>
                <w:szCs w:val="20"/>
                <w:lang w:val="zh-TW" w:bidi="ar"/>
              </w:rPr>
              <w:t>的新生儿监测月报</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同时也支持</w:t>
            </w:r>
            <w:r>
              <w:rPr>
                <w:rFonts w:hint="eastAsia" w:ascii="微软雅黑" w:hAnsi="微软雅黑" w:eastAsia="微软雅黑" w:cs="微软雅黑"/>
                <w:color w:val="000000"/>
                <w:kern w:val="0"/>
                <w:sz w:val="20"/>
                <w:szCs w:val="20"/>
                <w:lang w:bidi="ar"/>
              </w:rPr>
              <w:t>2015</w:t>
            </w:r>
            <w:r>
              <w:rPr>
                <w:rFonts w:hint="eastAsia" w:ascii="微软雅黑" w:hAnsi="微软雅黑" w:eastAsia="微软雅黑" w:cs="微软雅黑"/>
                <w:color w:val="000000"/>
                <w:kern w:val="0"/>
                <w:sz w:val="20"/>
                <w:szCs w:val="20"/>
                <w:lang w:val="zh-TW" w:eastAsia="zh-TW" w:bidi="ar"/>
              </w:rPr>
              <w:t>年版新分组（</w:t>
            </w:r>
            <w:r>
              <w:rPr>
                <w:rFonts w:hint="eastAsia" w:ascii="微软雅黑" w:hAnsi="微软雅黑" w:eastAsia="微软雅黑" w:cs="微软雅黑"/>
                <w:color w:val="000000"/>
                <w:kern w:val="0"/>
                <w:sz w:val="20"/>
                <w:szCs w:val="20"/>
                <w:lang w:bidi="ar"/>
              </w:rPr>
              <w:t>≤751g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751-1000</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1001-1500</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1501-2500</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g</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≥2500g</w:t>
            </w:r>
            <w:r>
              <w:rPr>
                <w:rFonts w:hint="eastAsia" w:ascii="微软雅黑" w:hAnsi="微软雅黑" w:eastAsia="微软雅黑" w:cs="微软雅黑"/>
                <w:color w:val="000000"/>
                <w:kern w:val="0"/>
                <w:sz w:val="20"/>
                <w:szCs w:val="20"/>
                <w:lang w:val="zh-TW" w:eastAsia="zh-TW" w:bidi="ar"/>
              </w:rPr>
              <w:t>）；分组的新住进患者数、住在患者数、脐</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中心静脉插管使用患者数、呼吸机使用患者数；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支持对未填写体重的新生儿提供维护窗口；</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支持对监测月报中的患儿数列表穿透，可查看插管使用开始时间、结束时间、使用天数</w:t>
            </w:r>
            <w:r>
              <w:rPr>
                <w:rFonts w:hint="eastAsia" w:ascii="微软雅黑" w:hAnsi="微软雅黑" w:eastAsia="微软雅黑" w:cs="微软雅黑"/>
                <w:color w:val="000000"/>
                <w:kern w:val="0"/>
                <w:sz w:val="20"/>
                <w:szCs w:val="20"/>
                <w:lang w:val="zh-TW" w:bidi="ar"/>
              </w:rPr>
              <w:t>、插管评估概况</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支持临床病情等级评分功能，医生根据患者病情，对患者病情进行评分操作，一周内选定</w:t>
            </w:r>
            <w:r>
              <w:rPr>
                <w:rFonts w:hint="eastAsia" w:ascii="微软雅黑" w:hAnsi="微软雅黑" w:eastAsia="微软雅黑" w:cs="微软雅黑"/>
                <w:color w:val="000000"/>
                <w:kern w:val="0"/>
                <w:sz w:val="20"/>
                <w:szCs w:val="20"/>
                <w:lang w:val="zh-TW" w:bidi="ar"/>
              </w:rPr>
              <w:t>任意</w:t>
            </w:r>
            <w:r>
              <w:rPr>
                <w:rFonts w:hint="eastAsia" w:ascii="微软雅黑" w:hAnsi="微软雅黑" w:eastAsia="微软雅黑" w:cs="微软雅黑"/>
                <w:color w:val="000000"/>
                <w:kern w:val="0"/>
                <w:sz w:val="20"/>
                <w:szCs w:val="20"/>
                <w:lang w:val="zh-TW" w:eastAsia="zh-TW" w:bidi="ar"/>
              </w:rPr>
              <w:t>一日进行病情等级评定；</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支持临床病情等级未评分人进行归纳，方便查询及评分</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bidi="ar"/>
              </w:rPr>
              <w:t xml:space="preserve"> 支持对普通病房的</w:t>
            </w:r>
            <w:r>
              <w:rPr>
                <w:rFonts w:hint="eastAsia" w:ascii="微软雅黑" w:hAnsi="微软雅黑" w:eastAsia="微软雅黑" w:cs="微软雅黑"/>
                <w:color w:val="000000"/>
                <w:kern w:val="0"/>
                <w:sz w:val="20"/>
                <w:szCs w:val="20"/>
                <w:lang w:val="zh-TW" w:eastAsia="zh-TW" w:bidi="ar"/>
              </w:rPr>
              <w:t>ICU</w:t>
            </w:r>
            <w:r>
              <w:rPr>
                <w:rFonts w:hint="eastAsia" w:ascii="微软雅黑" w:hAnsi="微软雅黑" w:eastAsia="微软雅黑" w:cs="微软雅黑"/>
                <w:color w:val="000000"/>
                <w:kern w:val="0"/>
                <w:sz w:val="20"/>
                <w:szCs w:val="20"/>
                <w:lang w:val="zh-TW" w:bidi="ar"/>
              </w:rPr>
              <w:t>床位进行</w:t>
            </w:r>
            <w:r>
              <w:rPr>
                <w:rFonts w:hint="eastAsia" w:ascii="微软雅黑" w:hAnsi="微软雅黑" w:eastAsia="微软雅黑" w:cs="微软雅黑"/>
                <w:color w:val="000000"/>
                <w:kern w:val="0"/>
                <w:sz w:val="20"/>
                <w:szCs w:val="20"/>
                <w:lang w:val="zh-TW" w:eastAsia="zh-TW" w:bidi="ar"/>
              </w:rPr>
              <w:t>ICU</w:t>
            </w:r>
            <w:r>
              <w:rPr>
                <w:rFonts w:hint="eastAsia" w:ascii="微软雅黑" w:hAnsi="微软雅黑" w:eastAsia="微软雅黑" w:cs="微软雅黑"/>
                <w:color w:val="000000"/>
                <w:kern w:val="0"/>
                <w:sz w:val="20"/>
                <w:szCs w:val="20"/>
                <w:lang w:val="zh-TW" w:bidi="ar"/>
              </w:rPr>
              <w:t>级别监测。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right w:val="single" w:color="000000" w:sz="4" w:space="0"/>
            </w:tcBorders>
            <w:shd w:val="clear" w:color="auto" w:fill="CED7E7"/>
            <w:vAlign w:val="center"/>
          </w:tcPr>
          <w:p>
            <w:pPr>
              <w:widowControl/>
              <w:ind w:firstLine="480"/>
              <w:jc w:val="left"/>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CN" w:bidi="ar"/>
              </w:rPr>
              <w:t>支持按照住院患者人数的时间段查询，</w:t>
            </w:r>
            <w:r>
              <w:rPr>
                <w:rFonts w:hint="eastAsia" w:ascii="微软雅黑" w:hAnsi="微软雅黑" w:eastAsia="微软雅黑" w:cs="微软雅黑"/>
                <w:color w:val="000000"/>
                <w:kern w:val="0"/>
                <w:sz w:val="20"/>
                <w:szCs w:val="20"/>
                <w:lang w:val="zh-TW" w:eastAsia="zh-TW" w:bidi="ar"/>
              </w:rPr>
              <w:t>科室感染率（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科室感染例次率（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日感染率（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）调整感染率（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调整日感染率（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中心静脉插管使用率（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呼吸机使用率（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总器械使用率（</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支持统计高危新生儿，按照体重进行分组的感染率（%）、感染例次率（%）、患儿日感染率（‰）、调整日感染率（‰）、脐/中心静脉插管使用率（%）、呼吸机使用率（%）、总器械使用率（%）、脐/中心静脉插管血流感染发病率（‰）、呼吸机相关肺炎发病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51"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rPr>
                <w:rFonts w:ascii="宋体" w:hAnsi="宋体"/>
              </w:rPr>
            </w:pP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PMingLiU"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手术监测</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支持与医院</w:t>
            </w:r>
            <w:r>
              <w:rPr>
                <w:rFonts w:hint="eastAsia" w:ascii="微软雅黑" w:hAnsi="微软雅黑" w:eastAsia="微软雅黑" w:cs="微软雅黑"/>
                <w:color w:val="000000"/>
                <w:kern w:val="0"/>
                <w:sz w:val="20"/>
                <w:szCs w:val="20"/>
                <w:lang w:bidi="ar"/>
              </w:rPr>
              <w:t xml:space="preserve">HIS </w:t>
            </w:r>
            <w:r>
              <w:rPr>
                <w:rFonts w:hint="eastAsia" w:ascii="微软雅黑" w:hAnsi="微软雅黑" w:eastAsia="微软雅黑" w:cs="微软雅黑"/>
                <w:color w:val="000000"/>
                <w:kern w:val="0"/>
                <w:sz w:val="20"/>
                <w:szCs w:val="20"/>
                <w:lang w:val="zh-TW" w:eastAsia="zh-TW" w:bidi="ar"/>
              </w:rPr>
              <w:t>手术记录单、手术麻醉系统自动匹配手术监测相关数据；</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支持优先进行重点手术监测，重点监测手术可根据医院开展情况进行手术目录调整；</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支持手术与已上报的手术切口感染诊断自动关联；</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支持手术信息登记表信息修改补充，标红且优先显示影响统计分析的重要信息；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支持手术信息登记表归档功能，可进行归档和撤销归档操作；</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bidi="ar"/>
              </w:rPr>
              <w:t xml:space="preserve"> 支持对手术用药自动匹配设定规则，选定手术后，直接一键自动匹配；</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支持外科手术监测多条件查询，包括：手术日期、患者姓名、申请科室、重点手术、手术操作类别、手术部位、切口等级、手术名称、手术医生、手术间、手术时长；</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能够根据手术搜索条件进行多条件搜索，并查询的结果导出为</w:t>
            </w:r>
            <w:r>
              <w:rPr>
                <w:rFonts w:hint="eastAsia" w:ascii="微软雅黑" w:hAnsi="微软雅黑" w:eastAsia="微软雅黑" w:cs="微软雅黑"/>
                <w:color w:val="000000"/>
                <w:kern w:val="0"/>
                <w:sz w:val="20"/>
                <w:szCs w:val="20"/>
                <w:lang w:bidi="ar"/>
              </w:rPr>
              <w:t>xls</w:t>
            </w:r>
            <w:r>
              <w:rPr>
                <w:rFonts w:hint="eastAsia" w:ascii="微软雅黑" w:hAnsi="微软雅黑" w:eastAsia="微软雅黑" w:cs="微软雅黑"/>
                <w:color w:val="000000"/>
                <w:kern w:val="0"/>
                <w:sz w:val="20"/>
                <w:szCs w:val="20"/>
                <w:lang w:val="zh-TW" w:eastAsia="zh-TW" w:bidi="ar"/>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51" w:hRule="atLeast"/>
        </w:trPr>
        <w:tc>
          <w:tcPr>
            <w:tcW w:w="900" w:type="dxa"/>
            <w:vMerge w:val="continue"/>
            <w:tcBorders>
              <w:left w:val="single" w:color="000000" w:sz="4" w:space="0"/>
              <w:right w:val="single" w:color="000000" w:sz="4" w:space="0"/>
            </w:tcBorders>
            <w:shd w:val="clear" w:color="auto" w:fill="CED7E7"/>
            <w:vAlign w:val="center"/>
          </w:tcPr>
          <w:p>
            <w:pPr>
              <w:widowControl/>
              <w:ind w:firstLine="480"/>
              <w:jc w:val="left"/>
              <w:rPr>
                <w:rFonts w:ascii="宋体" w:hAnsi="宋体"/>
              </w:rPr>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支持可按多种条件进行查询</w:t>
            </w:r>
            <w:r>
              <w:rPr>
                <w:rFonts w:hint="eastAsia" w:ascii="微软雅黑" w:hAnsi="微软雅黑" w:eastAsia="微软雅黑" w:cs="微软雅黑"/>
                <w:color w:val="000000"/>
                <w:kern w:val="0"/>
                <w:sz w:val="20"/>
                <w:szCs w:val="20"/>
                <w:lang w:val="zh-TW" w:bidi="ar"/>
              </w:rPr>
              <w:t>月度、季度、年度、自定义时间、其他条件（</w:t>
            </w:r>
            <w:r>
              <w:rPr>
                <w:rFonts w:hint="eastAsia" w:ascii="微软雅黑" w:hAnsi="微软雅黑" w:eastAsia="微软雅黑" w:cs="微软雅黑"/>
                <w:color w:val="000000"/>
                <w:kern w:val="0"/>
                <w:sz w:val="20"/>
                <w:szCs w:val="20"/>
                <w:lang w:val="zh-TW" w:eastAsia="zh-TW" w:bidi="ar"/>
              </w:rPr>
              <w:t>住院患者、切口等级、愈合等级、麻醉方式、手术间、感染名称、重点手术、手术操作分类、手术部位分类</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统计</w:t>
            </w:r>
            <w:r>
              <w:rPr>
                <w:rFonts w:hint="eastAsia" w:ascii="微软雅黑" w:hAnsi="微软雅黑" w:eastAsia="微软雅黑" w:cs="微软雅黑"/>
                <w:color w:val="000000"/>
                <w:kern w:val="0"/>
                <w:sz w:val="20"/>
                <w:szCs w:val="20"/>
                <w:lang w:val="zh-TW" w:bidi="ar"/>
              </w:rPr>
              <w:t>手术相关指标</w:t>
            </w:r>
            <w:r>
              <w:rPr>
                <w:rFonts w:hint="eastAsia" w:ascii="微软雅黑" w:hAnsi="微软雅黑" w:eastAsia="微软雅黑" w:cs="微软雅黑"/>
                <w:color w:val="000000"/>
                <w:kern w:val="0"/>
                <w:sz w:val="20"/>
                <w:szCs w:val="20"/>
                <w:lang w:val="zh-TW" w:eastAsia="zh-TW" w:bidi="ar"/>
              </w:rPr>
              <w:t>，包括：与手术相关医院感染发生率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手术部位感染发生率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手术患者肺部感染发生率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择期手术术后相关感染发生率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择期手术术后相关感染发生率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择期手术患者肺部感染发生率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急诊手术相关感染发生率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急诊手术患者肺部感染发生率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bidi="ar"/>
              </w:rPr>
              <w:t>NNIS</w:t>
            </w:r>
            <w:r>
              <w:rPr>
                <w:rFonts w:hint="eastAsia" w:ascii="微软雅黑" w:hAnsi="微软雅黑" w:eastAsia="微软雅黑" w:cs="微软雅黑"/>
                <w:color w:val="000000"/>
                <w:kern w:val="0"/>
                <w:sz w:val="20"/>
                <w:szCs w:val="20"/>
                <w:lang w:val="zh-TW" w:eastAsia="zh-TW" w:bidi="ar"/>
              </w:rPr>
              <w:t>分级手术部位感染率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外科医生感染率（科室）</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外科医生感染率（医生）</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术前预防用药使用率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术中预防用药使用率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术前</w:t>
            </w:r>
            <w:r>
              <w:rPr>
                <w:rFonts w:hint="eastAsia" w:ascii="微软雅黑" w:hAnsi="微软雅黑" w:eastAsia="微软雅黑" w:cs="微软雅黑"/>
                <w:color w:val="000000"/>
                <w:kern w:val="0"/>
                <w:sz w:val="20"/>
                <w:szCs w:val="20"/>
                <w:lang w:bidi="ar"/>
              </w:rPr>
              <w:t>0.5-2</w:t>
            </w:r>
            <w:r>
              <w:rPr>
                <w:rFonts w:hint="eastAsia" w:ascii="微软雅黑" w:hAnsi="微软雅黑" w:eastAsia="微软雅黑" w:cs="微软雅黑"/>
                <w:color w:val="000000"/>
                <w:kern w:val="0"/>
                <w:sz w:val="20"/>
                <w:szCs w:val="20"/>
                <w:lang w:val="zh-TW" w:eastAsia="zh-TW" w:bidi="ar"/>
              </w:rPr>
              <w:t>小时预防用药使用率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术前</w:t>
            </w:r>
            <w:r>
              <w:rPr>
                <w:rFonts w:hint="eastAsia" w:ascii="微软雅黑" w:hAnsi="微软雅黑" w:eastAsia="微软雅黑" w:cs="微软雅黑"/>
                <w:color w:val="000000"/>
                <w:kern w:val="0"/>
                <w:sz w:val="20"/>
                <w:szCs w:val="20"/>
                <w:lang w:bidi="ar"/>
              </w:rPr>
              <w:t>0.5-1</w:t>
            </w:r>
            <w:r>
              <w:rPr>
                <w:rFonts w:hint="eastAsia" w:ascii="微软雅黑" w:hAnsi="微软雅黑" w:eastAsia="微软雅黑" w:cs="微软雅黑"/>
                <w:color w:val="000000"/>
                <w:kern w:val="0"/>
                <w:sz w:val="20"/>
                <w:szCs w:val="20"/>
                <w:lang w:val="zh-TW" w:eastAsia="zh-TW" w:bidi="ar"/>
              </w:rPr>
              <w:t>小时预防用药使用率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术后用药使用率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术后</w:t>
            </w:r>
            <w:r>
              <w:rPr>
                <w:rFonts w:hint="eastAsia" w:ascii="微软雅黑" w:hAnsi="微软雅黑" w:eastAsia="微软雅黑" w:cs="微软雅黑"/>
                <w:color w:val="000000"/>
                <w:kern w:val="0"/>
                <w:sz w:val="20"/>
                <w:szCs w:val="20"/>
                <w:lang w:bidi="ar"/>
              </w:rPr>
              <w:t>24</w:t>
            </w:r>
            <w:r>
              <w:rPr>
                <w:rFonts w:hint="eastAsia" w:ascii="微软雅黑" w:hAnsi="微软雅黑" w:eastAsia="微软雅黑" w:cs="微软雅黑"/>
                <w:color w:val="000000"/>
                <w:kern w:val="0"/>
                <w:sz w:val="20"/>
                <w:szCs w:val="20"/>
                <w:lang w:val="zh-TW" w:eastAsia="zh-TW" w:bidi="ar"/>
              </w:rPr>
              <w:t>小时内停药率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术后</w:t>
            </w:r>
            <w:r>
              <w:rPr>
                <w:rFonts w:hint="eastAsia" w:ascii="微软雅黑" w:hAnsi="微软雅黑" w:eastAsia="微软雅黑" w:cs="微软雅黑"/>
                <w:color w:val="000000"/>
                <w:kern w:val="0"/>
                <w:sz w:val="20"/>
                <w:szCs w:val="20"/>
                <w:lang w:bidi="ar"/>
              </w:rPr>
              <w:t>48</w:t>
            </w:r>
            <w:r>
              <w:rPr>
                <w:rFonts w:hint="eastAsia" w:ascii="微软雅黑" w:hAnsi="微软雅黑" w:eastAsia="微软雅黑" w:cs="微软雅黑"/>
                <w:color w:val="000000"/>
                <w:kern w:val="0"/>
                <w:sz w:val="20"/>
                <w:szCs w:val="20"/>
                <w:lang w:val="zh-TW" w:eastAsia="zh-TW" w:bidi="ar"/>
              </w:rPr>
              <w:t>小时内停药率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51"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PMingLiU"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抗菌药物监测</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支持可按多种条件进行查询统计，包括：</w:t>
            </w:r>
            <w:r>
              <w:rPr>
                <w:rFonts w:hint="eastAsia" w:ascii="微软雅黑" w:hAnsi="微软雅黑" w:eastAsia="微软雅黑" w:cs="微软雅黑"/>
                <w:color w:val="000000"/>
                <w:kern w:val="0"/>
                <w:sz w:val="20"/>
                <w:szCs w:val="20"/>
                <w:lang w:val="zh-TW" w:bidi="ar"/>
              </w:rPr>
              <w:t>出院患者抗菌药物使用率、住院患者抗菌药物使用率、抗菌药物预防使用构成比、抗菌药物治疗使用构成比、出院患者人均使用抗菌药物品种数、出院患者人均使用抗菌药物天数、出院患者使用抗菌药物病原学送检率、出院患者治疗性使用抗菌药物病原学送检率、住院患者抗菌药物治疗前病原学送检率、住院患者限制使用级抗菌药物治疗前病原学送检率、住院患者特殊使用级抗菌药物治疗前病原学送检率、住院患者限制使用级抗菌药物治疗前血培养送检率、住院患者特殊使用级抗菌药物治疗前血培养送检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全院三管监测</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支持进行全院各科室的侵入性操作监测日志；</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支持进行全院各科室的侵入性操作监测月报；</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支持自动生成新住进患者数、住在患者数、发热人数、留置导尿管使用患者数、中心静脉插管使用患者数、呼吸机使用患者数；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支持穿透监测日志中的患者数列表，可查看插管使用开始时间、结束时间、使用天数；</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提供三大插管匹配医嘱的维护界面；</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支持查看患者三管督导措施评估情况明细内容；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消毒灭菌</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支持对空气、物表、手卫生、医疗器械、消毒物品、灭菌物品、一次性物品、污水等项目监测单申请，并支持全院联网查看监测项目和监测结果</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支持临床科室监测项目自查与感控科抽查工作，可根据医院监测流程进行配置；</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监测单据直接查看送检科室、监测项目、监测类型、采样场所、采样标本、采样点数、采样方法、采样人、采样日期、检验日期、检验人、检验结果、是否需要复查；</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支持对常用监测内容保存为常用模板，方便后续使用，常用模板支持科室级、全院级；</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支持监测结果报告单支持全院联网打印，以及在线查看监测结果报告；</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具有独立的监测授权管理模块，灵活设定单个用户管辖多科室、监测项目授权等，与系统基础用户授权不冲突；</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可根据医院情况，在标准上修改、增加环境卫生消毒灭菌监测项目、监测标准、采样场所、采样标本、采样方法、采样点等相关的字典数据；</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支持自动按照监测项目类别、监测科室统计分析监测数目数、合格数、合格率、不合格数、不合格率。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职业暴露</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支持医务人员及护工进行职业暴露内容的信息登记填写</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支持暴露填报前告知《职业暴露的标准处置流程》及《职业暴露的处置制度》，要求暴露填报人员在线掌握了解，告知内容可随医院定制性调整；</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支持填报职业暴露登记表后，在感控管理端上实时提示新暴露填报消息；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支持职业暴露信息登记、评估预防、临床观察、临床诊断完整随访闭环，感染性疾病科医生可对评估预防操作，支持跨部门联网的评估跟踪；</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支持对检验复查项目多时间点设定，</w:t>
            </w:r>
            <w:r>
              <w:rPr>
                <w:rFonts w:hint="eastAsia" w:ascii="微软雅黑" w:hAnsi="微软雅黑" w:eastAsia="微软雅黑" w:cs="微软雅黑"/>
                <w:color w:val="000000"/>
                <w:kern w:val="0"/>
                <w:sz w:val="20"/>
                <w:szCs w:val="20"/>
                <w:lang w:val="zh-TW" w:bidi="ar"/>
              </w:rPr>
              <w:t>在监测面板首页显示当前暴露需进行复查人员提醒，钻取后展示需复查人员姓名、发生科室、暴露人员所属科室、暴露时间、检查项目、复查时间、上次复查时间</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支持按照科室统计职业暴露情况，并计算科室构成比；</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支持按工别、年龄、性别等内容计算科室构成比</w:t>
            </w:r>
            <w:r>
              <w:rPr>
                <w:rFonts w:hint="eastAsia" w:ascii="微软雅黑" w:hAnsi="微软雅黑" w:eastAsia="微软雅黑" w:cs="微软雅黑"/>
                <w:color w:val="000000"/>
                <w:kern w:val="0"/>
                <w:sz w:val="20"/>
                <w:szCs w:val="20"/>
                <w:lang w:val="zh-TW" w:bidi="ar"/>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51"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手卫生监测</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掌握全院各科室手卫生用品消耗量情况，如手消毒液、抗菌洗手液、干手纸，分析手卫生依从性的，协同促进医务人员手卫生执行的依从率；</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支持临床感控兼职人员进行本科科室用品本月领取量和库存量的在线录入；</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支持在线完成手卫生依从性调查，包括被调查人员类型、时机、指征、手卫生行为、正确性；</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支持调查完成后，对本次调查结果进行回顾性分析，如医护人员手卫生意识低等内容；</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支持按科室、人员类型、指征、时机多类型进行统计分析</w:t>
            </w:r>
            <w:r>
              <w:rPr>
                <w:rFonts w:hint="eastAsia" w:ascii="微软雅黑" w:hAnsi="微软雅黑" w:eastAsia="微软雅黑" w:cs="微软雅黑"/>
                <w:color w:val="000000"/>
                <w:kern w:val="0"/>
                <w:sz w:val="20"/>
                <w:szCs w:val="20"/>
                <w:lang w:val="zh-TW" w:bidi="ar"/>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bidi="ar"/>
              </w:rPr>
              <w:t xml:space="preserve"> </w:t>
            </w:r>
            <w:r>
              <w:rPr>
                <w:rFonts w:hint="eastAsia" w:ascii="微软雅黑" w:hAnsi="微软雅黑" w:eastAsia="微软雅黑" w:cs="微软雅黑"/>
                <w:color w:val="000000"/>
                <w:kern w:val="0"/>
                <w:sz w:val="20"/>
                <w:szCs w:val="20"/>
                <w:lang w:val="zh-TW" w:eastAsia="zh-TW" w:bidi="ar"/>
              </w:rPr>
              <w:t>网络直报</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支持建立</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医院</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全国医院感染监控管理培训基地</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上报体系；</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支持自动分析出已上报记录数、总未上报记录数；</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支持数据单项上报，也支持全选项上报，能够进行断点续传功能，多线程上报技术，上传速度快，不影响其他业务模块的操作；</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支持数据上报数据包括：感染病例监测（感染数、出院记录数）、现患率调查（实查数、应监测记录数）、外科手术感染监测、职业暴露监测、</w:t>
            </w:r>
            <w:r>
              <w:rPr>
                <w:rFonts w:hint="eastAsia" w:ascii="微软雅黑" w:hAnsi="微软雅黑" w:eastAsia="微软雅黑" w:cs="微软雅黑"/>
                <w:color w:val="000000"/>
                <w:kern w:val="0"/>
                <w:sz w:val="20"/>
                <w:szCs w:val="20"/>
                <w:lang w:bidi="ar"/>
              </w:rPr>
              <w:t>ICU</w:t>
            </w:r>
            <w:r>
              <w:rPr>
                <w:rFonts w:hint="eastAsia" w:ascii="微软雅黑" w:hAnsi="微软雅黑" w:eastAsia="微软雅黑" w:cs="微软雅黑"/>
                <w:color w:val="000000"/>
                <w:kern w:val="0"/>
                <w:sz w:val="20"/>
                <w:szCs w:val="20"/>
                <w:lang w:val="zh-TW" w:eastAsia="zh-TW" w:bidi="ar"/>
              </w:rPr>
              <w:t>病人感染监测（感染数、监测日志记录数）、高危新生儿监测（感染数、日志记录数）、抗菌药物监测、环境卫生消毒药械监测、一次性用品监测、污水监测；</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支持数据上报结果的日志查看及保存；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PMingLiU" w:cs="微软雅黑"/>
                <w:color w:val="000000"/>
                <w:kern w:val="0"/>
                <w:sz w:val="20"/>
                <w:szCs w:val="20"/>
                <w:lang w:bidi="ar"/>
              </w:rPr>
            </w:pPr>
            <w:r>
              <w:rPr>
                <w:rFonts w:hint="eastAsia" w:ascii="微软雅黑" w:hAnsi="微软雅黑" w:eastAsia="微软雅黑" w:cs="微软雅黑"/>
                <w:color w:val="000000"/>
                <w:kern w:val="0"/>
                <w:sz w:val="20"/>
                <w:szCs w:val="20"/>
                <w:lang w:bidi="ar"/>
              </w:rPr>
              <w:t>国家的感控指标十三项</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支持可按患者维住院患者人数进行时间段查询；医院感染发病（例次）率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医院感染现患（例次）率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医院感染病例漏报率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多重耐药菌感染发现率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多重耐药菌检出率</w:t>
            </w:r>
            <w:r>
              <w:rPr>
                <w:rFonts w:hint="eastAsia" w:ascii="微软雅黑" w:hAnsi="微软雅黑" w:eastAsia="微软雅黑" w:cs="微软雅黑"/>
                <w:color w:val="000000"/>
                <w:kern w:val="0"/>
                <w:sz w:val="20"/>
                <w:szCs w:val="20"/>
                <w:lang w:val="zh-TW" w:bidi="ar"/>
              </w:rPr>
              <w:t>、医务人员手卫生依从率、</w:t>
            </w:r>
            <w:r>
              <w:rPr>
                <w:rFonts w:hint="eastAsia" w:ascii="微软雅黑" w:hAnsi="微软雅黑" w:eastAsia="微软雅黑" w:cs="微软雅黑"/>
                <w:color w:val="000000"/>
                <w:kern w:val="0"/>
                <w:sz w:val="20"/>
                <w:szCs w:val="20"/>
                <w:lang w:val="zh-TW" w:eastAsia="zh-TW" w:bidi="ar"/>
              </w:rPr>
              <w:t>住院患者抗菌药物使用率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抗菌药物治疗前病原学送检率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bidi="ar"/>
              </w:rPr>
              <w:t>Ⅰ</w:t>
            </w:r>
            <w:r>
              <w:rPr>
                <w:rFonts w:hint="eastAsia" w:ascii="微软雅黑" w:hAnsi="微软雅黑" w:eastAsia="微软雅黑" w:cs="微软雅黑"/>
                <w:color w:val="000000"/>
                <w:kern w:val="0"/>
                <w:sz w:val="20"/>
                <w:szCs w:val="20"/>
                <w:lang w:val="zh-TW" w:eastAsia="zh-TW" w:bidi="ar"/>
              </w:rPr>
              <w:t>类切口手术部位感染率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bidi="ar"/>
              </w:rPr>
              <w:t>Ⅰ</w:t>
            </w:r>
            <w:r>
              <w:rPr>
                <w:rFonts w:hint="eastAsia" w:ascii="微软雅黑" w:hAnsi="微软雅黑" w:eastAsia="微软雅黑" w:cs="微软雅黑"/>
                <w:color w:val="000000"/>
                <w:kern w:val="0"/>
                <w:sz w:val="20"/>
                <w:szCs w:val="20"/>
                <w:lang w:val="zh-TW" w:eastAsia="zh-TW" w:bidi="ar"/>
              </w:rPr>
              <w:t>类切口手术抗菌药物预防使用率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血管内导管相关血流感染发病率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呼吸机相关肺炎发病率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导尿管相关泌尿系统感染发病率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PMingLiU" w:cs="微软雅黑"/>
                <w:color w:val="000000"/>
                <w:kern w:val="0"/>
                <w:sz w:val="20"/>
                <w:szCs w:val="20"/>
                <w:lang w:bidi="ar"/>
              </w:rPr>
            </w:pPr>
            <w:r>
              <w:rPr>
                <w:rFonts w:hint="eastAsia" w:ascii="微软雅黑" w:hAnsi="微软雅黑" w:eastAsia="微软雅黑" w:cs="微软雅黑"/>
                <w:color w:val="000000"/>
                <w:kern w:val="0"/>
                <w:sz w:val="20"/>
                <w:szCs w:val="20"/>
                <w:lang w:bidi="ar"/>
              </w:rPr>
              <w:t>感染统计</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支持可按患者维住院患者人数进行时间段查询；医院感染率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社区感染率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医院感染日感染率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医院感染部位分布</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社区感染部位分布</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医院感染病原体部位分布</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社区感染病原体部位分布</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易感因素</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bidi="ar"/>
              </w:rPr>
              <w:t>CLABSI</w:t>
            </w:r>
            <w:r>
              <w:rPr>
                <w:rFonts w:hint="eastAsia" w:ascii="微软雅黑" w:hAnsi="微软雅黑" w:eastAsia="微软雅黑" w:cs="微软雅黑"/>
                <w:color w:val="000000"/>
                <w:kern w:val="0"/>
                <w:sz w:val="20"/>
                <w:szCs w:val="20"/>
                <w:lang w:val="zh-TW" w:eastAsia="zh-TW" w:bidi="ar"/>
              </w:rPr>
              <w:t>（血管内导管相关血流感染发病率）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bidi="ar"/>
              </w:rPr>
              <w:t>VAP</w:t>
            </w:r>
            <w:r>
              <w:rPr>
                <w:rFonts w:hint="eastAsia" w:ascii="微软雅黑" w:hAnsi="微软雅黑" w:eastAsia="微软雅黑" w:cs="微软雅黑"/>
                <w:color w:val="000000"/>
                <w:kern w:val="0"/>
                <w:sz w:val="20"/>
                <w:szCs w:val="20"/>
                <w:lang w:val="zh-TW" w:eastAsia="zh-TW" w:bidi="ar"/>
              </w:rPr>
              <w:t>（呼吸机相关肺炎发病率）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bidi="ar"/>
              </w:rPr>
              <w:t>CAUTI</w:t>
            </w:r>
            <w:r>
              <w:rPr>
                <w:rFonts w:hint="eastAsia" w:ascii="微软雅黑" w:hAnsi="微软雅黑" w:eastAsia="微软雅黑" w:cs="微软雅黑"/>
                <w:color w:val="000000"/>
                <w:kern w:val="0"/>
                <w:sz w:val="20"/>
                <w:szCs w:val="20"/>
                <w:lang w:val="zh-TW" w:eastAsia="zh-TW" w:bidi="ar"/>
              </w:rPr>
              <w:t>（导尿管相关泌尿系统感染发病率）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PMingLiU" w:cs="微软雅黑"/>
                <w:color w:val="000000"/>
                <w:kern w:val="0"/>
                <w:sz w:val="20"/>
                <w:szCs w:val="20"/>
                <w:lang w:bidi="ar"/>
              </w:rPr>
            </w:pPr>
            <w:r>
              <w:rPr>
                <w:rFonts w:hint="eastAsia" w:ascii="微软雅黑" w:hAnsi="微软雅黑" w:eastAsia="微软雅黑" w:cs="微软雅黑"/>
                <w:color w:val="000000"/>
                <w:kern w:val="0"/>
                <w:sz w:val="20"/>
                <w:szCs w:val="20"/>
                <w:lang w:bidi="ar"/>
              </w:rPr>
              <w:t>现患率统计</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hint="eastAsia" w:ascii="微软雅黑" w:hAnsi="微软雅黑" w:eastAsia="微软雅黑" w:cs="微软雅黑"/>
                <w:color w:val="000000"/>
                <w:kern w:val="0"/>
                <w:sz w:val="20"/>
                <w:szCs w:val="20"/>
                <w:lang w:val="zh-TW" w:eastAsia="zh-CN" w:bidi="ar"/>
              </w:rPr>
            </w:pPr>
            <w:r>
              <w:rPr>
                <w:rFonts w:hint="eastAsia" w:ascii="微软雅黑" w:hAnsi="微软雅黑" w:eastAsia="微软雅黑" w:cs="微软雅黑"/>
                <w:color w:val="000000"/>
                <w:kern w:val="0"/>
                <w:sz w:val="20"/>
                <w:szCs w:val="20"/>
                <w:lang w:val="zh-TW" w:eastAsia="zh-TW" w:bidi="ar"/>
              </w:rPr>
              <w:t>根据</w:t>
            </w:r>
            <w:r>
              <w:rPr>
                <w:rFonts w:hint="eastAsia" w:ascii="微软雅黑" w:hAnsi="微软雅黑" w:eastAsia="微软雅黑" w:cs="微软雅黑"/>
                <w:color w:val="000000"/>
                <w:kern w:val="0"/>
                <w:sz w:val="20"/>
                <w:szCs w:val="20"/>
                <w:lang w:val="zh-TW" w:bidi="ar"/>
              </w:rPr>
              <w:t>横断面调查</w:t>
            </w:r>
            <w:r>
              <w:rPr>
                <w:rFonts w:hint="eastAsia" w:ascii="微软雅黑" w:hAnsi="微软雅黑" w:eastAsia="微软雅黑" w:cs="微软雅黑"/>
                <w:color w:val="000000"/>
                <w:kern w:val="0"/>
                <w:sz w:val="20"/>
                <w:szCs w:val="20"/>
                <w:lang w:val="zh-TW" w:eastAsia="zh-TW" w:bidi="ar"/>
              </w:rPr>
              <w:t>进行现患统计；医院感染率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社区感染率</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医院感染病原体部位分布</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抗菌药物使用情况</w:t>
            </w:r>
            <w:r>
              <w:rPr>
                <w:rFonts w:hint="eastAsia" w:ascii="微软雅黑" w:hAnsi="微软雅黑" w:eastAsia="微软雅黑" w:cs="微软雅黑"/>
                <w:color w:val="000000"/>
                <w:kern w:val="0"/>
                <w:sz w:val="20"/>
                <w:szCs w:val="20"/>
                <w:lang w:val="zh-TW" w:bidi="ar"/>
              </w:rPr>
              <w:t>、</w:t>
            </w:r>
            <w:r>
              <w:rPr>
                <w:rFonts w:hint="eastAsia" w:ascii="微软雅黑" w:hAnsi="微软雅黑" w:eastAsia="微软雅黑" w:cs="微软雅黑"/>
                <w:color w:val="000000"/>
                <w:kern w:val="0"/>
                <w:sz w:val="20"/>
                <w:szCs w:val="20"/>
                <w:lang w:val="zh-TW" w:eastAsia="zh-TW" w:bidi="ar"/>
              </w:rPr>
              <w:t>医院感染率现患趋势分析</w:t>
            </w:r>
            <w:r>
              <w:rPr>
                <w:rFonts w:hint="eastAsia" w:ascii="微软雅黑" w:hAnsi="微软雅黑" w:eastAsia="微软雅黑" w:cs="微软雅黑"/>
                <w:color w:val="000000"/>
                <w:kern w:val="0"/>
                <w:sz w:val="20"/>
                <w:szCs w:val="20"/>
                <w:lang w:val="zh-TW" w:eastAsia="zh-CN" w:bidi="ar"/>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患者诊疗信息</w:t>
            </w:r>
          </w:p>
          <w:p>
            <w:pPr>
              <w:widowControl/>
              <w:ind w:firstLine="0" w:firstLineChars="0"/>
              <w:textAlignment w:val="center"/>
              <w:rPr>
                <w:rFonts w:ascii="微软雅黑" w:hAnsi="微软雅黑" w:eastAsia="PMingLiU"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支持查看患者历次本院住院诊疗信息</w:t>
            </w:r>
            <w:r>
              <w:rPr>
                <w:rFonts w:hint="eastAsia" w:ascii="微软雅黑" w:hAnsi="微软雅黑" w:eastAsia="微软雅黑" w:cs="微软雅黑"/>
                <w:color w:val="000000"/>
                <w:kern w:val="0"/>
                <w:sz w:val="20"/>
                <w:szCs w:val="20"/>
                <w:lang w:val="zh-TW" w:bidi="ar"/>
              </w:rPr>
              <w:t>，包括住院号、入院科室、入院时间、出院科室、出院时间、入院诊断、住院次数</w:t>
            </w:r>
            <w:r>
              <w:rPr>
                <w:rFonts w:hint="eastAsia" w:ascii="微软雅黑" w:hAnsi="微软雅黑" w:eastAsia="微软雅黑" w:cs="微软雅黑"/>
                <w:color w:val="000000"/>
                <w:kern w:val="0"/>
                <w:sz w:val="20"/>
                <w:szCs w:val="20"/>
                <w:lang w:val="zh-TW" w:eastAsia="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支持查看患者基本信息，包括住院号、病案号、姓名、性别、年龄、住院次数、体重</w:t>
            </w:r>
            <w:r>
              <w:rPr>
                <w:rFonts w:hint="eastAsia" w:ascii="微软雅黑" w:hAnsi="微软雅黑" w:eastAsia="微软雅黑" w:cs="微软雅黑"/>
                <w:color w:val="000000"/>
                <w:kern w:val="0"/>
                <w:sz w:val="20"/>
                <w:szCs w:val="20"/>
                <w:lang w:val="zh-TW" w:bidi="ar"/>
              </w:rPr>
              <w:t>、入院诊断、当前科室</w:t>
            </w:r>
            <w:r>
              <w:rPr>
                <w:rFonts w:hint="eastAsia" w:ascii="微软雅黑" w:hAnsi="微软雅黑" w:eastAsia="微软雅黑" w:cs="微软雅黑"/>
                <w:color w:val="000000"/>
                <w:kern w:val="0"/>
                <w:sz w:val="20"/>
                <w:szCs w:val="20"/>
                <w:lang w:val="zh-TW" w:eastAsia="zh-TW" w:bidi="ar"/>
              </w:rPr>
              <w:t>信息；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支持查看患者住院综合图示重要关注因素的时序图，包括三大插管、三大常规、</w:t>
            </w:r>
            <w:r>
              <w:rPr>
                <w:rFonts w:hint="eastAsia" w:ascii="微软雅黑" w:hAnsi="微软雅黑" w:eastAsia="微软雅黑" w:cs="微软雅黑"/>
                <w:color w:val="000000"/>
                <w:kern w:val="0"/>
                <w:sz w:val="20"/>
                <w:szCs w:val="20"/>
                <w:lang w:bidi="ar"/>
              </w:rPr>
              <w:t>C</w:t>
            </w:r>
            <w:r>
              <w:rPr>
                <w:rFonts w:hint="eastAsia" w:ascii="微软雅黑" w:hAnsi="微软雅黑" w:eastAsia="微软雅黑" w:cs="微软雅黑"/>
                <w:color w:val="000000"/>
                <w:kern w:val="0"/>
                <w:sz w:val="20"/>
                <w:szCs w:val="20"/>
                <w:lang w:val="zh-TW" w:eastAsia="zh-TW" w:bidi="ar"/>
              </w:rPr>
              <w:t>反应蛋白、降钙素原、检出菌、隔离标识；</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支持在综合图示中，可查看三大常规、</w:t>
            </w:r>
            <w:r>
              <w:rPr>
                <w:rFonts w:hint="eastAsia" w:ascii="微软雅黑" w:hAnsi="微软雅黑" w:eastAsia="微软雅黑" w:cs="微软雅黑"/>
                <w:color w:val="000000"/>
                <w:kern w:val="0"/>
                <w:sz w:val="20"/>
                <w:szCs w:val="20"/>
                <w:lang w:bidi="ar"/>
              </w:rPr>
              <w:t>C</w:t>
            </w:r>
            <w:r>
              <w:rPr>
                <w:rFonts w:hint="eastAsia" w:ascii="微软雅黑" w:hAnsi="微软雅黑" w:eastAsia="微软雅黑" w:cs="微软雅黑"/>
                <w:color w:val="000000"/>
                <w:kern w:val="0"/>
                <w:sz w:val="20"/>
                <w:szCs w:val="20"/>
                <w:lang w:val="zh-TW" w:eastAsia="zh-TW" w:bidi="ar"/>
              </w:rPr>
              <w:t>反应蛋白的历次送检信息及检验结果的趋势走向；</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支持查看住院综合图示重要风险因素明细，包括：抗菌药物使用、侵入性操作、检出菌、手术、体温异常；</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支持查看医嘱信息，侵入性操作、抗菌药物优先置顶，并可进行关键词搜索医嘱；</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支持查看检验信息，对存在异常检验项目，标记红点显目提示，异常检验结果优先置顶；</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支持查看菌培养信息，优先置顶，药敏结果为耐药标红显示；</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支持查看手术信息，可穿透查看手术登记表；</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支持查看体温信息，时间段内体温走向，超过</w:t>
            </w:r>
            <w:r>
              <w:rPr>
                <w:rFonts w:hint="eastAsia" w:ascii="微软雅黑" w:hAnsi="微软雅黑" w:eastAsia="微软雅黑" w:cs="微软雅黑"/>
                <w:color w:val="000000"/>
                <w:kern w:val="0"/>
                <w:sz w:val="20"/>
                <w:szCs w:val="20"/>
                <w:lang w:bidi="ar"/>
              </w:rPr>
              <w:t>38℃</w:t>
            </w:r>
            <w:r>
              <w:rPr>
                <w:rFonts w:hint="eastAsia" w:ascii="微软雅黑" w:hAnsi="微软雅黑" w:eastAsia="微软雅黑" w:cs="微软雅黑"/>
                <w:color w:val="000000"/>
                <w:kern w:val="0"/>
                <w:sz w:val="20"/>
                <w:szCs w:val="20"/>
                <w:lang w:val="zh-TW" w:eastAsia="zh-TW" w:bidi="ar"/>
              </w:rPr>
              <w:t>显目提示；</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支持查看病历信息，对存在感染因素的标记显示，分别展示分析后病历和原文病历，分析后病历中关键词按颜色区分否定式、阳性词；</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支持查看影像信息，对存在感染因素的标记显示，分析后影像报告中关键词按颜色区分否定式、阳性词；</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支持查看诊断信息，包括入院诊断、出院诊断、其他诊断；</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支持查看在院期间出入科记录；</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支持查看当前患者干预历史情况，并支持干预会话发起；</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支持查看当前患者疑似感染信息，并可直接进行干预、排除、确认操作；</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支持查看当前患者感染病例历史上报情况；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13"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数据接口总线</w:t>
            </w:r>
          </w:p>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支持与医院现有系统自动完成</w:t>
            </w:r>
            <w:r>
              <w:rPr>
                <w:rFonts w:hint="eastAsia" w:ascii="微软雅黑" w:hAnsi="微软雅黑" w:eastAsia="微软雅黑" w:cs="微软雅黑"/>
                <w:color w:val="000000"/>
                <w:kern w:val="0"/>
                <w:sz w:val="20"/>
                <w:szCs w:val="20"/>
                <w:lang w:bidi="ar"/>
              </w:rPr>
              <w:t>HIS</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LIS</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PACS</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bidi="ar"/>
              </w:rPr>
              <w:t>EMR(</w:t>
            </w:r>
            <w:r>
              <w:rPr>
                <w:rFonts w:hint="eastAsia" w:ascii="微软雅黑" w:hAnsi="微软雅黑" w:eastAsia="微软雅黑" w:cs="微软雅黑"/>
                <w:color w:val="000000"/>
                <w:kern w:val="0"/>
                <w:sz w:val="20"/>
                <w:szCs w:val="20"/>
                <w:lang w:val="zh-TW" w:eastAsia="zh-TW" w:bidi="ar"/>
              </w:rPr>
              <w:t>电子病历</w:t>
            </w:r>
            <w:r>
              <w:rPr>
                <w:rFonts w:hint="eastAsia" w:ascii="微软雅黑" w:hAnsi="微软雅黑" w:eastAsia="微软雅黑" w:cs="微软雅黑"/>
                <w:color w:val="000000"/>
                <w:kern w:val="0"/>
                <w:sz w:val="20"/>
                <w:szCs w:val="20"/>
                <w:lang w:bidi="ar"/>
              </w:rPr>
              <w:t>)</w:t>
            </w:r>
            <w:r>
              <w:rPr>
                <w:rFonts w:hint="eastAsia" w:ascii="微软雅黑" w:hAnsi="微软雅黑" w:eastAsia="微软雅黑" w:cs="微软雅黑"/>
                <w:color w:val="000000"/>
                <w:kern w:val="0"/>
                <w:sz w:val="20"/>
                <w:szCs w:val="20"/>
                <w:lang w:val="zh-TW" w:eastAsia="zh-TW" w:bidi="ar"/>
              </w:rPr>
              <w:t>、手术麻醉、护理系统系统的</w:t>
            </w:r>
            <w:r>
              <w:rPr>
                <w:rFonts w:hint="eastAsia" w:ascii="微软雅黑" w:hAnsi="微软雅黑" w:eastAsia="微软雅黑" w:cs="微软雅黑"/>
                <w:color w:val="000000"/>
                <w:kern w:val="0"/>
                <w:sz w:val="20"/>
                <w:szCs w:val="20"/>
                <w:lang w:val="zh-TW" w:bidi="ar"/>
              </w:rPr>
              <w:t>患者姓名、性别、年龄、费用信息、病历信息</w:t>
            </w:r>
            <w:r>
              <w:rPr>
                <w:rFonts w:hint="eastAsia" w:ascii="微软雅黑" w:hAnsi="微软雅黑" w:eastAsia="微软雅黑" w:cs="微软雅黑"/>
                <w:color w:val="000000"/>
                <w:kern w:val="0"/>
                <w:sz w:val="20"/>
                <w:szCs w:val="20"/>
                <w:lang w:val="zh-TW" w:eastAsia="zh-TW" w:bidi="ar"/>
              </w:rPr>
              <w:t>数据加载，并自动完成各项院感数据匹配工作</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支持对接</w:t>
            </w:r>
            <w:r>
              <w:rPr>
                <w:rFonts w:hint="eastAsia" w:ascii="微软雅黑" w:hAnsi="微软雅黑" w:eastAsia="微软雅黑" w:cs="微软雅黑"/>
                <w:color w:val="000000"/>
                <w:kern w:val="0"/>
                <w:sz w:val="20"/>
                <w:szCs w:val="20"/>
                <w:lang w:eastAsia="zh-TW" w:bidi="ar"/>
              </w:rPr>
              <w:t>Sqlserver</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eastAsia="zh-TW" w:bidi="ar"/>
              </w:rPr>
              <w:t>Mysql</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eastAsia="zh-TW" w:bidi="ar"/>
              </w:rPr>
              <w:t>Oracle</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eastAsia="zh-TW" w:bidi="ar"/>
              </w:rPr>
              <w:t>DB2</w:t>
            </w:r>
            <w:r>
              <w:rPr>
                <w:rFonts w:hint="eastAsia" w:ascii="微软雅黑" w:hAnsi="微软雅黑" w:eastAsia="微软雅黑" w:cs="微软雅黑"/>
                <w:color w:val="000000"/>
                <w:kern w:val="0"/>
                <w:sz w:val="20"/>
                <w:szCs w:val="20"/>
                <w:lang w:val="zh-TW" w:eastAsia="zh-TW" w:bidi="ar"/>
              </w:rPr>
              <w:t>、</w:t>
            </w:r>
            <w:r>
              <w:rPr>
                <w:rFonts w:hint="eastAsia" w:ascii="微软雅黑" w:hAnsi="微软雅黑" w:eastAsia="微软雅黑" w:cs="微软雅黑"/>
                <w:color w:val="000000"/>
                <w:kern w:val="0"/>
                <w:sz w:val="20"/>
                <w:szCs w:val="20"/>
                <w:lang w:eastAsia="zh-TW" w:bidi="ar"/>
              </w:rPr>
              <w:t>Cache</w:t>
            </w:r>
            <w:r>
              <w:rPr>
                <w:rFonts w:hint="eastAsia" w:ascii="微软雅黑" w:hAnsi="微软雅黑" w:eastAsia="微软雅黑" w:cs="微软雅黑"/>
                <w:color w:val="000000"/>
                <w:kern w:val="0"/>
                <w:sz w:val="20"/>
                <w:szCs w:val="20"/>
                <w:lang w:val="zh-TW" w:eastAsia="zh-TW" w:bidi="ar"/>
              </w:rPr>
              <w:t>数据库；</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支持完成自动加载患者基本信息；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支持完成自动加载患者出入院信息，包括出入院日期、科室、床位、住院总费用信息；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支持完成自动加载患者转科信息</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支持完成自动加载患者诊断信息，入院诊断、疾病诊断、出院诊断；</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支持完成自动加载患者电子体温信息及大便次数信息；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支持完成自动加载患者手术申请、安排，详细的手术情况，如麻醉类型、手术时间等；</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支持完成自动加载患者医嘱信息，包括检验检查项目、用药情况等；</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支持完成自动加载患者检验信息，包括常规检验、细菌培养、检验结果等；</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支持完成自动加载患者微生物培养情况（包括送检信息、病原体检出情况、药敏试验情况等）</w:t>
            </w:r>
            <w:r>
              <w:rPr>
                <w:rFonts w:hint="eastAsia" w:ascii="微软雅黑" w:hAnsi="微软雅黑" w:eastAsia="微软雅黑" w:cs="微软雅黑"/>
                <w:color w:val="000000"/>
                <w:kern w:val="0"/>
                <w:sz w:val="20"/>
                <w:szCs w:val="20"/>
                <w:lang w:val="zh-TW" w:bidi="ar"/>
              </w:rPr>
              <w:t>；</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支持完成自动加载患者抗菌药物使用情况；</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支持完成自动加载患者影像诊断信息；</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支持完成自动加载患者病历记录；</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科室信息、医生信息（包括职称）、药品信息等基础资料</w:t>
            </w:r>
            <w:r>
              <w:rPr>
                <w:rFonts w:hint="eastAsia" w:ascii="微软雅黑" w:hAnsi="微软雅黑" w:eastAsia="微软雅黑" w:cs="微软雅黑"/>
                <w:color w:val="000000"/>
                <w:kern w:val="0"/>
                <w:sz w:val="20"/>
                <w:szCs w:val="20"/>
                <w:lang w:val="zh-TW" w:bidi="ar"/>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重点监测细菌</w:t>
            </w: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支持对国家卫计委要求的重点监测菌的维护，重点监测菌包括：耐甲氧西林金黄色葡萄球菌（MRSA）、耐碳氢霉烯类抗菌药物铜绿假单胞菌（CR-PA）、</w:t>
            </w:r>
            <w:r>
              <w:rPr>
                <w:rFonts w:hint="eastAsia" w:ascii="微软雅黑" w:hAnsi="微软雅黑" w:eastAsia="微软雅黑" w:cs="微软雅黑"/>
                <w:color w:val="000000"/>
                <w:kern w:val="0"/>
                <w:sz w:val="20"/>
                <w:szCs w:val="20"/>
                <w:lang w:bidi="ar"/>
              </w:rPr>
              <w:t>耐碳氢霉烯类抗菌药物肠杆菌科细菌(CRE)、耐碳氢霉烯类抗菌药物鲍曼不动杆菌(CR-AB)、耐万古霉素肠球菌(VRE)、耐万古霉素金黄色葡萄球菌(VRSA)、产超广谱β-内酰胺酶疑似菌株（ESBLs）；</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提供重点监测细菌可定制化操作界面，通过简单的点与选可完成对重点监测细菌的增加、修改、停用的操作；</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重点监测细菌内容可随医院细菌监测业务的变化随之调整，如对金黄色葡萄球菌作为重点菌，则增加成功后；或增加大肠埃希菌对碳青霉烯类中亚胺培南、美罗培南、厄他培南任一耐药（CR-CEO），增加成功后，立即生效；</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重点监测菌的菌对药物药敏结果可以设定耐药或耐药+中介，两种方式，设定规则独立，互不影响；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6" w:hRule="atLeast"/>
        </w:trPr>
        <w:tc>
          <w:tcPr>
            <w:tcW w:w="900"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76" w:lineRule="auto"/>
              <w:ind w:firstLine="480"/>
              <w:jc w:val="cente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临床</w:t>
            </w:r>
            <w:r>
              <w:rPr>
                <w:rFonts w:hint="eastAsia" w:ascii="微软雅黑" w:hAnsi="微软雅黑" w:eastAsia="微软雅黑" w:cs="微软雅黑"/>
                <w:color w:val="000000"/>
                <w:kern w:val="0"/>
                <w:sz w:val="20"/>
                <w:szCs w:val="20"/>
                <w:lang w:val="zh-TW" w:bidi="ar"/>
              </w:rPr>
              <w:t>感控</w:t>
            </w:r>
            <w:r>
              <w:rPr>
                <w:rFonts w:hint="eastAsia" w:ascii="微软雅黑" w:hAnsi="微软雅黑" w:eastAsia="微软雅黑" w:cs="微软雅黑"/>
                <w:color w:val="000000"/>
                <w:kern w:val="0"/>
                <w:sz w:val="20"/>
                <w:szCs w:val="20"/>
                <w:lang w:val="zh-TW" w:eastAsia="zh-TW" w:bidi="ar"/>
              </w:rPr>
              <w:t>工作站</w:t>
            </w:r>
          </w:p>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支持单个用户管辖多科室时，提供临床用户进行科室切换的操作；</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支持打开工作站直接查看当前科室的疑似感染病例，并可对疑似并进行上报或排除操作；</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支持按管床医生视角查看所管患者的疑似感染病例；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支持查看患者历史上报感染病例报卡合计数，并可穿透感染病例报卡明细内容；</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支持对患者主动感染病例的上报，自动获取患者基本信息，完善感染病例信息、易感因素、插管相关性、致病菌信息，对既往已报过同类感染诊断友好提示，并可穿透查看此病例；</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支持对曾转科至本科室及从本科室出院的患者搜索，并进行病例上报；</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支持临床用户对</w:t>
            </w:r>
            <w:r>
              <w:rPr>
                <w:rFonts w:hint="eastAsia" w:ascii="微软雅黑" w:hAnsi="微软雅黑" w:eastAsia="微软雅黑" w:cs="微软雅黑"/>
                <w:color w:val="000000"/>
                <w:kern w:val="0"/>
                <w:sz w:val="20"/>
                <w:szCs w:val="20"/>
                <w:lang w:bidi="ar"/>
              </w:rPr>
              <w:t>ICU</w:t>
            </w:r>
            <w:r>
              <w:rPr>
                <w:rFonts w:hint="eastAsia" w:ascii="微软雅黑" w:hAnsi="微软雅黑" w:eastAsia="微软雅黑" w:cs="微软雅黑"/>
                <w:color w:val="000000"/>
                <w:kern w:val="0"/>
                <w:sz w:val="20"/>
                <w:szCs w:val="20"/>
                <w:lang w:val="zh-TW" w:eastAsia="zh-TW" w:bidi="ar"/>
              </w:rPr>
              <w:t>患者进行临床病情等级评定；</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w:t>
            </w:r>
            <w:r>
              <w:rPr>
                <w:rFonts w:hint="eastAsia" w:ascii="微软雅黑" w:hAnsi="微软雅黑" w:eastAsia="微软雅黑" w:cs="微软雅黑"/>
                <w:color w:val="000000"/>
                <w:kern w:val="0"/>
                <w:sz w:val="20"/>
                <w:szCs w:val="20"/>
                <w:lang w:bidi="ar"/>
              </w:rPr>
              <w:t>2016</w:t>
            </w:r>
            <w:r>
              <w:rPr>
                <w:rFonts w:hint="eastAsia" w:ascii="微软雅黑" w:hAnsi="微软雅黑" w:eastAsia="微软雅黑" w:cs="微软雅黑"/>
                <w:color w:val="000000"/>
                <w:kern w:val="0"/>
                <w:sz w:val="20"/>
                <w:szCs w:val="20"/>
                <w:lang w:val="zh-TW" w:eastAsia="zh-TW" w:bidi="ar"/>
              </w:rPr>
              <w:t>年版医院感染横断面调查信息的录入；</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color w:val="000000"/>
                <w:kern w:val="0"/>
                <w:sz w:val="20"/>
                <w:szCs w:val="20"/>
                <w:lang w:val="zh-TW" w:eastAsia="zh-TW" w:bidi="ar"/>
              </w:rPr>
              <w:t>支持职业暴露在线填写暴露信息，并上报至感控科；</w:t>
            </w:r>
          </w:p>
          <w:p>
            <w:pPr>
              <w:widowControl/>
              <w:ind w:firstLine="0" w:firstLineChars="0"/>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zh-TW" w:eastAsia="zh-TW" w:bidi="ar"/>
              </w:rPr>
              <w:t>支持感控兼职人员及微生物室对环境卫生消毒药械监测内容填报，单个用户可管辖多科室。</w:t>
            </w:r>
          </w:p>
        </w:tc>
      </w:tr>
    </w:tbl>
    <w:p>
      <w:pPr>
        <w:ind w:firstLine="480"/>
      </w:pPr>
    </w:p>
    <w:p>
      <w:pPr>
        <w:pStyle w:val="6"/>
      </w:pPr>
      <w:r>
        <w:rPr>
          <w:rFonts w:hint="eastAsia"/>
          <w:szCs w:val="24"/>
        </w:rPr>
        <w:t>处方前置审核系统</w:t>
      </w:r>
    </w:p>
    <w:tbl>
      <w:tblPr>
        <w:tblStyle w:val="38"/>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00"/>
        <w:gridCol w:w="2059"/>
        <w:gridCol w:w="7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764" w:hRule="atLeast"/>
          <w:jc w:val="center"/>
        </w:trPr>
        <w:tc>
          <w:tcPr>
            <w:tcW w:w="900" w:type="dxa"/>
            <w:shd w:val="clear" w:color="auto" w:fill="FFFFFF"/>
            <w:vAlign w:val="center"/>
          </w:tcPr>
          <w:p>
            <w:pPr>
              <w:widowControl/>
              <w:ind w:firstLine="0" w:firstLineChars="0"/>
              <w:textAlignment w:val="center"/>
            </w:pPr>
            <w:r>
              <w:rPr>
                <w:rFonts w:hint="eastAsia" w:ascii="微软雅黑" w:hAnsi="微软雅黑" w:eastAsia="微软雅黑" w:cs="微软雅黑"/>
                <w:b/>
                <w:bCs/>
                <w:color w:val="000000"/>
                <w:kern w:val="0"/>
                <w:sz w:val="22"/>
                <w:szCs w:val="22"/>
                <w:lang w:bidi="ar"/>
              </w:rPr>
              <w:t>名称</w:t>
            </w:r>
          </w:p>
        </w:tc>
        <w:tc>
          <w:tcPr>
            <w:tcW w:w="2059" w:type="dxa"/>
            <w:shd w:val="clear" w:color="auto" w:fill="FFFFFF"/>
            <w:vAlign w:val="center"/>
          </w:tcPr>
          <w:p>
            <w:pPr>
              <w:widowControl/>
              <w:ind w:firstLine="440"/>
              <w:jc w:val="center"/>
              <w:textAlignment w:val="center"/>
            </w:pPr>
            <w:r>
              <w:rPr>
                <w:rFonts w:hint="eastAsia" w:ascii="微软雅黑" w:hAnsi="微软雅黑" w:eastAsia="微软雅黑" w:cs="微软雅黑"/>
                <w:b/>
                <w:bCs/>
                <w:color w:val="000000"/>
                <w:kern w:val="0"/>
                <w:sz w:val="22"/>
                <w:szCs w:val="22"/>
                <w:lang w:bidi="ar"/>
              </w:rPr>
              <w:t>功能模块</w:t>
            </w:r>
          </w:p>
        </w:tc>
        <w:tc>
          <w:tcPr>
            <w:tcW w:w="7268" w:type="dxa"/>
            <w:shd w:val="clear" w:color="auto" w:fill="FFFFFF"/>
            <w:vAlign w:val="center"/>
          </w:tcPr>
          <w:p>
            <w:pPr>
              <w:widowControl/>
              <w:ind w:firstLine="440"/>
              <w:jc w:val="center"/>
              <w:textAlignment w:val="center"/>
            </w:pPr>
            <w:r>
              <w:rPr>
                <w:rFonts w:hint="eastAsia" w:ascii="微软雅黑" w:hAnsi="微软雅黑" w:eastAsia="微软雅黑" w:cs="微软雅黑"/>
                <w:b/>
                <w:bCs/>
                <w:color w:val="000000"/>
                <w:kern w:val="0"/>
                <w:sz w:val="22"/>
                <w:szCs w:val="22"/>
                <w:lang w:bidi="ar"/>
              </w:rPr>
              <w:t>产品描述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restart"/>
            <w:shd w:val="clear" w:color="auto" w:fill="FFFFFF"/>
            <w:vAlign w:val="center"/>
          </w:tcPr>
          <w:p>
            <w:pPr>
              <w:pStyle w:val="8"/>
              <w:numPr>
                <w:ilvl w:val="4"/>
                <w:numId w:val="0"/>
              </w:numPr>
              <w:ind w:left="-1008" w:leftChars="-420"/>
              <w:jc w:val="right"/>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处方前置</w:t>
            </w:r>
          </w:p>
          <w:p>
            <w:pPr>
              <w:pStyle w:val="8"/>
              <w:numPr>
                <w:ilvl w:val="4"/>
                <w:numId w:val="0"/>
              </w:numPr>
              <w:ind w:left="-1008" w:leftChars="-420"/>
              <w:jc w:val="center"/>
            </w:pPr>
            <w:r>
              <w:rPr>
                <w:rFonts w:hint="eastAsia" w:ascii="微软雅黑" w:hAnsi="微软雅黑" w:eastAsia="微软雅黑" w:cs="微软雅黑"/>
                <w:b w:val="0"/>
                <w:bCs w:val="0"/>
                <w:color w:val="000000"/>
                <w:kern w:val="0"/>
                <w:sz w:val="20"/>
                <w:szCs w:val="20"/>
                <w:lang w:bidi="ar"/>
              </w:rPr>
              <w:t xml:space="preserve">      审核</w:t>
            </w:r>
          </w:p>
        </w:tc>
        <w:tc>
          <w:tcPr>
            <w:tcW w:w="2059" w:type="dxa"/>
            <w:vMerge w:val="restart"/>
            <w:shd w:val="clear" w:color="auto" w:fill="FFFFFF"/>
            <w:vAlign w:val="center"/>
          </w:tcPr>
          <w:p>
            <w:pPr>
              <w:pStyle w:val="8"/>
              <w:numPr>
                <w:ilvl w:val="4"/>
                <w:numId w:val="0"/>
              </w:numPr>
              <w:tabs>
                <w:tab w:val="center" w:pos="715"/>
              </w:tabs>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系统自定义设置模块</w:t>
            </w:r>
          </w:p>
        </w:tc>
        <w:tc>
          <w:tcPr>
            <w:tcW w:w="7268" w:type="dxa"/>
            <w:shd w:val="clear" w:color="auto" w:fill="FFFFFF"/>
          </w:tcPr>
          <w:p>
            <w:pPr>
              <w:spacing w:before="156" w:beforeLines="50" w:after="50"/>
              <w:ind w:firstLine="0" w:firstLineChars="0"/>
              <w:rPr>
                <w:rFonts w:ascii="微软雅黑" w:hAnsi="微软雅黑" w:eastAsia="PMingLiU" w:cs="微软雅黑"/>
                <w:color w:val="000000"/>
                <w:kern w:val="0"/>
                <w:sz w:val="20"/>
                <w:szCs w:val="20"/>
                <w:lang w:val="zh-TW" w:eastAsia="zh-TW" w:bidi="ar"/>
              </w:rPr>
            </w:pPr>
            <w:r>
              <w:rPr>
                <w:rFonts w:hint="eastAsia" w:ascii="微软雅黑" w:hAnsi="微软雅黑" w:eastAsia="微软雅黑" w:cs="微软雅黑"/>
                <w:kern w:val="0"/>
                <w:sz w:val="20"/>
                <w:szCs w:val="20"/>
                <w:lang w:val="zh-TW" w:bidi="ar"/>
              </w:rPr>
              <w:t>可自定义</w:t>
            </w:r>
            <w:r>
              <w:rPr>
                <w:rFonts w:hint="eastAsia" w:ascii="微软雅黑" w:hAnsi="微软雅黑" w:eastAsia="微软雅黑" w:cs="微软雅黑"/>
                <w:color w:val="000000"/>
                <w:kern w:val="0"/>
                <w:sz w:val="20"/>
                <w:szCs w:val="20"/>
                <w:lang w:val="zh-TW" w:eastAsia="zh-TW" w:bidi="ar"/>
              </w:rPr>
              <w:t>审方功能开关</w:t>
            </w:r>
          </w:p>
          <w:p>
            <w:pPr>
              <w:spacing w:before="156" w:beforeLines="50" w:after="50"/>
              <w:ind w:firstLine="0" w:firstLineChars="0"/>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kern w:val="0"/>
                <w:sz w:val="20"/>
                <w:szCs w:val="20"/>
                <w:lang w:val="zh-TW" w:eastAsia="zh-TW" w:bidi="ar"/>
              </w:rPr>
              <w:t>如</w:t>
            </w:r>
            <w:r>
              <w:rPr>
                <w:rFonts w:hint="eastAsia" w:ascii="微软雅黑" w:hAnsi="微软雅黑" w:eastAsia="微软雅黑" w:cs="微软雅黑"/>
                <w:color w:val="000000"/>
                <w:kern w:val="0"/>
                <w:sz w:val="20"/>
                <w:szCs w:val="20"/>
                <w:lang w:val="zh-TW" w:eastAsia="zh-TW" w:bidi="ar"/>
              </w:rPr>
              <w:t>：选择“系统设置”中启用审方，点击“设置”按钮保存。用于打开、关闭审方功能。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ind w:firstLine="480"/>
              <w:jc w:val="center"/>
            </w:pPr>
          </w:p>
        </w:tc>
        <w:tc>
          <w:tcPr>
            <w:tcW w:w="2059" w:type="dxa"/>
            <w:vMerge w:val="continue"/>
            <w:shd w:val="clear" w:color="auto" w:fill="FFFFFF"/>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shd w:val="clear" w:color="auto" w:fill="FFFFFF"/>
          </w:tcPr>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kern w:val="0"/>
                <w:sz w:val="20"/>
                <w:szCs w:val="20"/>
                <w:lang w:val="zh-TW" w:bidi="ar"/>
              </w:rPr>
              <w:t>可自定义</w:t>
            </w:r>
            <w:r>
              <w:rPr>
                <w:rFonts w:hint="eastAsia" w:ascii="微软雅黑" w:hAnsi="微软雅黑" w:eastAsia="微软雅黑" w:cs="微软雅黑"/>
                <w:color w:val="000000"/>
                <w:kern w:val="0"/>
                <w:sz w:val="20"/>
                <w:szCs w:val="20"/>
                <w:lang w:val="zh-TW" w:eastAsia="zh-TW" w:bidi="ar"/>
              </w:rPr>
              <w:t>启用全审方</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kern w:val="0"/>
                <w:sz w:val="20"/>
                <w:szCs w:val="20"/>
                <w:lang w:val="zh-TW" w:eastAsia="zh-TW" w:bidi="ar"/>
              </w:rPr>
              <w:t>如</w:t>
            </w:r>
            <w:r>
              <w:rPr>
                <w:rFonts w:hint="eastAsia" w:ascii="微软雅黑" w:hAnsi="微软雅黑" w:eastAsia="微软雅黑" w:cs="微软雅黑"/>
                <w:color w:val="000000"/>
                <w:kern w:val="0"/>
                <w:sz w:val="20"/>
                <w:szCs w:val="20"/>
                <w:lang w:val="zh-TW" w:eastAsia="zh-TW" w:bidi="ar"/>
              </w:rPr>
              <w:t>：在“系统设置”中，勾选/取消勾选 启用全审方，用于启用是否全部处方审核。当勾选，则所有全院所有处方都会进入审方中心由人工进行审核。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ind w:firstLine="480"/>
              <w:jc w:val="center"/>
            </w:pPr>
          </w:p>
        </w:tc>
        <w:tc>
          <w:tcPr>
            <w:tcW w:w="2059" w:type="dxa"/>
            <w:vMerge w:val="continue"/>
            <w:shd w:val="clear" w:color="auto" w:fill="FFFFFF"/>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shd w:val="clear" w:color="auto" w:fill="FFFFFF"/>
          </w:tcPr>
          <w:p>
            <w:pPr>
              <w:widowControl/>
              <w:ind w:firstLine="0" w:firstLineChars="0"/>
              <w:textAlignment w:val="center"/>
              <w:rPr>
                <w:rFonts w:ascii="微软雅黑" w:hAnsi="微软雅黑" w:eastAsia="微软雅黑" w:cs="微软雅黑"/>
                <w:kern w:val="0"/>
                <w:sz w:val="20"/>
                <w:szCs w:val="20"/>
                <w:lang w:val="zh-TW" w:eastAsia="zh-TW" w:bidi="ar"/>
              </w:rPr>
            </w:pPr>
            <w:r>
              <w:rPr>
                <w:rFonts w:hint="eastAsia" w:ascii="微软雅黑" w:hAnsi="微软雅黑" w:eastAsia="微软雅黑" w:cs="微软雅黑"/>
                <w:kern w:val="0"/>
                <w:sz w:val="20"/>
                <w:szCs w:val="20"/>
                <w:lang w:val="zh-TW" w:bidi="ar"/>
              </w:rPr>
              <w:t>可自定义</w:t>
            </w:r>
            <w:r>
              <w:rPr>
                <w:rFonts w:hint="eastAsia" w:ascii="微软雅黑" w:hAnsi="微软雅黑" w:eastAsia="微软雅黑" w:cs="微软雅黑"/>
                <w:kern w:val="0"/>
                <w:sz w:val="20"/>
                <w:szCs w:val="20"/>
                <w:lang w:val="zh-TW" w:eastAsia="zh-TW" w:bidi="ar"/>
              </w:rPr>
              <w:t>审方超时时间设置</w:t>
            </w:r>
          </w:p>
          <w:p>
            <w:pPr>
              <w:widowControl/>
              <w:ind w:firstLine="0" w:firstLineChars="0"/>
              <w:textAlignment w:val="center"/>
              <w:rPr>
                <w:rFonts w:hint="eastAsia" w:ascii="微软雅黑" w:hAnsi="微软雅黑" w:eastAsia="微软雅黑" w:cs="微软雅黑"/>
                <w:color w:val="000000"/>
                <w:kern w:val="0"/>
                <w:sz w:val="20"/>
                <w:szCs w:val="20"/>
                <w:lang w:val="zh-TW" w:eastAsia="zh-CN" w:bidi="ar"/>
              </w:rPr>
            </w:pPr>
            <w:r>
              <w:rPr>
                <w:rFonts w:hint="eastAsia" w:ascii="微软雅黑" w:hAnsi="微软雅黑" w:eastAsia="微软雅黑" w:cs="微软雅黑"/>
                <w:kern w:val="0"/>
                <w:sz w:val="20"/>
                <w:szCs w:val="20"/>
                <w:lang w:val="zh-TW" w:eastAsia="zh-TW" w:bidi="ar"/>
              </w:rPr>
              <w:t>如：在“系统设置”中填入审方超时时间，点击“设置”按钮保存。该超时时间为处方、医嘱提交之后，超时自动审核通过的时间。超时时间门诊、住院分别独立。在“</w:t>
            </w:r>
            <w:r>
              <w:rPr>
                <w:rFonts w:hint="eastAsia" w:ascii="微软雅黑" w:hAnsi="微软雅黑" w:eastAsia="微软雅黑" w:cs="微软雅黑"/>
                <w:color w:val="000000"/>
                <w:kern w:val="0"/>
                <w:sz w:val="20"/>
                <w:szCs w:val="20"/>
                <w:lang w:val="zh-TW" w:eastAsia="zh-TW" w:bidi="ar"/>
              </w:rPr>
              <w:t>系统设置”中填入处方锁定超时时间，点击“设置”按钮保存。该超时时间为打开处方、医嘱时，处方、医嘱进入锁定审核直至超时的时间</w:t>
            </w:r>
            <w:r>
              <w:rPr>
                <w:rFonts w:hint="eastAsia" w:ascii="微软雅黑" w:hAnsi="微软雅黑" w:eastAsia="微软雅黑" w:cs="微软雅黑"/>
                <w:color w:val="000000"/>
                <w:kern w:val="0"/>
                <w:sz w:val="20"/>
                <w:szCs w:val="20"/>
                <w:lang w:val="zh-TW" w:eastAsia="zh-CN" w:bidi="ar"/>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014" w:hRule="atLeast"/>
          <w:jc w:val="center"/>
        </w:trPr>
        <w:tc>
          <w:tcPr>
            <w:tcW w:w="900" w:type="dxa"/>
            <w:vMerge w:val="continue"/>
            <w:shd w:val="clear" w:color="auto" w:fill="FFFFFF"/>
            <w:vAlign w:val="center"/>
          </w:tcPr>
          <w:p>
            <w:pPr>
              <w:ind w:firstLine="480"/>
              <w:jc w:val="center"/>
            </w:pPr>
          </w:p>
        </w:tc>
        <w:tc>
          <w:tcPr>
            <w:tcW w:w="2059" w:type="dxa"/>
            <w:vMerge w:val="continue"/>
            <w:shd w:val="clear" w:color="auto" w:fill="FFFFFF"/>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shd w:val="clear" w:color="auto" w:fill="FFFFFF"/>
          </w:tcPr>
          <w:p>
            <w:pPr>
              <w:widowControl/>
              <w:ind w:firstLine="0" w:firstLineChars="0"/>
              <w:textAlignment w:val="center"/>
              <w:rPr>
                <w:rFonts w:ascii="微软雅黑" w:hAnsi="微软雅黑" w:eastAsia="微软雅黑" w:cs="微软雅黑"/>
                <w:kern w:val="0"/>
                <w:sz w:val="20"/>
                <w:szCs w:val="20"/>
                <w:lang w:val="zh-TW" w:eastAsia="zh-TW" w:bidi="ar"/>
              </w:rPr>
            </w:pPr>
            <w:r>
              <w:rPr>
                <w:rFonts w:hint="eastAsia" w:ascii="微软雅黑" w:hAnsi="微软雅黑" w:eastAsia="微软雅黑" w:cs="微软雅黑"/>
                <w:kern w:val="0"/>
                <w:sz w:val="20"/>
                <w:szCs w:val="20"/>
                <w:lang w:val="zh-TW" w:bidi="ar"/>
              </w:rPr>
              <w:t>可自定义</w:t>
            </w:r>
            <w:r>
              <w:rPr>
                <w:rFonts w:hint="eastAsia" w:ascii="微软雅黑" w:hAnsi="微软雅黑" w:eastAsia="微软雅黑" w:cs="微软雅黑"/>
                <w:kern w:val="0"/>
                <w:sz w:val="20"/>
                <w:szCs w:val="20"/>
                <w:lang w:val="zh-TW" w:eastAsia="zh-TW" w:bidi="ar"/>
              </w:rPr>
              <w:t>审方问题级别设置</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kern w:val="0"/>
                <w:sz w:val="20"/>
                <w:szCs w:val="20"/>
                <w:lang w:val="zh-TW" w:eastAsia="zh-TW" w:bidi="ar"/>
              </w:rPr>
              <w:t>如：在“</w:t>
            </w:r>
            <w:r>
              <w:rPr>
                <w:rFonts w:hint="eastAsia" w:ascii="微软雅黑" w:hAnsi="微软雅黑" w:eastAsia="微软雅黑" w:cs="微软雅黑"/>
                <w:color w:val="000000"/>
                <w:kern w:val="0"/>
                <w:sz w:val="20"/>
                <w:szCs w:val="20"/>
                <w:lang w:val="zh-TW" w:eastAsia="zh-TW" w:bidi="ar"/>
              </w:rPr>
              <w:t>系统设置”中，选择审方问题级别，点击“设置”按钮保存。用于设定门诊、住院的需要进入审方中心的问题级别。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ind w:firstLine="480"/>
              <w:jc w:val="center"/>
            </w:pPr>
          </w:p>
        </w:tc>
        <w:tc>
          <w:tcPr>
            <w:tcW w:w="2059" w:type="dxa"/>
            <w:vMerge w:val="continue"/>
            <w:shd w:val="clear" w:color="auto" w:fill="FFFFFF"/>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shd w:val="clear" w:color="auto" w:fill="FFFFFF"/>
          </w:tcPr>
          <w:p>
            <w:pPr>
              <w:widowControl/>
              <w:ind w:firstLine="0" w:firstLineChars="0"/>
              <w:textAlignment w:val="center"/>
              <w:rPr>
                <w:rFonts w:hint="eastAsia" w:ascii="微软雅黑" w:hAnsi="微软雅黑" w:eastAsia="微软雅黑" w:cs="微软雅黑"/>
                <w:kern w:val="0"/>
                <w:sz w:val="20"/>
                <w:szCs w:val="20"/>
                <w:lang w:val="zh-TW" w:eastAsia="zh-CN" w:bidi="ar"/>
              </w:rPr>
            </w:pPr>
            <w:r>
              <w:rPr>
                <w:rFonts w:hint="eastAsia" w:ascii="微软雅黑" w:hAnsi="微软雅黑" w:eastAsia="微软雅黑" w:cs="微软雅黑"/>
                <w:kern w:val="0"/>
                <w:sz w:val="20"/>
                <w:szCs w:val="20"/>
                <w:lang w:val="zh-TW" w:bidi="ar"/>
              </w:rPr>
              <w:t>可自定义</w:t>
            </w:r>
            <w:r>
              <w:rPr>
                <w:rFonts w:hint="eastAsia" w:ascii="微软雅黑" w:hAnsi="微软雅黑" w:eastAsia="微软雅黑" w:cs="微软雅黑"/>
                <w:kern w:val="0"/>
                <w:sz w:val="20"/>
                <w:szCs w:val="20"/>
                <w:lang w:val="zh-TW" w:eastAsia="zh-TW" w:bidi="ar"/>
              </w:rPr>
              <w:t>启用审方科室设置</w:t>
            </w:r>
          </w:p>
          <w:p>
            <w:pPr>
              <w:widowControl/>
              <w:ind w:firstLine="0" w:firstLineChars="0"/>
              <w:textAlignment w:val="center"/>
              <w:rPr>
                <w:rFonts w:ascii="微软雅黑" w:hAnsi="微软雅黑" w:eastAsia="微软雅黑" w:cs="微软雅黑"/>
                <w:color w:val="000000"/>
                <w:kern w:val="0"/>
                <w:sz w:val="20"/>
                <w:szCs w:val="20"/>
                <w:lang w:val="zh-TW" w:eastAsia="zh-TW" w:bidi="ar"/>
              </w:rPr>
            </w:pPr>
            <w:r>
              <w:rPr>
                <w:rFonts w:hint="eastAsia" w:ascii="微软雅黑" w:hAnsi="微软雅黑" w:eastAsia="微软雅黑" w:cs="微软雅黑"/>
                <w:kern w:val="0"/>
                <w:sz w:val="20"/>
                <w:szCs w:val="20"/>
                <w:lang w:val="zh-TW" w:eastAsia="zh-TW" w:bidi="ar"/>
              </w:rPr>
              <w:t>如：在</w:t>
            </w:r>
            <w:r>
              <w:rPr>
                <w:rFonts w:hint="eastAsia" w:ascii="微软雅黑" w:hAnsi="微软雅黑" w:eastAsia="微软雅黑" w:cs="微软雅黑"/>
                <w:color w:val="000000"/>
                <w:kern w:val="0"/>
                <w:sz w:val="20"/>
                <w:szCs w:val="20"/>
                <w:lang w:val="zh-TW" w:eastAsia="zh-TW" w:bidi="ar"/>
              </w:rPr>
              <w:t>“审方科室设置”区域，选择门诊、住院需要应用审方的科室，点击“设置”按钮保存。没有选择的科室将不会进入审方中心。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ind w:firstLine="480"/>
              <w:jc w:val="center"/>
            </w:pPr>
          </w:p>
        </w:tc>
        <w:tc>
          <w:tcPr>
            <w:tcW w:w="2059" w:type="dxa"/>
            <w:vMerge w:val="continue"/>
            <w:shd w:val="clear" w:color="auto" w:fill="FFFFFF"/>
            <w:vAlign w:val="center"/>
          </w:tcPr>
          <w:p>
            <w:pPr>
              <w:widowControl/>
              <w:ind w:firstLine="0" w:firstLineChars="0"/>
              <w:textAlignment w:val="center"/>
              <w:rPr>
                <w:rFonts w:ascii="微软雅黑" w:hAnsi="微软雅黑" w:eastAsia="微软雅黑" w:cs="微软雅黑"/>
                <w:color w:val="000000"/>
                <w:kern w:val="0"/>
                <w:sz w:val="20"/>
                <w:szCs w:val="20"/>
                <w:lang w:bidi="ar"/>
              </w:rPr>
            </w:pPr>
          </w:p>
        </w:tc>
        <w:tc>
          <w:tcPr>
            <w:tcW w:w="7268" w:type="dxa"/>
            <w:shd w:val="clear" w:color="auto" w:fill="FFFFFF"/>
          </w:tcPr>
          <w:p>
            <w:pPr>
              <w:widowControl/>
              <w:ind w:firstLine="0" w:firstLineChars="0"/>
              <w:textAlignment w:val="center"/>
              <w:rPr>
                <w:rFonts w:hint="eastAsia" w:ascii="微软雅黑" w:hAnsi="微软雅黑" w:eastAsia="微软雅黑" w:cs="微软雅黑"/>
                <w:color w:val="000000"/>
                <w:kern w:val="0"/>
                <w:sz w:val="20"/>
                <w:szCs w:val="20"/>
                <w:lang w:eastAsia="zh-CN" w:bidi="ar"/>
              </w:rPr>
            </w:pPr>
            <w:r>
              <w:rPr>
                <w:rFonts w:hint="eastAsia" w:ascii="微软雅黑" w:hAnsi="微软雅黑" w:eastAsia="微软雅黑" w:cs="微软雅黑"/>
                <w:color w:val="FF0000"/>
                <w:kern w:val="0"/>
                <w:sz w:val="20"/>
                <w:szCs w:val="20"/>
                <w:lang w:val="zh-TW" w:bidi="ar"/>
              </w:rPr>
              <w:t>可自定义</w:t>
            </w:r>
            <w:r>
              <w:rPr>
                <w:rFonts w:hint="eastAsia" w:ascii="微软雅黑" w:hAnsi="微软雅黑" w:eastAsia="微软雅黑" w:cs="微软雅黑"/>
                <w:color w:val="000000"/>
                <w:kern w:val="0"/>
                <w:sz w:val="20"/>
                <w:szCs w:val="20"/>
                <w:lang w:bidi="ar"/>
              </w:rPr>
              <w:t>药师分配审方科室开关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待审处方自动提醒</w:t>
            </w:r>
          </w:p>
          <w:p>
            <w:pPr>
              <w:ind w:firstLine="400"/>
              <w:rPr>
                <w:rFonts w:ascii="微软雅黑" w:hAnsi="微软雅黑" w:eastAsia="微软雅黑" w:cs="微软雅黑"/>
                <w:color w:val="000000"/>
                <w:kern w:val="0"/>
                <w:sz w:val="20"/>
                <w:szCs w:val="20"/>
                <w:lang w:bidi="ar"/>
              </w:rPr>
            </w:pP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如：当系统检测到有新的待审核处方时，系统会以气泡提示、声音提示的方式提醒药师有新的待审核处方。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处方审核</w:t>
            </w: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审方界面可查询“待处理处方”，查询结果列表中将显示所有待审核的处方及处方号、就诊号等模糊查询条件。</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可显示待审核处方列表。</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可显示处方的概要信息：就诊号、处方号、处理状态、上次审核人、剩余超时时间、提交时间、患者姓名、问题代码、问题标题、处方内容、科室、用药备注。</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每个处方自动倒计时功能。</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可显示处方是否急诊处方。</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可显示处方是否重审处方。</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可通过处方号、就诊号模糊搜索。</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处方按紧急、是否重审、处方时间排序。若该处方为打回重审，则该处方排序靠前，将优先被审核。</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处方超时则自动冻结该处方的审核操作。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处方审核倒计时</w:t>
            </w: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对每条待审核处方进行倒计时，超时的处方将自动审核通过。可显示超时剩余时间。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处方优先审核</w:t>
            </w: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可对急诊的处方、打回重新提交的处方将排序靠前，优先审核。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批量审核处方</w:t>
            </w: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可在待审核处方列表中多选处方，实现警示或打回操作。若打回，可输入审核意见。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rPr>
                <w:rFonts w:ascii="宋体" w:hAnsi="宋体"/>
                <w:b w:val="0"/>
                <w:bCs w:val="0"/>
                <w:color w:val="000000"/>
                <w:szCs w:val="24"/>
              </w:rPr>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审核意见预设置</w:t>
            </w: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可在审方界面中，输入审核意见，并进行意见删改。</w:t>
            </w:r>
            <w:r>
              <w:rPr>
                <w:rFonts w:ascii="微软雅黑" w:hAnsi="微软雅黑" w:eastAsia="微软雅黑" w:cs="微软雅黑"/>
                <w:color w:val="000000"/>
                <w:kern w:val="0"/>
                <w:sz w:val="20"/>
                <w:szCs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rPr>
                <w:rFonts w:ascii="宋体" w:hAnsi="宋体"/>
                <w:b w:val="0"/>
                <w:bCs w:val="0"/>
                <w:color w:val="000000"/>
                <w:szCs w:val="24"/>
              </w:rPr>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p>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处方锁定</w:t>
            </w:r>
          </w:p>
          <w:p>
            <w:pPr>
              <w:ind w:firstLine="400"/>
              <w:rPr>
                <w:rFonts w:ascii="微软雅黑" w:hAnsi="微软雅黑" w:eastAsia="微软雅黑" w:cs="微软雅黑"/>
                <w:color w:val="000000"/>
                <w:kern w:val="0"/>
                <w:sz w:val="20"/>
                <w:szCs w:val="20"/>
                <w:lang w:bidi="ar"/>
              </w:rPr>
            </w:pPr>
          </w:p>
        </w:tc>
        <w:tc>
          <w:tcPr>
            <w:tcW w:w="7268" w:type="dxa"/>
            <w:shd w:val="clear" w:color="auto" w:fill="FFFFFF"/>
          </w:tcPr>
          <w:p>
            <w:pPr>
              <w:spacing w:before="156" w:beforeLines="50" w:after="50"/>
              <w:ind w:left="240" w:firstLine="0" w:firstLineChars="0"/>
              <w:rPr>
                <w:rFonts w:hint="eastAsia" w:ascii="微软雅黑" w:hAnsi="微软雅黑" w:eastAsia="微软雅黑" w:cs="微软雅黑"/>
                <w:color w:val="000000"/>
                <w:kern w:val="0"/>
                <w:sz w:val="20"/>
                <w:szCs w:val="20"/>
                <w:lang w:eastAsia="zh-CN" w:bidi="ar"/>
              </w:rPr>
            </w:pPr>
            <w:r>
              <w:rPr>
                <w:rFonts w:hint="eastAsia" w:ascii="微软雅黑" w:hAnsi="微软雅黑" w:eastAsia="微软雅黑" w:cs="微软雅黑"/>
                <w:color w:val="000000"/>
                <w:kern w:val="0"/>
                <w:sz w:val="20"/>
                <w:szCs w:val="20"/>
                <w:lang w:bidi="ar"/>
              </w:rPr>
              <w:t>待审核处方可显示处方详情窗口</w:t>
            </w:r>
            <w:r>
              <w:rPr>
                <w:rFonts w:hint="eastAsia" w:ascii="微软雅黑" w:hAnsi="微软雅黑" w:eastAsia="微软雅黑" w:cs="微软雅黑"/>
                <w:color w:val="000000"/>
                <w:kern w:val="0"/>
                <w:sz w:val="20"/>
                <w:szCs w:val="20"/>
                <w:lang w:eastAsia="zh-CN" w:bidi="ar"/>
              </w:rPr>
              <w:t>。</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可自动锁定处方，其他药师打开该处方将显示“处方已被XXX锁定”，将已只读方式阅览处方，不能进行审方操作。</w:t>
            </w:r>
          </w:p>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可显示患者基本信息：门诊号、患者姓名、性别、年龄、出生日期、科室、医生、体重、身高、诊断信息、用药备注。</w:t>
            </w:r>
          </w:p>
          <w:p>
            <w:pPr>
              <w:spacing w:before="156" w:beforeLines="50" w:after="50"/>
              <w:ind w:left="240" w:firstLine="0" w:firstLineChars="0"/>
              <w:rPr>
                <w:rFonts w:hint="eastAsia" w:ascii="微软雅黑" w:hAnsi="微软雅黑" w:eastAsia="微软雅黑" w:cs="微软雅黑"/>
                <w:color w:val="000000"/>
                <w:kern w:val="0"/>
                <w:sz w:val="20"/>
                <w:szCs w:val="20"/>
                <w:lang w:eastAsia="zh-CN" w:bidi="ar"/>
              </w:rPr>
            </w:pPr>
            <w:r>
              <w:rPr>
                <w:rFonts w:hint="eastAsia" w:ascii="微软雅黑" w:hAnsi="微软雅黑" w:eastAsia="微软雅黑" w:cs="微软雅黑"/>
                <w:color w:val="000000"/>
                <w:kern w:val="0"/>
                <w:sz w:val="20"/>
                <w:szCs w:val="20"/>
                <w:lang w:bidi="ar"/>
              </w:rPr>
              <w:t>可显示处方详情：处方号、药品名称、规格、给药途径、单次用量、用药方法、服药天数、开处方医生工号、开处方医生、患者当前科室、用药组号、药品编码</w:t>
            </w:r>
            <w:r>
              <w:rPr>
                <w:rFonts w:hint="eastAsia" w:ascii="微软雅黑" w:hAnsi="微软雅黑" w:eastAsia="微软雅黑" w:cs="微软雅黑"/>
                <w:color w:val="000000"/>
                <w:kern w:val="0"/>
                <w:sz w:val="20"/>
                <w:szCs w:val="20"/>
                <w:lang w:eastAsia="zh-CN" w:bidi="ar"/>
              </w:rPr>
              <w:t>。</w:t>
            </w:r>
          </w:p>
          <w:p>
            <w:pPr>
              <w:spacing w:before="156" w:beforeLines="50" w:after="50"/>
              <w:ind w:left="240" w:firstLine="0" w:firstLineChars="0"/>
              <w:rPr>
                <w:rFonts w:hint="eastAsia" w:ascii="微软雅黑" w:hAnsi="微软雅黑" w:eastAsia="微软雅黑" w:cs="微软雅黑"/>
                <w:color w:val="000000"/>
                <w:kern w:val="0"/>
                <w:sz w:val="20"/>
                <w:szCs w:val="20"/>
                <w:lang w:eastAsia="zh-CN" w:bidi="ar"/>
              </w:rPr>
            </w:pPr>
            <w:r>
              <w:rPr>
                <w:rFonts w:hint="eastAsia" w:ascii="微软雅黑" w:hAnsi="微软雅黑" w:eastAsia="微软雅黑" w:cs="微软雅黑"/>
                <w:color w:val="000000"/>
                <w:kern w:val="0"/>
                <w:sz w:val="20"/>
                <w:szCs w:val="20"/>
                <w:lang w:bidi="ar"/>
              </w:rPr>
              <w:t>可双击药品名称查看药品说明书</w:t>
            </w:r>
            <w:r>
              <w:rPr>
                <w:rFonts w:hint="eastAsia" w:ascii="微软雅黑" w:hAnsi="微软雅黑" w:eastAsia="微软雅黑" w:cs="微软雅黑"/>
                <w:color w:val="000000"/>
                <w:kern w:val="0"/>
                <w:sz w:val="20"/>
                <w:szCs w:val="20"/>
                <w:lang w:eastAsia="zh-CN" w:bidi="ar"/>
              </w:rPr>
              <w:t>。</w:t>
            </w:r>
          </w:p>
          <w:p>
            <w:pPr>
              <w:spacing w:before="156" w:beforeLines="50" w:after="50"/>
              <w:ind w:left="240" w:firstLine="0" w:firstLineChars="0"/>
              <w:rPr>
                <w:rFonts w:hint="eastAsia" w:ascii="微软雅黑" w:hAnsi="微软雅黑" w:eastAsia="微软雅黑" w:cs="微软雅黑"/>
                <w:color w:val="000000"/>
                <w:kern w:val="0"/>
                <w:sz w:val="20"/>
                <w:szCs w:val="20"/>
                <w:lang w:eastAsia="zh-CN" w:bidi="ar"/>
              </w:rPr>
            </w:pPr>
            <w:r>
              <w:rPr>
                <w:rFonts w:hint="eastAsia" w:ascii="微软雅黑" w:hAnsi="微软雅黑" w:eastAsia="微软雅黑" w:cs="微软雅黑"/>
                <w:color w:val="000000"/>
                <w:kern w:val="0"/>
                <w:sz w:val="20"/>
                <w:szCs w:val="20"/>
                <w:lang w:bidi="ar"/>
              </w:rPr>
              <w:t>可显示处方问题详情：以树形结构显示处方中药品名称、药品分析问题</w:t>
            </w:r>
            <w:r>
              <w:rPr>
                <w:rFonts w:hint="eastAsia" w:ascii="微软雅黑" w:hAnsi="微软雅黑" w:eastAsia="微软雅黑" w:cs="微软雅黑"/>
                <w:color w:val="000000"/>
                <w:kern w:val="0"/>
                <w:sz w:val="20"/>
                <w:szCs w:val="20"/>
                <w:lang w:eastAsia="zh-CN" w:bidi="ar"/>
              </w:rPr>
              <w:t>。</w:t>
            </w:r>
          </w:p>
          <w:p>
            <w:pPr>
              <w:spacing w:before="156" w:beforeLines="50" w:after="50"/>
              <w:ind w:left="240" w:firstLine="0" w:firstLineChars="0"/>
              <w:rPr>
                <w:rFonts w:hint="eastAsia" w:ascii="微软雅黑" w:hAnsi="微软雅黑" w:eastAsia="微软雅黑" w:cs="微软雅黑"/>
                <w:color w:val="000000"/>
                <w:kern w:val="0"/>
                <w:sz w:val="20"/>
                <w:szCs w:val="20"/>
                <w:lang w:eastAsia="zh-CN" w:bidi="ar"/>
              </w:rPr>
            </w:pPr>
            <w:r>
              <w:rPr>
                <w:rFonts w:hint="eastAsia" w:ascii="微软雅黑" w:hAnsi="微软雅黑" w:eastAsia="微软雅黑" w:cs="微软雅黑"/>
                <w:color w:val="000000"/>
                <w:kern w:val="0"/>
                <w:sz w:val="20"/>
                <w:szCs w:val="20"/>
                <w:lang w:bidi="ar"/>
              </w:rPr>
              <w:t>可显示审核历史：列表显示处方的审核记录，类别、包括审核状态、处方详情、审核意见/医生备注、时间、更新人</w:t>
            </w:r>
            <w:r>
              <w:rPr>
                <w:rFonts w:hint="eastAsia" w:ascii="微软雅黑" w:hAnsi="微软雅黑" w:eastAsia="微软雅黑" w:cs="微软雅黑"/>
                <w:color w:val="000000"/>
                <w:kern w:val="0"/>
                <w:sz w:val="20"/>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900" w:type="dxa"/>
            <w:vMerge w:val="continue"/>
            <w:shd w:val="clear" w:color="auto" w:fill="FFFFFF"/>
            <w:vAlign w:val="center"/>
          </w:tcPr>
          <w:p>
            <w:pPr>
              <w:pStyle w:val="8"/>
              <w:numPr>
                <w:ilvl w:val="4"/>
                <w:numId w:val="0"/>
              </w:numPr>
              <w:tabs>
                <w:tab w:val="center" w:pos="371"/>
              </w:tabs>
              <w:ind w:left="-1008" w:leftChars="-420"/>
            </w:pPr>
          </w:p>
        </w:tc>
        <w:tc>
          <w:tcPr>
            <w:tcW w:w="2059" w:type="dxa"/>
            <w:shd w:val="clear" w:color="auto" w:fill="FFFFFF"/>
            <w:vAlign w:val="center"/>
          </w:tcPr>
          <w:p>
            <w:pPr>
              <w:pStyle w:val="8"/>
              <w:numPr>
                <w:ilvl w:val="4"/>
                <w:numId w:val="0"/>
              </w:numPr>
              <w:rPr>
                <w:rFonts w:ascii="微软雅黑" w:hAnsi="微软雅黑" w:eastAsia="微软雅黑" w:cs="微软雅黑"/>
                <w:b w:val="0"/>
                <w:bCs w:val="0"/>
                <w:color w:val="000000"/>
                <w:kern w:val="0"/>
                <w:sz w:val="20"/>
                <w:szCs w:val="20"/>
                <w:lang w:bidi="ar"/>
              </w:rPr>
            </w:pPr>
            <w:r>
              <w:rPr>
                <w:rFonts w:hint="eastAsia" w:ascii="微软雅黑" w:hAnsi="微软雅黑" w:eastAsia="微软雅黑" w:cs="微软雅黑"/>
                <w:b w:val="0"/>
                <w:bCs w:val="0"/>
                <w:color w:val="000000"/>
                <w:kern w:val="0"/>
                <w:sz w:val="20"/>
                <w:szCs w:val="20"/>
                <w:lang w:bidi="ar"/>
              </w:rPr>
              <w:t>审方上下班</w:t>
            </w:r>
          </w:p>
        </w:tc>
        <w:tc>
          <w:tcPr>
            <w:tcW w:w="7268" w:type="dxa"/>
            <w:shd w:val="clear" w:color="auto" w:fill="FFFFFF"/>
          </w:tcPr>
          <w:p>
            <w:pPr>
              <w:spacing w:before="156" w:beforeLines="50" w:after="50"/>
              <w:ind w:left="240" w:firstLine="0" w:firstLineChars="0"/>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对于暂时不需要审方的情况下，可 “停止审方”，此时，该药师分配的门诊科室将停止审方。处方将自动审核通过；若管理员登录，则所有门诊科室将停止审方。审方科室列表可显示当前分配的科室是否关闭审方的情况。若需要重新启动审方，可一键启用被分配的科室审方。</w:t>
            </w:r>
          </w:p>
        </w:tc>
      </w:tr>
    </w:tbl>
    <w:p>
      <w:pPr>
        <w:pStyle w:val="80"/>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pStyle w:val="18"/>
      <w:lvlText w:val="%1."/>
      <w:lvlJc w:val="left"/>
      <w:pPr>
        <w:tabs>
          <w:tab w:val="left" w:pos="1200"/>
        </w:tabs>
        <w:ind w:left="1200" w:hanging="360"/>
      </w:pPr>
    </w:lvl>
  </w:abstractNum>
  <w:abstractNum w:abstractNumId="1">
    <w:nsid w:val="0000001A"/>
    <w:multiLevelType w:val="singleLevel"/>
    <w:tmpl w:val="0000001A"/>
    <w:lvl w:ilvl="0" w:tentative="0">
      <w:start w:val="1"/>
      <w:numFmt w:val="bullet"/>
      <w:pStyle w:val="102"/>
      <w:lvlText w:val=""/>
      <w:lvlJc w:val="left"/>
      <w:pPr>
        <w:tabs>
          <w:tab w:val="left" w:pos="0"/>
        </w:tabs>
        <w:ind w:left="360" w:hanging="360"/>
      </w:pPr>
      <w:rPr>
        <w:rFonts w:hint="default" w:ascii="Symbol" w:hAnsi="Symbol"/>
        <w:color w:val="auto"/>
        <w:sz w:val="28"/>
      </w:rPr>
    </w:lvl>
  </w:abstractNum>
  <w:abstractNum w:abstractNumId="2">
    <w:nsid w:val="00000031"/>
    <w:multiLevelType w:val="singleLevel"/>
    <w:tmpl w:val="00000031"/>
    <w:lvl w:ilvl="0" w:tentative="0">
      <w:start w:val="1"/>
      <w:numFmt w:val="decimal"/>
      <w:pStyle w:val="103"/>
      <w:lvlText w:val="（%1）"/>
      <w:lvlJc w:val="left"/>
      <w:pPr>
        <w:tabs>
          <w:tab w:val="left" w:pos="953"/>
        </w:tabs>
        <w:ind w:left="953" w:hanging="528"/>
      </w:pPr>
      <w:rPr>
        <w:rFonts w:hint="eastAsia"/>
      </w:rPr>
    </w:lvl>
  </w:abstractNum>
  <w:abstractNum w:abstractNumId="3">
    <w:nsid w:val="019D2035"/>
    <w:multiLevelType w:val="multilevel"/>
    <w:tmpl w:val="019D2035"/>
    <w:lvl w:ilvl="0" w:tentative="0">
      <w:start w:val="1"/>
      <w:numFmt w:val="decimal"/>
      <w:pStyle w:val="4"/>
      <w:lvlText w:val="%1"/>
      <w:lvlJc w:val="left"/>
      <w:pPr>
        <w:ind w:left="43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abstractNum w:abstractNumId="4">
    <w:nsid w:val="060361D1"/>
    <w:multiLevelType w:val="multilevel"/>
    <w:tmpl w:val="060361D1"/>
    <w:lvl w:ilvl="0" w:tentative="0">
      <w:start w:val="1"/>
      <w:numFmt w:val="decimal"/>
      <w:pStyle w:val="87"/>
      <w:suff w:val="nothing"/>
      <w:lvlText w:val="第 %1 章"/>
      <w:lvlJc w:val="left"/>
      <w:pPr>
        <w:ind w:left="0" w:firstLine="0"/>
      </w:pPr>
      <w:rPr>
        <w:rFonts w:hint="eastAsia"/>
        <w:sz w:val="32"/>
        <w:szCs w:val="32"/>
      </w:rPr>
    </w:lvl>
    <w:lvl w:ilvl="1" w:tentative="0">
      <w:start w:val="1"/>
      <w:numFmt w:val="decimal"/>
      <w:pStyle w:val="88"/>
      <w:suff w:val="nothing"/>
      <w:lvlText w:val="%1.%2"/>
      <w:lvlJc w:val="left"/>
      <w:pPr>
        <w:ind w:left="0"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 w:val="30"/>
        <w:szCs w:val="30"/>
        <w:u w:val="none"/>
        <w:vertAlign w:val="baseline"/>
      </w:rPr>
    </w:lvl>
    <w:lvl w:ilvl="2" w:tentative="0">
      <w:start w:val="1"/>
      <w:numFmt w:val="decimal"/>
      <w:pStyle w:val="89"/>
      <w:suff w:val="nothing"/>
      <w:lvlText w:val="%1.%2.%3"/>
      <w:lvlJc w:val="left"/>
      <w:pPr>
        <w:ind w:left="0" w:firstLine="0"/>
      </w:pPr>
      <w:rPr>
        <w:rFonts w:hint="eastAsia"/>
        <w:sz w:val="28"/>
        <w:szCs w:val="28"/>
      </w:rPr>
    </w:lvl>
    <w:lvl w:ilvl="3" w:tentative="0">
      <w:start w:val="1"/>
      <w:numFmt w:val="decimal"/>
      <w:pStyle w:val="90"/>
      <w:suff w:val="nothing"/>
      <w:lvlText w:val="%1.%2.%3.%4"/>
      <w:lvlJc w:val="left"/>
      <w:pPr>
        <w:ind w:left="993"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D3B395B"/>
    <w:multiLevelType w:val="multilevel"/>
    <w:tmpl w:val="0D3B395B"/>
    <w:lvl w:ilvl="0" w:tentative="0">
      <w:start w:val="1"/>
      <w:numFmt w:val="bullet"/>
      <w:pStyle w:val="1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3740B8A"/>
    <w:multiLevelType w:val="multilevel"/>
    <w:tmpl w:val="43740B8A"/>
    <w:lvl w:ilvl="0" w:tentative="0">
      <w:start w:val="1"/>
      <w:numFmt w:val="chineseCountingThousand"/>
      <w:pStyle w:val="65"/>
      <w:suff w:val="space"/>
      <w:lvlText w:val="第%1章"/>
      <w:lvlJc w:val="left"/>
      <w:pPr>
        <w:ind w:left="0" w:firstLine="0"/>
      </w:pPr>
      <w:rPr>
        <w:rFonts w:hint="default" w:ascii="Times New Roman" w:hAnsi="Times New Roman" w:eastAsia="宋体"/>
        <w:b/>
        <w:i w:val="0"/>
        <w:sz w:val="36"/>
      </w:rPr>
    </w:lvl>
    <w:lvl w:ilvl="1" w:tentative="0">
      <w:start w:val="1"/>
      <w:numFmt w:val="decimal"/>
      <w:pStyle w:val="67"/>
      <w:isLgl/>
      <w:suff w:val="space"/>
      <w:lvlText w:val="%1.%2."/>
      <w:lvlJc w:val="left"/>
      <w:pPr>
        <w:ind w:left="0" w:firstLine="0"/>
      </w:pPr>
      <w:rPr>
        <w:rFonts w:hint="default" w:ascii="Times New Roman" w:hAnsi="Times New Roman" w:eastAsia="宋体"/>
        <w:b/>
        <w:i w:val="0"/>
        <w:sz w:val="28"/>
      </w:rPr>
    </w:lvl>
    <w:lvl w:ilvl="2" w:tentative="0">
      <w:start w:val="1"/>
      <w:numFmt w:val="decimal"/>
      <w:pStyle w:val="69"/>
      <w:isLgl/>
      <w:suff w:val="space"/>
      <w:lvlText w:val="%1.%2.%3."/>
      <w:lvlJc w:val="left"/>
      <w:pPr>
        <w:ind w:left="0" w:firstLine="0"/>
      </w:pPr>
      <w:rPr>
        <w:rFonts w:hint="default" w:ascii="Times New Roman" w:hAnsi="Times New Roman" w:eastAsia="宋体"/>
        <w:b/>
        <w:i w:val="0"/>
        <w:sz w:val="28"/>
      </w:rPr>
    </w:lvl>
    <w:lvl w:ilvl="3" w:tentative="0">
      <w:start w:val="1"/>
      <w:numFmt w:val="decimal"/>
      <w:pStyle w:val="70"/>
      <w:isLgl/>
      <w:suff w:val="space"/>
      <w:lvlText w:val="%1.%2.%3.%4."/>
      <w:lvlJc w:val="left"/>
      <w:pPr>
        <w:ind w:left="0" w:firstLine="0"/>
      </w:pPr>
      <w:rPr>
        <w:rFonts w:hint="default" w:ascii="Times New Roman" w:hAnsi="Times New Roman" w:eastAsia="宋体"/>
        <w:b/>
        <w:i w:val="0"/>
        <w:sz w:val="24"/>
      </w:rPr>
    </w:lvl>
    <w:lvl w:ilvl="4" w:tentative="0">
      <w:start w:val="1"/>
      <w:numFmt w:val="decimal"/>
      <w:pStyle w:val="73"/>
      <w:isLgl/>
      <w:suff w:val="space"/>
      <w:lvlText w:val="%1.%2.%3.%4.%5."/>
      <w:lvlJc w:val="left"/>
      <w:pPr>
        <w:ind w:left="0" w:firstLine="0"/>
      </w:pPr>
      <w:rPr>
        <w:rFonts w:hint="default" w:ascii="Times New Roman" w:hAnsi="Times New Roman" w:eastAsia="宋体"/>
        <w:b/>
        <w:i w:val="0"/>
        <w:sz w:val="24"/>
      </w:rPr>
    </w:lvl>
    <w:lvl w:ilvl="5" w:tentative="0">
      <w:start w:val="1"/>
      <w:numFmt w:val="decimal"/>
      <w:pStyle w:val="74"/>
      <w:isLgl/>
      <w:suff w:val="space"/>
      <w:lvlText w:val="%1.%2.%3.%4.%5.%6."/>
      <w:lvlJc w:val="left"/>
      <w:pPr>
        <w:ind w:left="0" w:firstLine="0"/>
      </w:pPr>
      <w:rPr>
        <w:rFonts w:hint="default" w:ascii="Times New Roman" w:hAnsi="Times New Roman" w:eastAsia="宋体"/>
        <w:b/>
        <w:i w:val="0"/>
        <w:sz w:val="24"/>
      </w:rPr>
    </w:lvl>
    <w:lvl w:ilvl="6" w:tentative="0">
      <w:start w:val="1"/>
      <w:numFmt w:val="decimal"/>
      <w:pStyle w:val="75"/>
      <w:isLgl/>
      <w:suff w:val="space"/>
      <w:lvlText w:val="%1.%2.%3.%4.%5.%6.%7."/>
      <w:lvlJc w:val="left"/>
      <w:pPr>
        <w:ind w:left="0" w:firstLine="0"/>
      </w:pPr>
      <w:rPr>
        <w:rFonts w:hint="default" w:ascii="Times New Roman" w:hAnsi="Times New Roman" w:eastAsia="宋体"/>
        <w:b/>
        <w:i w:val="0"/>
        <w:sz w:val="24"/>
      </w:rPr>
    </w:lvl>
    <w:lvl w:ilvl="7" w:tentative="0">
      <w:start w:val="1"/>
      <w:numFmt w:val="decimal"/>
      <w:pStyle w:val="76"/>
      <w:isLgl/>
      <w:suff w:val="space"/>
      <w:lvlText w:val="%1.%2.%3.%4.%5.%6.%7.%8."/>
      <w:lvlJc w:val="left"/>
      <w:pPr>
        <w:ind w:left="0" w:firstLine="0"/>
      </w:pPr>
      <w:rPr>
        <w:rFonts w:hint="default" w:ascii="Times New Roman" w:hAnsi="Times New Roman" w:eastAsia="宋体"/>
        <w:b/>
        <w:i w:val="0"/>
        <w:sz w:val="24"/>
      </w:rPr>
    </w:lvl>
    <w:lvl w:ilvl="8" w:tentative="0">
      <w:start w:val="1"/>
      <w:numFmt w:val="decimal"/>
      <w:pStyle w:val="77"/>
      <w:isLgl/>
      <w:suff w:val="space"/>
      <w:lvlText w:val="%1.%2.%3.%4.%5.%6.%7.%8.%9."/>
      <w:lvlJc w:val="left"/>
      <w:pPr>
        <w:ind w:left="0" w:firstLine="0"/>
      </w:pPr>
      <w:rPr>
        <w:rFonts w:hint="default" w:ascii="Times New Roman" w:hAnsi="Times New Roman" w:eastAsia="宋体"/>
        <w:b/>
        <w:i w:val="0"/>
        <w:sz w:val="24"/>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N2FlNGZmNzVjZjk0YTMwMDIyMzkzMTY2YmRiNDcifQ=="/>
  </w:docVars>
  <w:rsids>
    <w:rsidRoot w:val="00C22F2D"/>
    <w:rsid w:val="00017154"/>
    <w:rsid w:val="000260AF"/>
    <w:rsid w:val="00030E30"/>
    <w:rsid w:val="00031F8F"/>
    <w:rsid w:val="000465AD"/>
    <w:rsid w:val="00046D7D"/>
    <w:rsid w:val="00050BCD"/>
    <w:rsid w:val="00051288"/>
    <w:rsid w:val="000730AB"/>
    <w:rsid w:val="00077B62"/>
    <w:rsid w:val="000811C2"/>
    <w:rsid w:val="00081C5E"/>
    <w:rsid w:val="00085418"/>
    <w:rsid w:val="00091FB1"/>
    <w:rsid w:val="000970FF"/>
    <w:rsid w:val="000A3650"/>
    <w:rsid w:val="000B115D"/>
    <w:rsid w:val="000B4106"/>
    <w:rsid w:val="000C011D"/>
    <w:rsid w:val="000C2E9B"/>
    <w:rsid w:val="000C476E"/>
    <w:rsid w:val="000D5C12"/>
    <w:rsid w:val="000F17D2"/>
    <w:rsid w:val="000F360C"/>
    <w:rsid w:val="0010744D"/>
    <w:rsid w:val="00107B58"/>
    <w:rsid w:val="00111A34"/>
    <w:rsid w:val="00116D6A"/>
    <w:rsid w:val="00121160"/>
    <w:rsid w:val="00127FC9"/>
    <w:rsid w:val="00136761"/>
    <w:rsid w:val="001448E0"/>
    <w:rsid w:val="0014499B"/>
    <w:rsid w:val="001673D1"/>
    <w:rsid w:val="00175AE7"/>
    <w:rsid w:val="00177ECB"/>
    <w:rsid w:val="00180413"/>
    <w:rsid w:val="0019009E"/>
    <w:rsid w:val="00192606"/>
    <w:rsid w:val="00192BEE"/>
    <w:rsid w:val="00196F3F"/>
    <w:rsid w:val="00197F31"/>
    <w:rsid w:val="001A12C0"/>
    <w:rsid w:val="001A34E7"/>
    <w:rsid w:val="001A5A84"/>
    <w:rsid w:val="001B48A5"/>
    <w:rsid w:val="001B56B6"/>
    <w:rsid w:val="001B6F0F"/>
    <w:rsid w:val="001C1308"/>
    <w:rsid w:val="001C6056"/>
    <w:rsid w:val="001C6329"/>
    <w:rsid w:val="001C79FF"/>
    <w:rsid w:val="001D5C99"/>
    <w:rsid w:val="001D75FE"/>
    <w:rsid w:val="001E03C6"/>
    <w:rsid w:val="001E5047"/>
    <w:rsid w:val="001E50A5"/>
    <w:rsid w:val="001E6C80"/>
    <w:rsid w:val="001E7D3B"/>
    <w:rsid w:val="001F5FFD"/>
    <w:rsid w:val="001F61D6"/>
    <w:rsid w:val="002042F0"/>
    <w:rsid w:val="002131BD"/>
    <w:rsid w:val="00213E49"/>
    <w:rsid w:val="002166A1"/>
    <w:rsid w:val="00220B5E"/>
    <w:rsid w:val="002410F4"/>
    <w:rsid w:val="00245673"/>
    <w:rsid w:val="00251B82"/>
    <w:rsid w:val="002662EE"/>
    <w:rsid w:val="00272DA2"/>
    <w:rsid w:val="00282507"/>
    <w:rsid w:val="00292F3F"/>
    <w:rsid w:val="00295542"/>
    <w:rsid w:val="00297B25"/>
    <w:rsid w:val="002A6321"/>
    <w:rsid w:val="002A6DA6"/>
    <w:rsid w:val="002B03E4"/>
    <w:rsid w:val="002B4239"/>
    <w:rsid w:val="002B5A3D"/>
    <w:rsid w:val="002B6FD6"/>
    <w:rsid w:val="002C40D4"/>
    <w:rsid w:val="002D47CB"/>
    <w:rsid w:val="002D60A1"/>
    <w:rsid w:val="002E19F7"/>
    <w:rsid w:val="002F5883"/>
    <w:rsid w:val="002F6230"/>
    <w:rsid w:val="002F6717"/>
    <w:rsid w:val="00304E93"/>
    <w:rsid w:val="003151A7"/>
    <w:rsid w:val="00325139"/>
    <w:rsid w:val="00337039"/>
    <w:rsid w:val="00340F1B"/>
    <w:rsid w:val="00347F2D"/>
    <w:rsid w:val="003528E3"/>
    <w:rsid w:val="003538C0"/>
    <w:rsid w:val="00355AA9"/>
    <w:rsid w:val="00360B23"/>
    <w:rsid w:val="003610E5"/>
    <w:rsid w:val="00362E8A"/>
    <w:rsid w:val="00371103"/>
    <w:rsid w:val="00377D3B"/>
    <w:rsid w:val="00385BA9"/>
    <w:rsid w:val="00390FE2"/>
    <w:rsid w:val="0039131A"/>
    <w:rsid w:val="003A0F24"/>
    <w:rsid w:val="003B15E5"/>
    <w:rsid w:val="003D06ED"/>
    <w:rsid w:val="003D187C"/>
    <w:rsid w:val="003D5A85"/>
    <w:rsid w:val="003E56EF"/>
    <w:rsid w:val="003F1D22"/>
    <w:rsid w:val="003F5D52"/>
    <w:rsid w:val="00402819"/>
    <w:rsid w:val="0040323F"/>
    <w:rsid w:val="004129BF"/>
    <w:rsid w:val="00412FB0"/>
    <w:rsid w:val="00415587"/>
    <w:rsid w:val="00417F81"/>
    <w:rsid w:val="00424195"/>
    <w:rsid w:val="0043058F"/>
    <w:rsid w:val="00433CEF"/>
    <w:rsid w:val="004471B4"/>
    <w:rsid w:val="00447813"/>
    <w:rsid w:val="0045095C"/>
    <w:rsid w:val="00455765"/>
    <w:rsid w:val="004656A9"/>
    <w:rsid w:val="00467B42"/>
    <w:rsid w:val="00474821"/>
    <w:rsid w:val="00480157"/>
    <w:rsid w:val="00485AD4"/>
    <w:rsid w:val="00486C21"/>
    <w:rsid w:val="00487B0A"/>
    <w:rsid w:val="0049152A"/>
    <w:rsid w:val="004A0895"/>
    <w:rsid w:val="004A4FCD"/>
    <w:rsid w:val="004B74D1"/>
    <w:rsid w:val="004B7911"/>
    <w:rsid w:val="004C2AE2"/>
    <w:rsid w:val="004C4852"/>
    <w:rsid w:val="004C5BD9"/>
    <w:rsid w:val="004C7A88"/>
    <w:rsid w:val="004D149D"/>
    <w:rsid w:val="004D303D"/>
    <w:rsid w:val="004D363B"/>
    <w:rsid w:val="004D392B"/>
    <w:rsid w:val="004F539C"/>
    <w:rsid w:val="005136F4"/>
    <w:rsid w:val="00514C72"/>
    <w:rsid w:val="00516FEF"/>
    <w:rsid w:val="005178A2"/>
    <w:rsid w:val="00517E42"/>
    <w:rsid w:val="0052729D"/>
    <w:rsid w:val="005273A0"/>
    <w:rsid w:val="005274EF"/>
    <w:rsid w:val="0053105F"/>
    <w:rsid w:val="0053424B"/>
    <w:rsid w:val="0053509D"/>
    <w:rsid w:val="00535F70"/>
    <w:rsid w:val="00546D4F"/>
    <w:rsid w:val="00563209"/>
    <w:rsid w:val="00571C88"/>
    <w:rsid w:val="005726D1"/>
    <w:rsid w:val="00576E73"/>
    <w:rsid w:val="00583C86"/>
    <w:rsid w:val="0058557D"/>
    <w:rsid w:val="005A5E39"/>
    <w:rsid w:val="005B176E"/>
    <w:rsid w:val="005B3B74"/>
    <w:rsid w:val="005C025B"/>
    <w:rsid w:val="005C3735"/>
    <w:rsid w:val="005D06AA"/>
    <w:rsid w:val="005D6B83"/>
    <w:rsid w:val="005F3F0C"/>
    <w:rsid w:val="00603CC3"/>
    <w:rsid w:val="00605D39"/>
    <w:rsid w:val="00617167"/>
    <w:rsid w:val="00630C2A"/>
    <w:rsid w:val="00631F78"/>
    <w:rsid w:val="0063352A"/>
    <w:rsid w:val="00634D91"/>
    <w:rsid w:val="00647AE9"/>
    <w:rsid w:val="00651BE8"/>
    <w:rsid w:val="00651C5F"/>
    <w:rsid w:val="00654718"/>
    <w:rsid w:val="00660DF8"/>
    <w:rsid w:val="00664C15"/>
    <w:rsid w:val="00673C99"/>
    <w:rsid w:val="00673FF9"/>
    <w:rsid w:val="00680DC1"/>
    <w:rsid w:val="00681CAE"/>
    <w:rsid w:val="00693554"/>
    <w:rsid w:val="00696C32"/>
    <w:rsid w:val="006A0B28"/>
    <w:rsid w:val="006A1DFF"/>
    <w:rsid w:val="006A42F2"/>
    <w:rsid w:val="006A522F"/>
    <w:rsid w:val="006B0F61"/>
    <w:rsid w:val="006B4083"/>
    <w:rsid w:val="006D05FC"/>
    <w:rsid w:val="006D7A32"/>
    <w:rsid w:val="006F20D6"/>
    <w:rsid w:val="006F32C9"/>
    <w:rsid w:val="0070187D"/>
    <w:rsid w:val="00705247"/>
    <w:rsid w:val="00711ED2"/>
    <w:rsid w:val="00715E12"/>
    <w:rsid w:val="00716BAA"/>
    <w:rsid w:val="0073049E"/>
    <w:rsid w:val="00733E02"/>
    <w:rsid w:val="007431B1"/>
    <w:rsid w:val="00746CC4"/>
    <w:rsid w:val="00772964"/>
    <w:rsid w:val="00773AAF"/>
    <w:rsid w:val="007772F0"/>
    <w:rsid w:val="007849A3"/>
    <w:rsid w:val="00785246"/>
    <w:rsid w:val="007945AB"/>
    <w:rsid w:val="0079791E"/>
    <w:rsid w:val="007A1593"/>
    <w:rsid w:val="007A530D"/>
    <w:rsid w:val="007B01FB"/>
    <w:rsid w:val="007B4ABA"/>
    <w:rsid w:val="007B4E1A"/>
    <w:rsid w:val="007C081F"/>
    <w:rsid w:val="007C1461"/>
    <w:rsid w:val="007C53A0"/>
    <w:rsid w:val="007C59D7"/>
    <w:rsid w:val="007C73E8"/>
    <w:rsid w:val="007C75DA"/>
    <w:rsid w:val="007D31C5"/>
    <w:rsid w:val="007D6156"/>
    <w:rsid w:val="007E1597"/>
    <w:rsid w:val="007E1F17"/>
    <w:rsid w:val="007E3350"/>
    <w:rsid w:val="007E742E"/>
    <w:rsid w:val="007F3ECF"/>
    <w:rsid w:val="00800474"/>
    <w:rsid w:val="008034F3"/>
    <w:rsid w:val="0080789E"/>
    <w:rsid w:val="00811B80"/>
    <w:rsid w:val="00814AED"/>
    <w:rsid w:val="00821745"/>
    <w:rsid w:val="008400DF"/>
    <w:rsid w:val="008421B2"/>
    <w:rsid w:val="00851106"/>
    <w:rsid w:val="00851239"/>
    <w:rsid w:val="00854BCD"/>
    <w:rsid w:val="008568D5"/>
    <w:rsid w:val="008579AE"/>
    <w:rsid w:val="0086271B"/>
    <w:rsid w:val="00864D10"/>
    <w:rsid w:val="00871122"/>
    <w:rsid w:val="00875D08"/>
    <w:rsid w:val="00882C86"/>
    <w:rsid w:val="00892BE7"/>
    <w:rsid w:val="008931D6"/>
    <w:rsid w:val="00893E08"/>
    <w:rsid w:val="00894070"/>
    <w:rsid w:val="008954AD"/>
    <w:rsid w:val="008A527B"/>
    <w:rsid w:val="008A6C06"/>
    <w:rsid w:val="008A71CF"/>
    <w:rsid w:val="008C0B4B"/>
    <w:rsid w:val="008C2B3E"/>
    <w:rsid w:val="008D15BF"/>
    <w:rsid w:val="008E4AE5"/>
    <w:rsid w:val="008F0BB8"/>
    <w:rsid w:val="008F14A0"/>
    <w:rsid w:val="008F4535"/>
    <w:rsid w:val="008F6F4D"/>
    <w:rsid w:val="009018FE"/>
    <w:rsid w:val="009030FE"/>
    <w:rsid w:val="0090427E"/>
    <w:rsid w:val="0090729D"/>
    <w:rsid w:val="00910EB8"/>
    <w:rsid w:val="00922024"/>
    <w:rsid w:val="009266C8"/>
    <w:rsid w:val="009267F1"/>
    <w:rsid w:val="00927431"/>
    <w:rsid w:val="009530CE"/>
    <w:rsid w:val="009532E2"/>
    <w:rsid w:val="009560AC"/>
    <w:rsid w:val="009643C0"/>
    <w:rsid w:val="00964444"/>
    <w:rsid w:val="00971465"/>
    <w:rsid w:val="00972A88"/>
    <w:rsid w:val="00974445"/>
    <w:rsid w:val="009816C2"/>
    <w:rsid w:val="00981848"/>
    <w:rsid w:val="0098548A"/>
    <w:rsid w:val="009A41D2"/>
    <w:rsid w:val="009B052F"/>
    <w:rsid w:val="009B34F0"/>
    <w:rsid w:val="009B35CC"/>
    <w:rsid w:val="009B464F"/>
    <w:rsid w:val="009C2972"/>
    <w:rsid w:val="009C732D"/>
    <w:rsid w:val="009D11D2"/>
    <w:rsid w:val="009D7D2F"/>
    <w:rsid w:val="009E3086"/>
    <w:rsid w:val="009E7186"/>
    <w:rsid w:val="009E7325"/>
    <w:rsid w:val="009E79E8"/>
    <w:rsid w:val="009F31B0"/>
    <w:rsid w:val="009F5331"/>
    <w:rsid w:val="009F5CEB"/>
    <w:rsid w:val="00A0132B"/>
    <w:rsid w:val="00A03257"/>
    <w:rsid w:val="00A03C69"/>
    <w:rsid w:val="00A129F3"/>
    <w:rsid w:val="00A12F7E"/>
    <w:rsid w:val="00A14208"/>
    <w:rsid w:val="00A210B6"/>
    <w:rsid w:val="00A30459"/>
    <w:rsid w:val="00A321FA"/>
    <w:rsid w:val="00A4309E"/>
    <w:rsid w:val="00A43865"/>
    <w:rsid w:val="00A47705"/>
    <w:rsid w:val="00A60175"/>
    <w:rsid w:val="00A60B36"/>
    <w:rsid w:val="00A63FEC"/>
    <w:rsid w:val="00A6655D"/>
    <w:rsid w:val="00A723E1"/>
    <w:rsid w:val="00A7351F"/>
    <w:rsid w:val="00A80458"/>
    <w:rsid w:val="00A80585"/>
    <w:rsid w:val="00A955B1"/>
    <w:rsid w:val="00A95843"/>
    <w:rsid w:val="00AA3106"/>
    <w:rsid w:val="00AA52F2"/>
    <w:rsid w:val="00AB7CB9"/>
    <w:rsid w:val="00AC1A7B"/>
    <w:rsid w:val="00AC26C5"/>
    <w:rsid w:val="00AD0342"/>
    <w:rsid w:val="00AD5A6D"/>
    <w:rsid w:val="00AF010A"/>
    <w:rsid w:val="00AF0C41"/>
    <w:rsid w:val="00B00072"/>
    <w:rsid w:val="00B01997"/>
    <w:rsid w:val="00B03F60"/>
    <w:rsid w:val="00B04566"/>
    <w:rsid w:val="00B10494"/>
    <w:rsid w:val="00B10CF0"/>
    <w:rsid w:val="00B16638"/>
    <w:rsid w:val="00B25B1C"/>
    <w:rsid w:val="00B35B1C"/>
    <w:rsid w:val="00B368AE"/>
    <w:rsid w:val="00B50870"/>
    <w:rsid w:val="00B50AFB"/>
    <w:rsid w:val="00B52E9E"/>
    <w:rsid w:val="00B54443"/>
    <w:rsid w:val="00B56572"/>
    <w:rsid w:val="00B60CB1"/>
    <w:rsid w:val="00B670B3"/>
    <w:rsid w:val="00B72984"/>
    <w:rsid w:val="00B73D29"/>
    <w:rsid w:val="00B86D2E"/>
    <w:rsid w:val="00B870C6"/>
    <w:rsid w:val="00B87529"/>
    <w:rsid w:val="00B97489"/>
    <w:rsid w:val="00B97609"/>
    <w:rsid w:val="00BB34C6"/>
    <w:rsid w:val="00BC39E8"/>
    <w:rsid w:val="00BD0F97"/>
    <w:rsid w:val="00BD1E80"/>
    <w:rsid w:val="00BD2AAD"/>
    <w:rsid w:val="00BD6ACE"/>
    <w:rsid w:val="00BE6304"/>
    <w:rsid w:val="00BF0F4D"/>
    <w:rsid w:val="00BF7202"/>
    <w:rsid w:val="00BF79F4"/>
    <w:rsid w:val="00C20938"/>
    <w:rsid w:val="00C22F2D"/>
    <w:rsid w:val="00C44755"/>
    <w:rsid w:val="00C54278"/>
    <w:rsid w:val="00C577A9"/>
    <w:rsid w:val="00C70FEC"/>
    <w:rsid w:val="00C7353F"/>
    <w:rsid w:val="00C77D76"/>
    <w:rsid w:val="00C77F0D"/>
    <w:rsid w:val="00C8087D"/>
    <w:rsid w:val="00C93B6B"/>
    <w:rsid w:val="00CA0BA0"/>
    <w:rsid w:val="00CA4DAD"/>
    <w:rsid w:val="00CA63A4"/>
    <w:rsid w:val="00CA6E9A"/>
    <w:rsid w:val="00CB0A09"/>
    <w:rsid w:val="00CB50CF"/>
    <w:rsid w:val="00CB5E61"/>
    <w:rsid w:val="00CB777F"/>
    <w:rsid w:val="00CC364F"/>
    <w:rsid w:val="00CC414E"/>
    <w:rsid w:val="00CC4D2B"/>
    <w:rsid w:val="00CD0CB9"/>
    <w:rsid w:val="00CE15E7"/>
    <w:rsid w:val="00CE1F6F"/>
    <w:rsid w:val="00CF08D6"/>
    <w:rsid w:val="00CF5210"/>
    <w:rsid w:val="00CF64A7"/>
    <w:rsid w:val="00CF7062"/>
    <w:rsid w:val="00D04974"/>
    <w:rsid w:val="00D136A0"/>
    <w:rsid w:val="00D14434"/>
    <w:rsid w:val="00D223B0"/>
    <w:rsid w:val="00D233E0"/>
    <w:rsid w:val="00D26666"/>
    <w:rsid w:val="00D3406F"/>
    <w:rsid w:val="00D35948"/>
    <w:rsid w:val="00D37F0B"/>
    <w:rsid w:val="00D47F4A"/>
    <w:rsid w:val="00D541BA"/>
    <w:rsid w:val="00D668A2"/>
    <w:rsid w:val="00D72EA1"/>
    <w:rsid w:val="00D73710"/>
    <w:rsid w:val="00D90B5E"/>
    <w:rsid w:val="00D9510D"/>
    <w:rsid w:val="00D96E73"/>
    <w:rsid w:val="00DA0E1F"/>
    <w:rsid w:val="00DA4942"/>
    <w:rsid w:val="00DA4FA1"/>
    <w:rsid w:val="00DA5C4A"/>
    <w:rsid w:val="00DB0C20"/>
    <w:rsid w:val="00DC56A8"/>
    <w:rsid w:val="00DC692C"/>
    <w:rsid w:val="00DD1A37"/>
    <w:rsid w:val="00DD3461"/>
    <w:rsid w:val="00DD3B1D"/>
    <w:rsid w:val="00DD4F15"/>
    <w:rsid w:val="00DD7422"/>
    <w:rsid w:val="00DE4FCA"/>
    <w:rsid w:val="00DF2800"/>
    <w:rsid w:val="00DF5D82"/>
    <w:rsid w:val="00E03B18"/>
    <w:rsid w:val="00E059ED"/>
    <w:rsid w:val="00E05C20"/>
    <w:rsid w:val="00E100F8"/>
    <w:rsid w:val="00E10766"/>
    <w:rsid w:val="00E131AD"/>
    <w:rsid w:val="00E22C40"/>
    <w:rsid w:val="00E3353B"/>
    <w:rsid w:val="00E336ED"/>
    <w:rsid w:val="00E340A3"/>
    <w:rsid w:val="00E364E3"/>
    <w:rsid w:val="00E378A3"/>
    <w:rsid w:val="00E4532B"/>
    <w:rsid w:val="00E478C1"/>
    <w:rsid w:val="00E5598B"/>
    <w:rsid w:val="00E6269B"/>
    <w:rsid w:val="00E653F8"/>
    <w:rsid w:val="00E75D47"/>
    <w:rsid w:val="00E75D64"/>
    <w:rsid w:val="00E770A1"/>
    <w:rsid w:val="00E8410B"/>
    <w:rsid w:val="00E861C3"/>
    <w:rsid w:val="00E94859"/>
    <w:rsid w:val="00EA17BC"/>
    <w:rsid w:val="00EA621C"/>
    <w:rsid w:val="00EB73F4"/>
    <w:rsid w:val="00ED4ABC"/>
    <w:rsid w:val="00EE273B"/>
    <w:rsid w:val="00EE51DF"/>
    <w:rsid w:val="00EF3A27"/>
    <w:rsid w:val="00EF5D1C"/>
    <w:rsid w:val="00F01E51"/>
    <w:rsid w:val="00F050EE"/>
    <w:rsid w:val="00F13558"/>
    <w:rsid w:val="00F1756A"/>
    <w:rsid w:val="00F17603"/>
    <w:rsid w:val="00F22EB0"/>
    <w:rsid w:val="00F23074"/>
    <w:rsid w:val="00F33253"/>
    <w:rsid w:val="00F53337"/>
    <w:rsid w:val="00F81FC6"/>
    <w:rsid w:val="00F83B4C"/>
    <w:rsid w:val="00F87871"/>
    <w:rsid w:val="00F965B3"/>
    <w:rsid w:val="00F96C3E"/>
    <w:rsid w:val="00FA7234"/>
    <w:rsid w:val="00FA7ADB"/>
    <w:rsid w:val="00FB1256"/>
    <w:rsid w:val="00FB149F"/>
    <w:rsid w:val="00FB419B"/>
    <w:rsid w:val="00FC612D"/>
    <w:rsid w:val="00FC7D01"/>
    <w:rsid w:val="00FD605C"/>
    <w:rsid w:val="00FE07C5"/>
    <w:rsid w:val="00FE0EFB"/>
    <w:rsid w:val="00FF4064"/>
    <w:rsid w:val="00FF4427"/>
    <w:rsid w:val="01137C69"/>
    <w:rsid w:val="03B978B9"/>
    <w:rsid w:val="03BC236C"/>
    <w:rsid w:val="04AF5A4A"/>
    <w:rsid w:val="07B8435E"/>
    <w:rsid w:val="08D07957"/>
    <w:rsid w:val="09705EE7"/>
    <w:rsid w:val="0F5266D6"/>
    <w:rsid w:val="13E64BE3"/>
    <w:rsid w:val="21FC0452"/>
    <w:rsid w:val="24E82612"/>
    <w:rsid w:val="288A682F"/>
    <w:rsid w:val="2ACA518C"/>
    <w:rsid w:val="2D216690"/>
    <w:rsid w:val="2F1114B1"/>
    <w:rsid w:val="30071D11"/>
    <w:rsid w:val="30897180"/>
    <w:rsid w:val="39D51794"/>
    <w:rsid w:val="3C8C7385"/>
    <w:rsid w:val="3E6E73FF"/>
    <w:rsid w:val="43BA30D1"/>
    <w:rsid w:val="45176882"/>
    <w:rsid w:val="4BD563E2"/>
    <w:rsid w:val="57580C16"/>
    <w:rsid w:val="5EEB679E"/>
    <w:rsid w:val="61D01DD2"/>
    <w:rsid w:val="620951C9"/>
    <w:rsid w:val="673540F9"/>
    <w:rsid w:val="6BDB068A"/>
    <w:rsid w:val="6C473517"/>
    <w:rsid w:val="760B066E"/>
    <w:rsid w:val="79E072C6"/>
    <w:rsid w:val="7EBC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0"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7"/>
    <w:qFormat/>
    <w:uiPriority w:val="0"/>
    <w:pPr>
      <w:keepNext/>
      <w:keepLines/>
      <w:numPr>
        <w:ilvl w:val="0"/>
        <w:numId w:val="1"/>
      </w:numPr>
      <w:spacing w:before="100" w:after="100"/>
      <w:ind w:firstLine="0" w:firstLineChars="0"/>
      <w:jc w:val="left"/>
      <w:outlineLvl w:val="0"/>
    </w:pPr>
    <w:rPr>
      <w:b/>
      <w:bCs/>
      <w:kern w:val="44"/>
      <w:sz w:val="28"/>
      <w:szCs w:val="44"/>
    </w:rPr>
  </w:style>
  <w:style w:type="paragraph" w:styleId="5">
    <w:name w:val="heading 2"/>
    <w:basedOn w:val="1"/>
    <w:next w:val="1"/>
    <w:link w:val="48"/>
    <w:unhideWhenUsed/>
    <w:qFormat/>
    <w:uiPriority w:val="0"/>
    <w:pPr>
      <w:keepNext/>
      <w:keepLines/>
      <w:numPr>
        <w:ilvl w:val="1"/>
        <w:numId w:val="1"/>
      </w:numPr>
      <w:spacing w:before="100" w:after="100"/>
      <w:ind w:left="0" w:firstLine="0" w:firstLineChars="0"/>
      <w:jc w:val="left"/>
      <w:outlineLvl w:val="1"/>
    </w:pPr>
    <w:rPr>
      <w:rFonts w:asciiTheme="majorHAnsi" w:hAnsiTheme="majorHAnsi" w:eastAsiaTheme="majorEastAsia" w:cstheme="majorBidi"/>
      <w:b/>
      <w:bCs/>
      <w:sz w:val="28"/>
      <w:szCs w:val="32"/>
    </w:rPr>
  </w:style>
  <w:style w:type="paragraph" w:styleId="6">
    <w:name w:val="heading 3"/>
    <w:basedOn w:val="1"/>
    <w:next w:val="1"/>
    <w:link w:val="54"/>
    <w:unhideWhenUsed/>
    <w:qFormat/>
    <w:uiPriority w:val="0"/>
    <w:pPr>
      <w:keepNext/>
      <w:keepLines/>
      <w:numPr>
        <w:ilvl w:val="2"/>
        <w:numId w:val="1"/>
      </w:numPr>
      <w:spacing w:before="100" w:after="100"/>
      <w:ind w:left="0" w:firstLine="0" w:firstLineChars="0"/>
      <w:outlineLvl w:val="2"/>
    </w:pPr>
    <w:rPr>
      <w:b/>
      <w:bCs/>
      <w:szCs w:val="32"/>
    </w:rPr>
  </w:style>
  <w:style w:type="paragraph" w:styleId="7">
    <w:name w:val="heading 4"/>
    <w:basedOn w:val="1"/>
    <w:next w:val="1"/>
    <w:link w:val="55"/>
    <w:unhideWhenUsed/>
    <w:qFormat/>
    <w:uiPriority w:val="0"/>
    <w:pPr>
      <w:keepNext/>
      <w:keepLines/>
      <w:numPr>
        <w:ilvl w:val="3"/>
        <w:numId w:val="1"/>
      </w:numPr>
      <w:spacing w:before="100" w:after="100"/>
      <w:ind w:left="0" w:firstLine="0" w:firstLineChars="0"/>
      <w:outlineLvl w:val="3"/>
    </w:pPr>
    <w:rPr>
      <w:rFonts w:asciiTheme="majorHAnsi" w:hAnsiTheme="majorHAnsi" w:eastAsiaTheme="majorEastAsia" w:cstheme="majorBidi"/>
      <w:b/>
      <w:bCs/>
      <w:szCs w:val="28"/>
    </w:rPr>
  </w:style>
  <w:style w:type="paragraph" w:styleId="8">
    <w:name w:val="heading 5"/>
    <w:basedOn w:val="1"/>
    <w:next w:val="1"/>
    <w:link w:val="56"/>
    <w:unhideWhenUsed/>
    <w:qFormat/>
    <w:uiPriority w:val="9"/>
    <w:pPr>
      <w:keepNext/>
      <w:keepLines/>
      <w:numPr>
        <w:ilvl w:val="4"/>
        <w:numId w:val="1"/>
      </w:numPr>
      <w:spacing w:before="100" w:after="100"/>
      <w:ind w:left="0" w:firstLine="0" w:firstLineChars="0"/>
      <w:outlineLvl w:val="4"/>
    </w:pPr>
    <w:rPr>
      <w:b/>
      <w:bCs/>
      <w:szCs w:val="28"/>
    </w:rPr>
  </w:style>
  <w:style w:type="paragraph" w:styleId="9">
    <w:name w:val="heading 6"/>
    <w:basedOn w:val="1"/>
    <w:next w:val="1"/>
    <w:link w:val="57"/>
    <w:unhideWhenUsed/>
    <w:qFormat/>
    <w:uiPriority w:val="9"/>
    <w:pPr>
      <w:keepNext/>
      <w:keepLines/>
      <w:numPr>
        <w:ilvl w:val="5"/>
        <w:numId w:val="1"/>
      </w:numPr>
      <w:spacing w:before="100" w:after="100"/>
      <w:ind w:left="0" w:firstLine="0" w:firstLineChars="0"/>
      <w:outlineLvl w:val="5"/>
    </w:pPr>
    <w:rPr>
      <w:rFonts w:asciiTheme="majorHAnsi" w:hAnsiTheme="majorHAnsi" w:eastAsiaTheme="majorEastAsia" w:cstheme="majorBidi"/>
      <w:b/>
      <w:bCs/>
    </w:rPr>
  </w:style>
  <w:style w:type="paragraph" w:styleId="10">
    <w:name w:val="heading 7"/>
    <w:basedOn w:val="1"/>
    <w:next w:val="1"/>
    <w:link w:val="58"/>
    <w:unhideWhenUsed/>
    <w:qFormat/>
    <w:uiPriority w:val="0"/>
    <w:pPr>
      <w:keepNext/>
      <w:keepLines/>
      <w:numPr>
        <w:ilvl w:val="6"/>
        <w:numId w:val="1"/>
      </w:numPr>
      <w:spacing w:before="100" w:after="100"/>
      <w:ind w:left="0" w:firstLine="0" w:firstLineChars="0"/>
      <w:outlineLvl w:val="6"/>
    </w:pPr>
    <w:rPr>
      <w:b/>
      <w:bCs/>
    </w:rPr>
  </w:style>
  <w:style w:type="paragraph" w:styleId="11">
    <w:name w:val="heading 8"/>
    <w:basedOn w:val="1"/>
    <w:next w:val="1"/>
    <w:link w:val="59"/>
    <w:unhideWhenUsed/>
    <w:qFormat/>
    <w:uiPriority w:val="9"/>
    <w:pPr>
      <w:keepNext/>
      <w:keepLines/>
      <w:numPr>
        <w:ilvl w:val="7"/>
        <w:numId w:val="1"/>
      </w:numPr>
      <w:spacing w:before="100" w:after="100"/>
      <w:ind w:left="0" w:firstLine="0" w:firstLineChars="0"/>
      <w:outlineLvl w:val="7"/>
    </w:pPr>
    <w:rPr>
      <w:rFonts w:asciiTheme="majorHAnsi" w:hAnsiTheme="majorHAnsi" w:eastAsiaTheme="majorEastAsia" w:cstheme="majorBidi"/>
    </w:rPr>
  </w:style>
  <w:style w:type="paragraph" w:styleId="12">
    <w:name w:val="heading 9"/>
    <w:basedOn w:val="1"/>
    <w:next w:val="1"/>
    <w:link w:val="60"/>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96"/>
    <w:semiHidden/>
    <w:unhideWhenUsed/>
    <w:qFormat/>
    <w:uiPriority w:val="99"/>
    <w:pPr>
      <w:ind w:firstLine="420" w:firstLineChars="100"/>
    </w:pPr>
  </w:style>
  <w:style w:type="paragraph" w:styleId="3">
    <w:name w:val="Body Text"/>
    <w:basedOn w:val="1"/>
    <w:next w:val="1"/>
    <w:link w:val="95"/>
    <w:unhideWhenUsed/>
    <w:qFormat/>
    <w:uiPriority w:val="99"/>
    <w:pPr>
      <w:spacing w:after="120"/>
    </w:pPr>
  </w:style>
  <w:style w:type="paragraph" w:styleId="13">
    <w:name w:val="toc 7"/>
    <w:basedOn w:val="1"/>
    <w:next w:val="1"/>
    <w:unhideWhenUsed/>
    <w:qFormat/>
    <w:uiPriority w:val="39"/>
    <w:pPr>
      <w:ind w:left="2520" w:leftChars="1200" w:firstLine="0" w:firstLineChars="0"/>
    </w:pPr>
    <w:rPr>
      <w:rFonts w:asciiTheme="minorHAnsi" w:hAnsiTheme="minorHAnsi" w:eastAsiaTheme="minorEastAsia" w:cstheme="minorBidi"/>
      <w:sz w:val="21"/>
      <w:szCs w:val="22"/>
    </w:rPr>
  </w:style>
  <w:style w:type="paragraph" w:styleId="14">
    <w:name w:val="Normal Indent"/>
    <w:basedOn w:val="1"/>
    <w:link w:val="108"/>
    <w:qFormat/>
    <w:uiPriority w:val="0"/>
    <w:pPr>
      <w:spacing w:line="240" w:lineRule="auto"/>
      <w:ind w:firstLine="420" w:firstLineChars="0"/>
    </w:pPr>
    <w:rPr>
      <w:sz w:val="21"/>
      <w:szCs w:val="20"/>
    </w:rPr>
  </w:style>
  <w:style w:type="paragraph" w:styleId="15">
    <w:name w:val="caption"/>
    <w:basedOn w:val="1"/>
    <w:next w:val="1"/>
    <w:link w:val="93"/>
    <w:qFormat/>
    <w:uiPriority w:val="0"/>
    <w:pPr>
      <w:spacing w:before="120" w:after="240"/>
      <w:ind w:firstLine="397" w:firstLineChars="0"/>
      <w:jc w:val="center"/>
    </w:pPr>
    <w:rPr>
      <w:b/>
      <w:kern w:val="0"/>
      <w:sz w:val="20"/>
      <w:szCs w:val="20"/>
    </w:rPr>
  </w:style>
  <w:style w:type="paragraph" w:styleId="16">
    <w:name w:val="annotation text"/>
    <w:basedOn w:val="1"/>
    <w:link w:val="100"/>
    <w:qFormat/>
    <w:uiPriority w:val="0"/>
    <w:pPr>
      <w:autoSpaceDE w:val="0"/>
      <w:autoSpaceDN w:val="0"/>
      <w:ind w:firstLine="0" w:firstLineChars="0"/>
      <w:jc w:val="left"/>
    </w:pPr>
    <w:rPr>
      <w:rFonts w:ascii="宋体" w:hAnsi="宋体" w:cs="宋体"/>
      <w:kern w:val="0"/>
      <w:szCs w:val="22"/>
      <w:lang w:val="zh-CN" w:bidi="zh-CN"/>
    </w:rPr>
  </w:style>
  <w:style w:type="paragraph" w:styleId="17">
    <w:name w:val="Body Text Indent"/>
    <w:basedOn w:val="1"/>
    <w:link w:val="61"/>
    <w:qFormat/>
    <w:uiPriority w:val="99"/>
    <w:pPr>
      <w:spacing w:line="240" w:lineRule="auto"/>
      <w:ind w:firstLine="830" w:firstLineChars="352"/>
    </w:pPr>
    <w:rPr>
      <w:rFonts w:ascii="仿宋_GB2312" w:eastAsia="仿宋_GB2312" w:cs="仿宋_GB2312"/>
      <w:kern w:val="0"/>
      <w:sz w:val="32"/>
      <w:szCs w:val="32"/>
    </w:rPr>
  </w:style>
  <w:style w:type="paragraph" w:styleId="18">
    <w:name w:val="List Number 3"/>
    <w:basedOn w:val="1"/>
    <w:qFormat/>
    <w:uiPriority w:val="0"/>
    <w:pPr>
      <w:widowControl/>
      <w:numPr>
        <w:ilvl w:val="0"/>
        <w:numId w:val="2"/>
      </w:numPr>
      <w:spacing w:after="200" w:line="276" w:lineRule="auto"/>
      <w:ind w:firstLine="0" w:firstLineChars="0"/>
      <w:jc w:val="left"/>
    </w:pPr>
    <w:rPr>
      <w:rFonts w:asciiTheme="minorHAnsi" w:hAnsiTheme="minorHAnsi" w:eastAsiaTheme="minorEastAsia" w:cstheme="minorBidi"/>
      <w:kern w:val="0"/>
      <w:sz w:val="22"/>
      <w:szCs w:val="22"/>
    </w:rPr>
  </w:style>
  <w:style w:type="paragraph" w:styleId="19">
    <w:name w:val="List Bullet 2"/>
    <w:basedOn w:val="1"/>
    <w:semiHidden/>
    <w:unhideWhenUsed/>
    <w:qFormat/>
    <w:uiPriority w:val="99"/>
    <w:pPr>
      <w:numPr>
        <w:ilvl w:val="0"/>
        <w:numId w:val="3"/>
      </w:numPr>
      <w:tabs>
        <w:tab w:val="left" w:pos="930"/>
      </w:tabs>
      <w:spacing w:afterLines="50" w:line="300" w:lineRule="auto"/>
      <w:ind w:firstLine="0" w:firstLineChars="0"/>
    </w:pPr>
    <w:rPr>
      <w:rFonts w:ascii="宋体" w:hAnsi="宋体"/>
      <w:sz w:val="21"/>
    </w:rPr>
  </w:style>
  <w:style w:type="paragraph" w:styleId="20">
    <w:name w:val="toc 5"/>
    <w:basedOn w:val="1"/>
    <w:next w:val="1"/>
    <w:unhideWhenUsed/>
    <w:qFormat/>
    <w:uiPriority w:val="39"/>
    <w:pPr>
      <w:ind w:left="1680" w:leftChars="800" w:firstLine="0" w:firstLineChars="0"/>
    </w:pPr>
    <w:rPr>
      <w:rFonts w:asciiTheme="minorHAnsi" w:hAnsiTheme="minorHAnsi" w:eastAsiaTheme="minorEastAsia" w:cstheme="minorBidi"/>
      <w:sz w:val="21"/>
      <w:szCs w:val="22"/>
    </w:rPr>
  </w:style>
  <w:style w:type="paragraph" w:styleId="21">
    <w:name w:val="toc 3"/>
    <w:basedOn w:val="1"/>
    <w:next w:val="1"/>
    <w:unhideWhenUsed/>
    <w:qFormat/>
    <w:uiPriority w:val="39"/>
    <w:pPr>
      <w:ind w:left="840" w:leftChars="400"/>
    </w:pPr>
  </w:style>
  <w:style w:type="paragraph" w:styleId="22">
    <w:name w:val="Plain Text"/>
    <w:basedOn w:val="1"/>
    <w:link w:val="53"/>
    <w:qFormat/>
    <w:uiPriority w:val="99"/>
    <w:pPr>
      <w:spacing w:line="240" w:lineRule="auto"/>
      <w:ind w:firstLine="0" w:firstLineChars="0"/>
    </w:pPr>
    <w:rPr>
      <w:rFonts w:ascii="宋体" w:hAnsi="Courier New" w:cs="宋体"/>
      <w:kern w:val="0"/>
      <w:sz w:val="21"/>
      <w:szCs w:val="21"/>
    </w:rPr>
  </w:style>
  <w:style w:type="paragraph" w:styleId="23">
    <w:name w:val="toc 8"/>
    <w:basedOn w:val="1"/>
    <w:next w:val="1"/>
    <w:unhideWhenUsed/>
    <w:qFormat/>
    <w:uiPriority w:val="39"/>
    <w:pPr>
      <w:ind w:left="2940" w:leftChars="1400" w:firstLine="0" w:firstLineChars="0"/>
    </w:pPr>
    <w:rPr>
      <w:rFonts w:asciiTheme="minorHAnsi" w:hAnsiTheme="minorHAnsi" w:eastAsiaTheme="minorEastAsia" w:cstheme="minorBidi"/>
      <w:sz w:val="21"/>
      <w:szCs w:val="22"/>
    </w:rPr>
  </w:style>
  <w:style w:type="paragraph" w:styleId="24">
    <w:name w:val="Date"/>
    <w:basedOn w:val="1"/>
    <w:next w:val="1"/>
    <w:link w:val="62"/>
    <w:semiHidden/>
    <w:unhideWhenUsed/>
    <w:qFormat/>
    <w:uiPriority w:val="99"/>
    <w:pPr>
      <w:ind w:left="100" w:leftChars="2500"/>
    </w:pPr>
  </w:style>
  <w:style w:type="paragraph" w:styleId="25">
    <w:name w:val="Balloon Text"/>
    <w:basedOn w:val="1"/>
    <w:link w:val="63"/>
    <w:unhideWhenUsed/>
    <w:qFormat/>
    <w:uiPriority w:val="99"/>
    <w:pPr>
      <w:spacing w:line="240" w:lineRule="auto"/>
    </w:pPr>
    <w:rPr>
      <w:sz w:val="18"/>
      <w:szCs w:val="18"/>
    </w:rPr>
  </w:style>
  <w:style w:type="paragraph" w:styleId="26">
    <w:name w:val="footer"/>
    <w:basedOn w:val="1"/>
    <w:link w:val="46"/>
    <w:unhideWhenUsed/>
    <w:qFormat/>
    <w:uiPriority w:val="99"/>
    <w:pPr>
      <w:tabs>
        <w:tab w:val="center" w:pos="4153"/>
        <w:tab w:val="right" w:pos="8306"/>
      </w:tabs>
      <w:snapToGrid w:val="0"/>
      <w:jc w:val="left"/>
    </w:pPr>
    <w:rPr>
      <w:sz w:val="18"/>
      <w:szCs w:val="18"/>
    </w:rPr>
  </w:style>
  <w:style w:type="paragraph" w:styleId="27">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style>
  <w:style w:type="paragraph" w:styleId="29">
    <w:name w:val="toc 4"/>
    <w:basedOn w:val="1"/>
    <w:next w:val="1"/>
    <w:qFormat/>
    <w:uiPriority w:val="39"/>
    <w:pPr>
      <w:autoSpaceDE w:val="0"/>
      <w:autoSpaceDN w:val="0"/>
      <w:spacing w:before="52"/>
      <w:ind w:left="972" w:hanging="316" w:firstLineChars="0"/>
      <w:jc w:val="left"/>
    </w:pPr>
    <w:rPr>
      <w:rFonts w:ascii="宋体" w:hAnsi="宋体" w:cs="宋体"/>
      <w:kern w:val="0"/>
      <w:sz w:val="21"/>
      <w:szCs w:val="21"/>
      <w:lang w:val="zh-CN" w:bidi="zh-CN"/>
    </w:rPr>
  </w:style>
  <w:style w:type="paragraph" w:styleId="30">
    <w:name w:val="Subtitle"/>
    <w:basedOn w:val="1"/>
    <w:next w:val="1"/>
    <w:link w:val="50"/>
    <w:qFormat/>
    <w:uiPriority w:val="11"/>
    <w:pPr>
      <w:spacing w:before="60" w:after="60"/>
      <w:ind w:firstLine="0" w:firstLineChars="0"/>
      <w:jc w:val="left"/>
      <w:outlineLvl w:val="3"/>
    </w:pPr>
    <w:rPr>
      <w:rFonts w:asciiTheme="majorHAnsi" w:hAnsiTheme="majorHAnsi" w:cstheme="majorBidi"/>
      <w:b/>
      <w:bCs/>
      <w:kern w:val="28"/>
      <w:sz w:val="30"/>
      <w:szCs w:val="32"/>
    </w:rPr>
  </w:style>
  <w:style w:type="paragraph" w:styleId="31">
    <w:name w:val="toc 6"/>
    <w:basedOn w:val="1"/>
    <w:next w:val="1"/>
    <w:unhideWhenUsed/>
    <w:qFormat/>
    <w:uiPriority w:val="39"/>
    <w:pPr>
      <w:ind w:left="2100" w:leftChars="1000" w:firstLine="0" w:firstLineChars="0"/>
    </w:pPr>
    <w:rPr>
      <w:rFonts w:asciiTheme="minorHAnsi" w:hAnsiTheme="minorHAnsi" w:eastAsiaTheme="minorEastAsia" w:cstheme="minorBidi"/>
      <w:sz w:val="21"/>
      <w:szCs w:val="22"/>
    </w:r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firstLine="0" w:firstLineChars="0"/>
    </w:pPr>
    <w:rPr>
      <w:rFonts w:asciiTheme="minorHAnsi" w:hAnsiTheme="minorHAnsi" w:eastAsiaTheme="minorEastAsia" w:cstheme="minorBidi"/>
      <w:sz w:val="21"/>
      <w:szCs w:val="22"/>
    </w:rPr>
  </w:style>
  <w:style w:type="paragraph" w:styleId="3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rPr>
  </w:style>
  <w:style w:type="paragraph" w:styleId="35">
    <w:name w:val="Title"/>
    <w:basedOn w:val="1"/>
    <w:next w:val="1"/>
    <w:link w:val="49"/>
    <w:qFormat/>
    <w:uiPriority w:val="0"/>
    <w:pPr>
      <w:spacing w:before="60" w:after="60"/>
      <w:ind w:firstLine="0" w:firstLineChars="0"/>
      <w:jc w:val="left"/>
      <w:outlineLvl w:val="2"/>
    </w:pPr>
    <w:rPr>
      <w:rFonts w:asciiTheme="majorHAnsi" w:hAnsiTheme="majorHAnsi" w:cstheme="majorBidi"/>
      <w:b/>
      <w:bCs/>
      <w:sz w:val="32"/>
      <w:szCs w:val="32"/>
    </w:rPr>
  </w:style>
  <w:style w:type="paragraph" w:styleId="36">
    <w:name w:val="annotation subject"/>
    <w:basedOn w:val="16"/>
    <w:next w:val="16"/>
    <w:link w:val="101"/>
    <w:qFormat/>
    <w:uiPriority w:val="0"/>
    <w:rPr>
      <w:b/>
      <w:bCs/>
    </w:rPr>
  </w:style>
  <w:style w:type="paragraph" w:styleId="37">
    <w:name w:val="Body Text First Indent 2"/>
    <w:basedOn w:val="17"/>
    <w:unhideWhenUsed/>
    <w:qFormat/>
    <w:uiPriority w:val="99"/>
    <w:pPr>
      <w:spacing w:line="360" w:lineRule="auto"/>
      <w:ind w:firstLine="420" w:firstLineChars="200"/>
    </w:pPr>
    <w:rPr>
      <w:rFonts w:ascii="Calibri" w:hAnsi="Calibri" w:eastAsia="微软雅黑" w:cs="Times New Roman"/>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bCs/>
    </w:rPr>
  </w:style>
  <w:style w:type="character" w:styleId="42">
    <w:name w:val="page number"/>
    <w:basedOn w:val="40"/>
    <w:qFormat/>
    <w:uiPriority w:val="99"/>
  </w:style>
  <w:style w:type="character" w:styleId="43">
    <w:name w:val="Hyperlink"/>
    <w:basedOn w:val="40"/>
    <w:unhideWhenUsed/>
    <w:qFormat/>
    <w:uiPriority w:val="99"/>
    <w:rPr>
      <w:color w:val="0563C1" w:themeColor="hyperlink"/>
      <w:u w:val="single"/>
      <w14:textFill>
        <w14:solidFill>
          <w14:schemeClr w14:val="hlink"/>
        </w14:solidFill>
      </w14:textFill>
    </w:rPr>
  </w:style>
  <w:style w:type="character" w:styleId="44">
    <w:name w:val="annotation reference"/>
    <w:basedOn w:val="40"/>
    <w:qFormat/>
    <w:uiPriority w:val="0"/>
    <w:rPr>
      <w:sz w:val="21"/>
      <w:szCs w:val="21"/>
    </w:rPr>
  </w:style>
  <w:style w:type="character" w:customStyle="1" w:styleId="45">
    <w:name w:val="页眉 字符"/>
    <w:basedOn w:val="40"/>
    <w:link w:val="27"/>
    <w:qFormat/>
    <w:uiPriority w:val="99"/>
    <w:rPr>
      <w:sz w:val="18"/>
      <w:szCs w:val="18"/>
    </w:rPr>
  </w:style>
  <w:style w:type="character" w:customStyle="1" w:styleId="46">
    <w:name w:val="页脚 字符"/>
    <w:basedOn w:val="40"/>
    <w:link w:val="26"/>
    <w:qFormat/>
    <w:uiPriority w:val="99"/>
    <w:rPr>
      <w:sz w:val="18"/>
      <w:szCs w:val="18"/>
    </w:rPr>
  </w:style>
  <w:style w:type="character" w:customStyle="1" w:styleId="47">
    <w:name w:val="标题 1 字符"/>
    <w:basedOn w:val="40"/>
    <w:link w:val="4"/>
    <w:qFormat/>
    <w:uiPriority w:val="0"/>
    <w:rPr>
      <w:rFonts w:ascii="Times New Roman" w:hAnsi="Times New Roman" w:eastAsia="宋体" w:cs="Times New Roman"/>
      <w:b/>
      <w:bCs/>
      <w:kern w:val="44"/>
      <w:sz w:val="28"/>
      <w:szCs w:val="44"/>
    </w:rPr>
  </w:style>
  <w:style w:type="character" w:customStyle="1" w:styleId="48">
    <w:name w:val="标题 2 字符"/>
    <w:basedOn w:val="40"/>
    <w:link w:val="5"/>
    <w:qFormat/>
    <w:uiPriority w:val="0"/>
    <w:rPr>
      <w:rFonts w:asciiTheme="majorHAnsi" w:hAnsiTheme="majorHAnsi" w:eastAsiaTheme="majorEastAsia" w:cstheme="majorBidi"/>
      <w:b/>
      <w:bCs/>
      <w:sz w:val="28"/>
      <w:szCs w:val="32"/>
    </w:rPr>
  </w:style>
  <w:style w:type="character" w:customStyle="1" w:styleId="49">
    <w:name w:val="标题 字符"/>
    <w:basedOn w:val="40"/>
    <w:link w:val="35"/>
    <w:qFormat/>
    <w:uiPriority w:val="0"/>
    <w:rPr>
      <w:rFonts w:eastAsia="宋体" w:asciiTheme="majorHAnsi" w:hAnsiTheme="majorHAnsi" w:cstheme="majorBidi"/>
      <w:b/>
      <w:bCs/>
      <w:sz w:val="32"/>
      <w:szCs w:val="32"/>
    </w:rPr>
  </w:style>
  <w:style w:type="character" w:customStyle="1" w:styleId="50">
    <w:name w:val="副标题 字符"/>
    <w:basedOn w:val="40"/>
    <w:link w:val="30"/>
    <w:qFormat/>
    <w:uiPriority w:val="11"/>
    <w:rPr>
      <w:rFonts w:eastAsia="宋体" w:asciiTheme="majorHAnsi" w:hAnsiTheme="majorHAnsi" w:cstheme="majorBidi"/>
      <w:b/>
      <w:bCs/>
      <w:kern w:val="28"/>
      <w:sz w:val="30"/>
      <w:szCs w:val="32"/>
    </w:rPr>
  </w:style>
  <w:style w:type="paragraph" w:customStyle="1" w:styleId="51">
    <w:name w:val="标题5"/>
    <w:basedOn w:val="1"/>
    <w:link w:val="52"/>
    <w:qFormat/>
    <w:uiPriority w:val="0"/>
    <w:pPr>
      <w:jc w:val="left"/>
      <w:outlineLvl w:val="4"/>
    </w:pPr>
    <w:rPr>
      <w:sz w:val="28"/>
    </w:rPr>
  </w:style>
  <w:style w:type="character" w:customStyle="1" w:styleId="52">
    <w:name w:val="标题5 Char"/>
    <w:basedOn w:val="40"/>
    <w:link w:val="51"/>
    <w:qFormat/>
    <w:uiPriority w:val="0"/>
    <w:rPr>
      <w:rFonts w:ascii="Times New Roman" w:hAnsi="Times New Roman" w:eastAsia="宋体" w:cs="Times New Roman"/>
      <w:sz w:val="28"/>
      <w:szCs w:val="24"/>
    </w:rPr>
  </w:style>
  <w:style w:type="character" w:customStyle="1" w:styleId="53">
    <w:name w:val="纯文本 字符"/>
    <w:basedOn w:val="40"/>
    <w:link w:val="22"/>
    <w:qFormat/>
    <w:uiPriority w:val="99"/>
    <w:rPr>
      <w:rFonts w:ascii="宋体" w:hAnsi="Courier New" w:eastAsia="宋体" w:cs="宋体"/>
      <w:kern w:val="0"/>
      <w:szCs w:val="21"/>
    </w:rPr>
  </w:style>
  <w:style w:type="character" w:customStyle="1" w:styleId="54">
    <w:name w:val="标题 3 字符"/>
    <w:basedOn w:val="40"/>
    <w:link w:val="6"/>
    <w:qFormat/>
    <w:uiPriority w:val="0"/>
    <w:rPr>
      <w:rFonts w:ascii="Times New Roman" w:hAnsi="Times New Roman" w:eastAsia="宋体" w:cs="Times New Roman"/>
      <w:b/>
      <w:bCs/>
      <w:sz w:val="24"/>
      <w:szCs w:val="32"/>
    </w:rPr>
  </w:style>
  <w:style w:type="character" w:customStyle="1" w:styleId="55">
    <w:name w:val="标题 4 字符"/>
    <w:basedOn w:val="40"/>
    <w:link w:val="7"/>
    <w:qFormat/>
    <w:uiPriority w:val="0"/>
    <w:rPr>
      <w:rFonts w:asciiTheme="majorHAnsi" w:hAnsiTheme="majorHAnsi" w:eastAsiaTheme="majorEastAsia" w:cstheme="majorBidi"/>
      <w:b/>
      <w:bCs/>
      <w:sz w:val="24"/>
      <w:szCs w:val="28"/>
    </w:rPr>
  </w:style>
  <w:style w:type="character" w:customStyle="1" w:styleId="56">
    <w:name w:val="标题 5 字符"/>
    <w:basedOn w:val="40"/>
    <w:link w:val="8"/>
    <w:qFormat/>
    <w:uiPriority w:val="9"/>
    <w:rPr>
      <w:rFonts w:ascii="Times New Roman" w:hAnsi="Times New Roman" w:eastAsia="宋体" w:cs="Times New Roman"/>
      <w:b/>
      <w:bCs/>
      <w:sz w:val="24"/>
      <w:szCs w:val="28"/>
    </w:rPr>
  </w:style>
  <w:style w:type="character" w:customStyle="1" w:styleId="57">
    <w:name w:val="标题 6 字符"/>
    <w:basedOn w:val="40"/>
    <w:link w:val="9"/>
    <w:qFormat/>
    <w:uiPriority w:val="9"/>
    <w:rPr>
      <w:rFonts w:asciiTheme="majorHAnsi" w:hAnsiTheme="majorHAnsi" w:eastAsiaTheme="majorEastAsia" w:cstheme="majorBidi"/>
      <w:b/>
      <w:bCs/>
      <w:sz w:val="24"/>
      <w:szCs w:val="24"/>
    </w:rPr>
  </w:style>
  <w:style w:type="character" w:customStyle="1" w:styleId="58">
    <w:name w:val="标题 7 字符"/>
    <w:basedOn w:val="40"/>
    <w:link w:val="10"/>
    <w:qFormat/>
    <w:uiPriority w:val="0"/>
    <w:rPr>
      <w:rFonts w:ascii="Times New Roman" w:hAnsi="Times New Roman" w:eastAsia="宋体" w:cs="Times New Roman"/>
      <w:b/>
      <w:bCs/>
      <w:sz w:val="24"/>
      <w:szCs w:val="24"/>
    </w:rPr>
  </w:style>
  <w:style w:type="character" w:customStyle="1" w:styleId="59">
    <w:name w:val="标题 8 字符"/>
    <w:basedOn w:val="40"/>
    <w:link w:val="11"/>
    <w:qFormat/>
    <w:uiPriority w:val="9"/>
    <w:rPr>
      <w:rFonts w:asciiTheme="majorHAnsi" w:hAnsiTheme="majorHAnsi" w:eastAsiaTheme="majorEastAsia" w:cstheme="majorBidi"/>
      <w:sz w:val="24"/>
      <w:szCs w:val="24"/>
    </w:rPr>
  </w:style>
  <w:style w:type="character" w:customStyle="1" w:styleId="60">
    <w:name w:val="标题 9 字符"/>
    <w:basedOn w:val="40"/>
    <w:link w:val="12"/>
    <w:qFormat/>
    <w:uiPriority w:val="9"/>
    <w:rPr>
      <w:rFonts w:asciiTheme="majorHAnsi" w:hAnsiTheme="majorHAnsi" w:eastAsiaTheme="majorEastAsia" w:cstheme="majorBidi"/>
      <w:szCs w:val="21"/>
    </w:rPr>
  </w:style>
  <w:style w:type="character" w:customStyle="1" w:styleId="61">
    <w:name w:val="正文文本缩进 字符"/>
    <w:basedOn w:val="40"/>
    <w:link w:val="17"/>
    <w:qFormat/>
    <w:uiPriority w:val="99"/>
    <w:rPr>
      <w:rFonts w:ascii="仿宋_GB2312" w:hAnsi="Times New Roman" w:eastAsia="仿宋_GB2312" w:cs="仿宋_GB2312"/>
      <w:kern w:val="0"/>
      <w:sz w:val="32"/>
      <w:szCs w:val="32"/>
    </w:rPr>
  </w:style>
  <w:style w:type="character" w:customStyle="1" w:styleId="62">
    <w:name w:val="日期 字符"/>
    <w:basedOn w:val="40"/>
    <w:link w:val="24"/>
    <w:semiHidden/>
    <w:qFormat/>
    <w:uiPriority w:val="99"/>
    <w:rPr>
      <w:rFonts w:ascii="Times New Roman" w:hAnsi="Times New Roman" w:eastAsia="宋体" w:cs="Times New Roman"/>
      <w:sz w:val="24"/>
      <w:szCs w:val="24"/>
    </w:rPr>
  </w:style>
  <w:style w:type="character" w:customStyle="1" w:styleId="63">
    <w:name w:val="批注框文本 字符"/>
    <w:basedOn w:val="40"/>
    <w:link w:val="25"/>
    <w:qFormat/>
    <w:uiPriority w:val="99"/>
    <w:rPr>
      <w:rFonts w:ascii="Times New Roman" w:hAnsi="Times New Roman" w:eastAsia="宋体" w:cs="Times New Roman"/>
      <w:sz w:val="18"/>
      <w:szCs w:val="18"/>
    </w:rPr>
  </w:style>
  <w:style w:type="paragraph" w:customStyle="1" w:styleId="64">
    <w:name w:val="TOC 标题1"/>
    <w:basedOn w:val="4"/>
    <w:next w:val="1"/>
    <w:unhideWhenUsed/>
    <w:qFormat/>
    <w:uiPriority w:val="39"/>
    <w:pPr>
      <w:widowControl/>
      <w:numPr>
        <w:numId w:val="0"/>
      </w:numPr>
      <w:spacing w:before="480" w:after="0" w:line="276" w:lineRule="auto"/>
      <w:outlineLvl w:val="9"/>
    </w:pPr>
    <w:rPr>
      <w:rFonts w:asciiTheme="majorHAnsi" w:hAnsiTheme="majorHAnsi" w:eastAsiaTheme="majorEastAsia" w:cstheme="majorBidi"/>
      <w:color w:val="2E75B6" w:themeColor="accent1" w:themeShade="BF"/>
      <w:kern w:val="0"/>
      <w:szCs w:val="28"/>
    </w:rPr>
  </w:style>
  <w:style w:type="paragraph" w:customStyle="1" w:styleId="65">
    <w:name w:val="_标题1"/>
    <w:basedOn w:val="66"/>
    <w:next w:val="66"/>
    <w:link w:val="79"/>
    <w:qFormat/>
    <w:uiPriority w:val="0"/>
    <w:pPr>
      <w:keepNext/>
      <w:pageBreakBefore/>
      <w:widowControl w:val="0"/>
      <w:numPr>
        <w:ilvl w:val="0"/>
        <w:numId w:val="4"/>
      </w:numPr>
      <w:tabs>
        <w:tab w:val="left" w:pos="840"/>
      </w:tabs>
      <w:spacing w:before="50" w:beforeLines="50" w:after="50" w:afterLines="50"/>
      <w:ind w:left="840" w:hanging="420"/>
      <w:outlineLvl w:val="0"/>
    </w:pPr>
    <w:rPr>
      <w:b/>
      <w:sz w:val="36"/>
    </w:rPr>
  </w:style>
  <w:style w:type="paragraph" w:customStyle="1" w:styleId="66">
    <w:name w:val="__正文不空"/>
    <w:link w:val="72"/>
    <w:qFormat/>
    <w:uiPriority w:val="0"/>
    <w:pPr>
      <w:spacing w:line="360" w:lineRule="auto"/>
    </w:pPr>
    <w:rPr>
      <w:rFonts w:asciiTheme="minorHAnsi" w:hAnsiTheme="minorHAnsi" w:eastAsiaTheme="minorEastAsia" w:cstheme="minorBidi"/>
      <w:kern w:val="2"/>
      <w:sz w:val="24"/>
      <w:szCs w:val="21"/>
      <w:lang w:val="en-US" w:eastAsia="zh-CN" w:bidi="ar-SA"/>
    </w:rPr>
  </w:style>
  <w:style w:type="paragraph" w:customStyle="1" w:styleId="67">
    <w:name w:val="_标题2"/>
    <w:basedOn w:val="66"/>
    <w:next w:val="66"/>
    <w:link w:val="68"/>
    <w:qFormat/>
    <w:uiPriority w:val="0"/>
    <w:pPr>
      <w:keepNext/>
      <w:widowControl w:val="0"/>
      <w:numPr>
        <w:ilvl w:val="1"/>
        <w:numId w:val="4"/>
      </w:numPr>
      <w:tabs>
        <w:tab w:val="left" w:pos="1260"/>
      </w:tabs>
      <w:spacing w:before="50" w:beforeLines="50" w:after="50" w:afterLines="50"/>
      <w:ind w:left="1260" w:hanging="420"/>
      <w:outlineLvl w:val="1"/>
    </w:pPr>
    <w:rPr>
      <w:b/>
      <w:sz w:val="28"/>
    </w:rPr>
  </w:style>
  <w:style w:type="character" w:customStyle="1" w:styleId="68">
    <w:name w:val="_标题2 Char"/>
    <w:basedOn w:val="40"/>
    <w:link w:val="67"/>
    <w:qFormat/>
    <w:uiPriority w:val="0"/>
    <w:rPr>
      <w:b/>
      <w:sz w:val="28"/>
      <w:szCs w:val="21"/>
    </w:rPr>
  </w:style>
  <w:style w:type="paragraph" w:customStyle="1" w:styleId="69">
    <w:name w:val="_标题3"/>
    <w:basedOn w:val="66"/>
    <w:next w:val="66"/>
    <w:link w:val="71"/>
    <w:qFormat/>
    <w:uiPriority w:val="0"/>
    <w:pPr>
      <w:keepNext/>
      <w:widowControl w:val="0"/>
      <w:numPr>
        <w:ilvl w:val="2"/>
        <w:numId w:val="4"/>
      </w:numPr>
      <w:spacing w:before="156" w:beforeLines="50" w:after="156" w:afterLines="50"/>
      <w:outlineLvl w:val="2"/>
    </w:pPr>
    <w:rPr>
      <w:b/>
      <w:sz w:val="28"/>
    </w:rPr>
  </w:style>
  <w:style w:type="paragraph" w:customStyle="1" w:styleId="70">
    <w:name w:val="_标题4"/>
    <w:basedOn w:val="66"/>
    <w:next w:val="66"/>
    <w:link w:val="82"/>
    <w:qFormat/>
    <w:uiPriority w:val="0"/>
    <w:pPr>
      <w:keepNext/>
      <w:widowControl w:val="0"/>
      <w:numPr>
        <w:ilvl w:val="3"/>
        <w:numId w:val="4"/>
      </w:numPr>
      <w:spacing w:before="156" w:beforeLines="50" w:after="156" w:afterLines="50"/>
      <w:outlineLvl w:val="3"/>
    </w:pPr>
    <w:rPr>
      <w:b/>
    </w:rPr>
  </w:style>
  <w:style w:type="character" w:customStyle="1" w:styleId="71">
    <w:name w:val="_标题3 Char"/>
    <w:basedOn w:val="40"/>
    <w:link w:val="69"/>
    <w:qFormat/>
    <w:uiPriority w:val="0"/>
    <w:rPr>
      <w:b/>
      <w:sz w:val="28"/>
      <w:szCs w:val="21"/>
    </w:rPr>
  </w:style>
  <w:style w:type="character" w:customStyle="1" w:styleId="72">
    <w:name w:val="__正文不空 Char"/>
    <w:basedOn w:val="40"/>
    <w:link w:val="66"/>
    <w:qFormat/>
    <w:uiPriority w:val="0"/>
    <w:rPr>
      <w:sz w:val="24"/>
      <w:szCs w:val="21"/>
    </w:rPr>
  </w:style>
  <w:style w:type="paragraph" w:customStyle="1" w:styleId="73">
    <w:name w:val="_标题5"/>
    <w:basedOn w:val="66"/>
    <w:next w:val="66"/>
    <w:link w:val="91"/>
    <w:qFormat/>
    <w:uiPriority w:val="0"/>
    <w:pPr>
      <w:keepNext/>
      <w:numPr>
        <w:ilvl w:val="4"/>
        <w:numId w:val="4"/>
      </w:numPr>
      <w:tabs>
        <w:tab w:val="left" w:pos="2520"/>
      </w:tabs>
      <w:spacing w:before="50" w:beforeLines="50"/>
      <w:ind w:left="2520" w:hanging="420"/>
      <w:outlineLvl w:val="4"/>
    </w:pPr>
    <w:rPr>
      <w:b/>
    </w:rPr>
  </w:style>
  <w:style w:type="paragraph" w:customStyle="1" w:styleId="74">
    <w:name w:val="_标题6"/>
    <w:basedOn w:val="66"/>
    <w:next w:val="66"/>
    <w:qFormat/>
    <w:uiPriority w:val="0"/>
    <w:pPr>
      <w:numPr>
        <w:ilvl w:val="5"/>
        <w:numId w:val="4"/>
      </w:numPr>
      <w:tabs>
        <w:tab w:val="left" w:pos="2940"/>
      </w:tabs>
      <w:spacing w:before="50" w:beforeLines="50" w:after="50" w:afterLines="50"/>
      <w:ind w:left="2940" w:hanging="420"/>
      <w:outlineLvl w:val="5"/>
    </w:pPr>
    <w:rPr>
      <w:b/>
    </w:rPr>
  </w:style>
  <w:style w:type="paragraph" w:customStyle="1" w:styleId="75">
    <w:name w:val="_标题7"/>
    <w:basedOn w:val="66"/>
    <w:next w:val="66"/>
    <w:qFormat/>
    <w:uiPriority w:val="0"/>
    <w:pPr>
      <w:numPr>
        <w:ilvl w:val="6"/>
        <w:numId w:val="4"/>
      </w:numPr>
      <w:tabs>
        <w:tab w:val="left" w:pos="3360"/>
      </w:tabs>
      <w:spacing w:before="50" w:beforeLines="50" w:after="50" w:afterLines="50"/>
      <w:ind w:left="3360" w:hanging="420"/>
      <w:outlineLvl w:val="6"/>
    </w:pPr>
    <w:rPr>
      <w:b/>
    </w:rPr>
  </w:style>
  <w:style w:type="paragraph" w:customStyle="1" w:styleId="76">
    <w:name w:val="_标题8"/>
    <w:basedOn w:val="66"/>
    <w:next w:val="66"/>
    <w:link w:val="97"/>
    <w:qFormat/>
    <w:uiPriority w:val="0"/>
    <w:pPr>
      <w:numPr>
        <w:ilvl w:val="7"/>
        <w:numId w:val="4"/>
      </w:numPr>
      <w:tabs>
        <w:tab w:val="left" w:pos="3780"/>
      </w:tabs>
      <w:spacing w:before="50" w:beforeLines="50" w:after="50" w:afterLines="50"/>
      <w:ind w:left="3780" w:hanging="420"/>
      <w:outlineLvl w:val="7"/>
    </w:pPr>
    <w:rPr>
      <w:b/>
    </w:rPr>
  </w:style>
  <w:style w:type="paragraph" w:customStyle="1" w:styleId="77">
    <w:name w:val="_标题9"/>
    <w:basedOn w:val="66"/>
    <w:next w:val="66"/>
    <w:qFormat/>
    <w:uiPriority w:val="0"/>
    <w:pPr>
      <w:numPr>
        <w:ilvl w:val="8"/>
        <w:numId w:val="4"/>
      </w:numPr>
      <w:tabs>
        <w:tab w:val="left" w:pos="4200"/>
      </w:tabs>
      <w:spacing w:before="50" w:beforeLines="50" w:after="50" w:afterLines="50"/>
      <w:ind w:left="4200" w:hanging="420"/>
      <w:outlineLvl w:val="8"/>
    </w:pPr>
  </w:style>
  <w:style w:type="paragraph" w:customStyle="1" w:styleId="78">
    <w:name w:val="列出段落1"/>
    <w:basedOn w:val="1"/>
    <w:qFormat/>
    <w:uiPriority w:val="0"/>
    <w:pPr>
      <w:spacing w:line="240" w:lineRule="auto"/>
      <w:ind w:firstLine="420"/>
    </w:pPr>
  </w:style>
  <w:style w:type="character" w:customStyle="1" w:styleId="79">
    <w:name w:val="_标题1 Char"/>
    <w:basedOn w:val="40"/>
    <w:link w:val="65"/>
    <w:qFormat/>
    <w:uiPriority w:val="0"/>
    <w:rPr>
      <w:b/>
      <w:sz w:val="36"/>
      <w:szCs w:val="21"/>
    </w:rPr>
  </w:style>
  <w:style w:type="paragraph" w:customStyle="1" w:styleId="80">
    <w:name w:val="__正文"/>
    <w:link w:val="81"/>
    <w:qFormat/>
    <w:uiPriority w:val="0"/>
    <w:pPr>
      <w:spacing w:line="360" w:lineRule="auto"/>
      <w:ind w:firstLine="200" w:firstLineChars="200"/>
    </w:pPr>
    <w:rPr>
      <w:rFonts w:asciiTheme="minorHAnsi" w:hAnsiTheme="minorHAnsi" w:eastAsiaTheme="minorEastAsia" w:cstheme="minorBidi"/>
      <w:kern w:val="2"/>
      <w:sz w:val="24"/>
      <w:szCs w:val="21"/>
      <w:lang w:val="en-US" w:eastAsia="zh-CN" w:bidi="ar-SA"/>
    </w:rPr>
  </w:style>
  <w:style w:type="character" w:customStyle="1" w:styleId="81">
    <w:name w:val="__正文 Char"/>
    <w:basedOn w:val="40"/>
    <w:link w:val="80"/>
    <w:qFormat/>
    <w:uiPriority w:val="0"/>
    <w:rPr>
      <w:sz w:val="24"/>
      <w:szCs w:val="21"/>
    </w:rPr>
  </w:style>
  <w:style w:type="character" w:customStyle="1" w:styleId="82">
    <w:name w:val="_标题4 Char"/>
    <w:basedOn w:val="40"/>
    <w:link w:val="70"/>
    <w:qFormat/>
    <w:uiPriority w:val="0"/>
    <w:rPr>
      <w:b/>
      <w:sz w:val="24"/>
      <w:szCs w:val="21"/>
    </w:rPr>
  </w:style>
  <w:style w:type="paragraph" w:styleId="83">
    <w:name w:val="List Paragraph"/>
    <w:basedOn w:val="1"/>
    <w:link w:val="84"/>
    <w:qFormat/>
    <w:uiPriority w:val="0"/>
    <w:pPr>
      <w:spacing w:line="240" w:lineRule="auto"/>
      <w:ind w:firstLine="420"/>
    </w:pPr>
  </w:style>
  <w:style w:type="character" w:customStyle="1" w:styleId="84">
    <w:name w:val="列表段落 字符"/>
    <w:link w:val="83"/>
    <w:qFormat/>
    <w:locked/>
    <w:uiPriority w:val="34"/>
    <w:rPr>
      <w:rFonts w:ascii="Times New Roman" w:hAnsi="Times New Roman" w:eastAsia="宋体" w:cs="Times New Roman"/>
      <w:sz w:val="24"/>
      <w:szCs w:val="24"/>
    </w:rPr>
  </w:style>
  <w:style w:type="character" w:customStyle="1" w:styleId="85">
    <w:name w:val="正文缩进2字符 Char"/>
    <w:link w:val="86"/>
    <w:qFormat/>
    <w:locked/>
    <w:uiPriority w:val="0"/>
    <w:rPr>
      <w:sz w:val="24"/>
      <w:szCs w:val="24"/>
    </w:rPr>
  </w:style>
  <w:style w:type="paragraph" w:customStyle="1" w:styleId="86">
    <w:name w:val="正文缩进2字符"/>
    <w:basedOn w:val="1"/>
    <w:link w:val="85"/>
    <w:qFormat/>
    <w:uiPriority w:val="0"/>
    <w:pPr>
      <w:ind w:firstLine="480"/>
    </w:pPr>
    <w:rPr>
      <w:rFonts w:asciiTheme="minorHAnsi" w:hAnsiTheme="minorHAnsi" w:eastAsiaTheme="minorEastAsia" w:cstheme="minorBidi"/>
    </w:rPr>
  </w:style>
  <w:style w:type="paragraph" w:customStyle="1" w:styleId="87">
    <w:name w:val="hh1"/>
    <w:basedOn w:val="4"/>
    <w:qFormat/>
    <w:uiPriority w:val="0"/>
    <w:pPr>
      <w:numPr>
        <w:numId w:val="5"/>
      </w:numPr>
      <w:adjustRightInd w:val="0"/>
      <w:snapToGrid w:val="0"/>
      <w:spacing w:before="340" w:after="330" w:line="578" w:lineRule="auto"/>
      <w:jc w:val="both"/>
    </w:pPr>
    <w:rPr>
      <w:rFonts w:ascii="Calibri" w:hAnsi="Calibri"/>
      <w:sz w:val="32"/>
      <w:szCs w:val="32"/>
      <w:lang w:val="zh-CN"/>
    </w:rPr>
  </w:style>
  <w:style w:type="paragraph" w:customStyle="1" w:styleId="88">
    <w:name w:val="hh2"/>
    <w:basedOn w:val="5"/>
    <w:qFormat/>
    <w:uiPriority w:val="0"/>
    <w:pPr>
      <w:numPr>
        <w:numId w:val="5"/>
      </w:numPr>
      <w:adjustRightInd w:val="0"/>
      <w:snapToGrid w:val="0"/>
      <w:spacing w:before="260" w:after="260" w:line="415" w:lineRule="auto"/>
      <w:jc w:val="both"/>
    </w:pPr>
    <w:rPr>
      <w:rFonts w:ascii="Cambria" w:hAnsi="Cambria" w:eastAsia="宋体" w:cs="Times New Roman"/>
      <w:sz w:val="30"/>
      <w:lang w:val="zh-CN"/>
    </w:rPr>
  </w:style>
  <w:style w:type="paragraph" w:customStyle="1" w:styleId="89">
    <w:name w:val="hh3"/>
    <w:basedOn w:val="6"/>
    <w:qFormat/>
    <w:uiPriority w:val="0"/>
    <w:pPr>
      <w:numPr>
        <w:numId w:val="5"/>
      </w:numPr>
      <w:adjustRightInd w:val="0"/>
      <w:snapToGrid w:val="0"/>
      <w:spacing w:before="260" w:after="260" w:line="415" w:lineRule="auto"/>
      <w:ind w:left="284"/>
    </w:pPr>
    <w:rPr>
      <w:rFonts w:ascii="Calibri" w:hAnsi="Calibri"/>
      <w:sz w:val="30"/>
      <w:lang w:val="zh-CN"/>
    </w:rPr>
  </w:style>
  <w:style w:type="paragraph" w:customStyle="1" w:styleId="90">
    <w:name w:val="hh4"/>
    <w:basedOn w:val="7"/>
    <w:qFormat/>
    <w:uiPriority w:val="0"/>
    <w:pPr>
      <w:numPr>
        <w:numId w:val="5"/>
      </w:numPr>
      <w:adjustRightInd w:val="0"/>
      <w:snapToGrid w:val="0"/>
      <w:spacing w:before="280" w:after="290" w:line="376" w:lineRule="auto"/>
      <w:ind w:left="142"/>
    </w:pPr>
    <w:rPr>
      <w:rFonts w:ascii="Cambria" w:hAnsi="Cambria" w:eastAsia="宋体" w:cs="Times New Roman"/>
      <w:kern w:val="0"/>
      <w:szCs w:val="24"/>
      <w:lang w:val="zh-CN"/>
    </w:rPr>
  </w:style>
  <w:style w:type="character" w:customStyle="1" w:styleId="91">
    <w:name w:val="_标题5 Char"/>
    <w:basedOn w:val="81"/>
    <w:link w:val="73"/>
    <w:qFormat/>
    <w:uiPriority w:val="0"/>
    <w:rPr>
      <w:b/>
      <w:sz w:val="24"/>
      <w:szCs w:val="21"/>
    </w:rPr>
  </w:style>
  <w:style w:type="paragraph" w:customStyle="1" w:styleId="92">
    <w:name w:val="WW-正文缩进1"/>
    <w:basedOn w:val="1"/>
    <w:qFormat/>
    <w:uiPriority w:val="0"/>
    <w:pPr>
      <w:suppressAutoHyphens/>
      <w:spacing w:line="400" w:lineRule="atLeast"/>
      <w:ind w:left="567" w:firstLine="510" w:firstLineChars="0"/>
    </w:pPr>
    <w:rPr>
      <w:szCs w:val="20"/>
      <w:lang w:eastAsia="ar-SA"/>
    </w:rPr>
  </w:style>
  <w:style w:type="character" w:customStyle="1" w:styleId="93">
    <w:name w:val="题注 字符"/>
    <w:link w:val="15"/>
    <w:qFormat/>
    <w:uiPriority w:val="0"/>
    <w:rPr>
      <w:rFonts w:ascii="Times New Roman" w:hAnsi="Times New Roman" w:eastAsia="宋体" w:cs="Times New Roman"/>
      <w:b/>
      <w:kern w:val="0"/>
      <w:sz w:val="20"/>
      <w:szCs w:val="20"/>
    </w:rPr>
  </w:style>
  <w:style w:type="paragraph" w:customStyle="1" w:styleId="94">
    <w:name w:val="_"/>
    <w:basedOn w:val="1"/>
    <w:qFormat/>
    <w:uiPriority w:val="0"/>
    <w:pPr>
      <w:adjustRightInd w:val="0"/>
      <w:snapToGrid w:val="0"/>
      <w:ind w:left="480" w:firstLine="510"/>
      <w:textAlignment w:val="baseline"/>
    </w:pPr>
    <w:rPr>
      <w:kern w:val="0"/>
      <w:szCs w:val="20"/>
    </w:rPr>
  </w:style>
  <w:style w:type="character" w:customStyle="1" w:styleId="95">
    <w:name w:val="正文文本 字符"/>
    <w:basedOn w:val="40"/>
    <w:link w:val="3"/>
    <w:qFormat/>
    <w:uiPriority w:val="99"/>
    <w:rPr>
      <w:rFonts w:ascii="Times New Roman" w:hAnsi="Times New Roman" w:eastAsia="宋体" w:cs="Times New Roman"/>
      <w:sz w:val="24"/>
      <w:szCs w:val="24"/>
    </w:rPr>
  </w:style>
  <w:style w:type="character" w:customStyle="1" w:styleId="96">
    <w:name w:val="正文文本首行缩进 字符"/>
    <w:basedOn w:val="95"/>
    <w:link w:val="2"/>
    <w:semiHidden/>
    <w:qFormat/>
    <w:uiPriority w:val="99"/>
    <w:rPr>
      <w:rFonts w:ascii="Times New Roman" w:hAnsi="Times New Roman" w:eastAsia="宋体" w:cs="Times New Roman"/>
      <w:sz w:val="24"/>
      <w:szCs w:val="24"/>
    </w:rPr>
  </w:style>
  <w:style w:type="character" w:customStyle="1" w:styleId="97">
    <w:name w:val="_标题8 Char"/>
    <w:basedOn w:val="81"/>
    <w:link w:val="76"/>
    <w:uiPriority w:val="0"/>
    <w:rPr>
      <w:b/>
      <w:sz w:val="24"/>
      <w:szCs w:val="21"/>
    </w:rPr>
  </w:style>
  <w:style w:type="paragraph" w:customStyle="1" w:styleId="98">
    <w:name w:val="Table Paragraph"/>
    <w:basedOn w:val="1"/>
    <w:qFormat/>
    <w:uiPriority w:val="1"/>
    <w:pPr>
      <w:autoSpaceDE w:val="0"/>
      <w:autoSpaceDN w:val="0"/>
      <w:spacing w:line="240" w:lineRule="auto"/>
      <w:ind w:firstLine="0" w:firstLineChars="0"/>
      <w:jc w:val="left"/>
    </w:pPr>
    <w:rPr>
      <w:rFonts w:ascii="宋体" w:hAnsi="宋体" w:cs="宋体"/>
      <w:kern w:val="0"/>
      <w:sz w:val="22"/>
      <w:szCs w:val="22"/>
      <w:lang w:val="zh-CN" w:bidi="zh-CN"/>
    </w:rPr>
  </w:style>
  <w:style w:type="table" w:customStyle="1" w:styleId="99">
    <w:name w:val="Table Normal"/>
    <w:semiHidden/>
    <w:unhideWhenUsed/>
    <w:qFormat/>
    <w:uiPriority w:val="2"/>
    <w:tblPr>
      <w:tblCellMar>
        <w:top w:w="0" w:type="dxa"/>
        <w:left w:w="0" w:type="dxa"/>
        <w:bottom w:w="0" w:type="dxa"/>
        <w:right w:w="0" w:type="dxa"/>
      </w:tblCellMar>
    </w:tblPr>
  </w:style>
  <w:style w:type="character" w:customStyle="1" w:styleId="100">
    <w:name w:val="批注文字 字符"/>
    <w:basedOn w:val="40"/>
    <w:link w:val="16"/>
    <w:qFormat/>
    <w:uiPriority w:val="0"/>
    <w:rPr>
      <w:rFonts w:ascii="宋体" w:hAnsi="宋体" w:eastAsia="宋体" w:cs="宋体"/>
      <w:kern w:val="0"/>
      <w:sz w:val="24"/>
      <w:lang w:val="zh-CN" w:bidi="zh-CN"/>
    </w:rPr>
  </w:style>
  <w:style w:type="character" w:customStyle="1" w:styleId="101">
    <w:name w:val="批注主题 字符"/>
    <w:basedOn w:val="100"/>
    <w:link w:val="36"/>
    <w:uiPriority w:val="0"/>
    <w:rPr>
      <w:rFonts w:ascii="宋体" w:hAnsi="宋体" w:eastAsia="宋体" w:cs="宋体"/>
      <w:b/>
      <w:bCs/>
      <w:kern w:val="0"/>
      <w:sz w:val="24"/>
      <w:lang w:val="zh-CN" w:bidi="zh-CN"/>
    </w:rPr>
  </w:style>
  <w:style w:type="paragraph" w:customStyle="1" w:styleId="102">
    <w:name w:val="Bullet"/>
    <w:basedOn w:val="1"/>
    <w:uiPriority w:val="0"/>
    <w:pPr>
      <w:widowControl/>
      <w:numPr>
        <w:ilvl w:val="0"/>
        <w:numId w:val="6"/>
      </w:numPr>
      <w:tabs>
        <w:tab w:val="left" w:pos="840"/>
        <w:tab w:val="clear" w:pos="0"/>
      </w:tabs>
      <w:spacing w:after="200" w:line="276" w:lineRule="auto"/>
      <w:ind w:left="840" w:hanging="420" w:firstLineChars="0"/>
      <w:jc w:val="left"/>
    </w:pPr>
    <w:rPr>
      <w:rFonts w:ascii="Arial" w:hAnsi="Arial" w:eastAsiaTheme="minorEastAsia" w:cstheme="minorBidi"/>
      <w:kern w:val="0"/>
      <w:sz w:val="22"/>
      <w:szCs w:val="22"/>
      <w:lang w:eastAsia="en-US"/>
    </w:rPr>
  </w:style>
  <w:style w:type="paragraph" w:customStyle="1" w:styleId="103">
    <w:name w:val="test2"/>
    <w:basedOn w:val="1"/>
    <w:uiPriority w:val="0"/>
    <w:pPr>
      <w:widowControl/>
      <w:numPr>
        <w:ilvl w:val="0"/>
        <w:numId w:val="7"/>
      </w:numPr>
      <w:tabs>
        <w:tab w:val="left" w:pos="1425"/>
        <w:tab w:val="clear" w:pos="953"/>
      </w:tabs>
      <w:overflowPunct w:val="0"/>
      <w:autoSpaceDE w:val="0"/>
      <w:autoSpaceDN w:val="0"/>
      <w:adjustRightInd w:val="0"/>
      <w:spacing w:before="60" w:after="200" w:line="276" w:lineRule="auto"/>
      <w:ind w:left="1423" w:hanging="527" w:firstLineChars="0"/>
      <w:jc w:val="left"/>
      <w:textAlignment w:val="baseline"/>
    </w:pPr>
    <w:rPr>
      <w:rFonts w:ascii="宋体" w:hAnsiTheme="minorHAnsi" w:eastAsiaTheme="minorEastAsia" w:cstheme="minorBidi"/>
      <w:kern w:val="0"/>
      <w:sz w:val="22"/>
      <w:szCs w:val="20"/>
    </w:rPr>
  </w:style>
  <w:style w:type="paragraph" w:customStyle="1" w:styleId="104">
    <w:name w:val="正文文本缩进1"/>
    <w:basedOn w:val="1"/>
    <w:uiPriority w:val="0"/>
    <w:pPr>
      <w:spacing w:after="120" w:line="240" w:lineRule="auto"/>
      <w:ind w:left="420" w:leftChars="200" w:firstLine="0" w:firstLineChars="0"/>
    </w:pPr>
    <w:rPr>
      <w:rFonts w:ascii="Calibri" w:hAnsi="Calibri"/>
      <w:sz w:val="21"/>
    </w:rPr>
  </w:style>
  <w:style w:type="table" w:customStyle="1" w:styleId="105">
    <w:name w:val="网格型1"/>
    <w:basedOn w:val="38"/>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6">
    <w:name w:val="网格型2"/>
    <w:basedOn w:val="3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7">
    <w:name w:val="Char Char Char Char"/>
    <w:basedOn w:val="1"/>
    <w:uiPriority w:val="0"/>
    <w:pPr>
      <w:adjustRightInd w:val="0"/>
      <w:ind w:firstLine="0" w:firstLineChars="0"/>
    </w:pPr>
    <w:rPr>
      <w:kern w:val="0"/>
      <w:szCs w:val="20"/>
    </w:rPr>
  </w:style>
  <w:style w:type="character" w:customStyle="1" w:styleId="108">
    <w:name w:val="正文缩进 字符"/>
    <w:link w:val="14"/>
    <w:uiPriority w:val="0"/>
    <w:rPr>
      <w:rFonts w:ascii="Times New Roman" w:hAnsi="Times New Roman" w:eastAsia="宋体" w:cs="Times New Roman"/>
      <w:szCs w:val="20"/>
    </w:rPr>
  </w:style>
  <w:style w:type="paragraph" w:customStyle="1" w:styleId="109">
    <w:name w:val="#"/>
    <w:basedOn w:val="1"/>
    <w:qFormat/>
    <w:uiPriority w:val="0"/>
    <w:pPr>
      <w:widowControl/>
      <w:tabs>
        <w:tab w:val="left" w:pos="420"/>
      </w:tabs>
      <w:spacing w:line="240" w:lineRule="auto"/>
      <w:ind w:left="420" w:hanging="420" w:firstLineChars="0"/>
      <w:jc w:val="left"/>
    </w:pPr>
  </w:style>
  <w:style w:type="table" w:customStyle="1" w:styleId="110">
    <w:name w:val="网格型3"/>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网格型4"/>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网格型5"/>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网格型6"/>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7"/>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8"/>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9"/>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网格型10"/>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网格型11"/>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网格型12"/>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网格型13"/>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网格型14"/>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15"/>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16"/>
    <w:basedOn w:val="3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4">
    <w:name w:val="!正文"/>
    <w:basedOn w:val="1"/>
    <w:qFormat/>
    <w:uiPriority w:val="0"/>
    <w:pPr>
      <w:ind w:firstLine="480"/>
    </w:pPr>
    <w:rPr>
      <w:rFonts w:ascii="Calibri" w:hAnsi="Calibri"/>
      <w:szCs w:val="21"/>
    </w:rPr>
  </w:style>
  <w:style w:type="table" w:customStyle="1" w:styleId="125">
    <w:name w:val="网格型17"/>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Char Char Char"/>
    <w:basedOn w:val="1"/>
    <w:qFormat/>
    <w:uiPriority w:val="0"/>
    <w:pPr>
      <w:spacing w:line="240" w:lineRule="auto"/>
      <w:ind w:firstLine="0" w:firstLineChars="0"/>
    </w:pPr>
    <w:rPr>
      <w:rFonts w:ascii="宋体" w:hAnsi="宋体"/>
      <w:b/>
      <w:sz w:val="28"/>
      <w:szCs w:val="28"/>
    </w:rPr>
  </w:style>
  <w:style w:type="character" w:customStyle="1" w:styleId="127">
    <w:name w:val="NormalCharacter"/>
    <w:qFormat/>
    <w:uiPriority w:val="0"/>
    <w:rPr>
      <w:rFonts w:ascii="Tahoma" w:hAnsi="Tahoma"/>
      <w:sz w:val="24"/>
    </w:rPr>
  </w:style>
  <w:style w:type="paragraph" w:customStyle="1" w:styleId="128">
    <w:name w:val="TOC 标题11"/>
    <w:basedOn w:val="4"/>
    <w:next w:val="1"/>
    <w:qFormat/>
    <w:uiPriority w:val="10"/>
    <w:pPr>
      <w:numPr>
        <w:numId w:val="0"/>
      </w:numPr>
      <w:spacing w:before="240" w:line="259" w:lineRule="auto"/>
      <w:jc w:val="center"/>
      <w:outlineLvl w:val="9"/>
    </w:pPr>
    <w:rPr>
      <w:rFonts w:ascii="Calibri Light" w:hAnsi="Calibri Light"/>
      <w:b w:val="0"/>
      <w:bCs w:val="0"/>
      <w:kern w:val="0"/>
      <w:szCs w:val="32"/>
    </w:rPr>
  </w:style>
  <w:style w:type="paragraph" w:customStyle="1" w:styleId="129">
    <w:name w:val="列出段落11"/>
    <w:basedOn w:val="1"/>
    <w:qFormat/>
    <w:uiPriority w:val="99"/>
    <w:pPr>
      <w:ind w:firstLine="420"/>
    </w:pPr>
  </w:style>
  <w:style w:type="paragraph" w:customStyle="1" w:styleId="130">
    <w:name w:val="列表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FE0F-B1EB-4C9C-B9FF-99B6E913A994}">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15343</Words>
  <Characters>15917</Characters>
  <Lines>120</Lines>
  <Paragraphs>34</Paragraphs>
  <TotalTime>58</TotalTime>
  <ScaleCrop>false</ScaleCrop>
  <LinksUpToDate>false</LinksUpToDate>
  <CharactersWithSpaces>15944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2022-04-14T07:43:00Z</dcterms:created>
  <dc:creator>freya</dc:creator>
  <cp:lastModifiedBy>审核</cp:lastModifiedBy>
  <dcterms:modified xsi:type="dcterms:W3CDTF">2022-06-29T06:29:30Z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C7296FC585F1430FA4F0AE42E99B7467</vt:lpwstr>
  </property>
</Properties>
</file>