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pacing w:beforeLines="0" w:afterLines="0" w:line="560" w:lineRule="exact"/>
        <w:rPr>
          <w:rFonts w:ascii="Times New Roman" w:hAnsi="Times New Roman" w:cs="Times New Roman"/>
          <w:sz w:val="32"/>
          <w:szCs w:val="32"/>
        </w:rPr>
      </w:pPr>
      <w:bookmarkStart w:id="0" w:name="_bookmark1"/>
      <w:bookmarkEnd w:id="0"/>
      <w:bookmarkStart w:id="1" w:name="_Toc81143988"/>
      <w:r>
        <w:rPr>
          <w:rFonts w:hint="eastAsia" w:ascii="Times New Roman" w:hAnsi="Times New Roman" w:cs="Times New Roman"/>
          <w:sz w:val="32"/>
          <w:szCs w:val="32"/>
        </w:rPr>
        <w:t>技术规范书</w:t>
      </w:r>
      <w:bookmarkEnd w:id="1"/>
    </w:p>
    <w:p>
      <w:pPr>
        <w:pStyle w:val="5"/>
        <w:spacing w:beforeLines="0" w:afterLines="0" w:line="560" w:lineRule="exact"/>
        <w:rPr>
          <w:rFonts w:ascii="宋体" w:hAnsi="宋体" w:eastAsia="宋体"/>
          <w:b w:val="0"/>
          <w:color w:val="000000"/>
          <w:sz w:val="24"/>
          <w:szCs w:val="24"/>
        </w:rPr>
      </w:pPr>
      <w:bookmarkStart w:id="2" w:name="_Toc80710128"/>
      <w:bookmarkStart w:id="3" w:name="_Toc81143989"/>
      <w:r>
        <w:rPr>
          <w:rFonts w:hint="eastAsia" w:ascii="宋体" w:hAnsi="宋体" w:eastAsia="宋体"/>
          <w:color w:val="000000"/>
          <w:sz w:val="24"/>
          <w:szCs w:val="24"/>
        </w:rPr>
        <w:t>一、项目概况及总体要求</w:t>
      </w:r>
      <w:bookmarkEnd w:id="2"/>
      <w:bookmarkEnd w:id="3"/>
    </w:p>
    <w:p>
      <w:pPr>
        <w:spacing w:beforeLines="0" w:afterLines="0" w:line="560" w:lineRule="exact"/>
        <w:ind w:firstLine="482" w:firstLineChars="200"/>
        <w:outlineLvl w:val="2"/>
        <w:rPr>
          <w:rStyle w:val="55"/>
          <w:sz w:val="24"/>
          <w:szCs w:val="24"/>
        </w:rPr>
      </w:pPr>
      <w:r>
        <w:rPr>
          <w:rFonts w:hint="eastAsia"/>
          <w:b/>
          <w:bCs/>
          <w:sz w:val="24"/>
          <w:szCs w:val="24"/>
          <w:lang w:val="en-US"/>
        </w:rPr>
        <w:t>1、</w:t>
      </w:r>
      <w:r>
        <w:rPr>
          <w:rFonts w:hint="eastAsia"/>
          <w:b/>
          <w:bCs/>
          <w:sz w:val="24"/>
          <w:szCs w:val="24"/>
        </w:rPr>
        <w:t>项目背景概况</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哈尔滨国家级互联网骨干直联点监测系统作为哈尔滨国家级互联网骨干直联点的主要组成部分，对保障哈尔滨国家级互联网骨干直联点、国家互联网运行安全及质量，为互联网产业政策决策部署提供依据具有重要作用。一方面监测哈尔滨国家级互联网骨干直联点各网络、设备运行状况、使用状况，实时感知网络架构、网络效率、网间互联互通以及网络应用、业务质量现状，保障哈尔滨国家级互联网骨干直联点运行维护和应用安全。另一方面为实时监测黑龙江省互联网运行状态，监测网间通信质量，监测全省网络运行态势，为监管部门提供必要的技术手段，支撑监管部门实时监测发现互联网网间状况，全面掌握互联网性能和宽带速率情况，有效协调骨干互联单位网间带宽扩容，定期发布网间互联运行质量报告，及时解决网间互联质量障碍，充分利用好骨干互联带宽优势服务本地发展，为维护广大电信用户合法权益提供支撑，促进信息通信行业公平竞争；及时掌握黑龙江省互联网发展数据，评判运营商宽带服务状况，督促运营商改进宽带服务，推动黑龙江省互联网建设发展，有力支撑“数字龙江”建设。</w:t>
      </w:r>
    </w:p>
    <w:p>
      <w:pPr>
        <w:spacing w:beforeLines="0" w:afterLines="0" w:line="560" w:lineRule="exact"/>
        <w:ind w:firstLine="482" w:firstLineChars="200"/>
        <w:outlineLvl w:val="2"/>
        <w:rPr>
          <w:b/>
          <w:bCs/>
          <w:sz w:val="24"/>
          <w:szCs w:val="24"/>
        </w:rPr>
      </w:pPr>
      <w:r>
        <w:rPr>
          <w:rFonts w:hint="eastAsia"/>
          <w:b/>
          <w:bCs/>
          <w:sz w:val="24"/>
          <w:szCs w:val="24"/>
          <w:lang w:val="en-US"/>
        </w:rPr>
        <w:t>2、</w:t>
      </w:r>
      <w:r>
        <w:rPr>
          <w:rFonts w:hint="eastAsia"/>
          <w:b/>
          <w:bCs/>
          <w:sz w:val="24"/>
          <w:szCs w:val="24"/>
        </w:rPr>
        <w:t>参考规范及标准</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工业和信息化部《“双千兆”网络协同发展行动计划（2021-2023年）》（工信部通信〔2021〕34号）。</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《工业和信息化部关于贯彻落实&lt;推进互联网协议第六版（IPv6）规模部署行动计划&gt;的通知》（工信部通信〔2018〕77号）。</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《黑龙江省国民经济和社会发展第十四个五年规划和二○三五年远景目标纲要》（黑政发〔2021〕5号）</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黑龙江省人民政府《“数字龙江”发展规划（2019-2025年）》（黑政规〔2019〕7号）。</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黑龙江省工业和信息化厅《黑龙江省新一代信息技术产业发展规划（2019-2025年）》（黑工信信软发〔2019〕207号）。</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《关于设立新增国家级互联网骨干直联点的指导意见》（工信部电管〔2013〕530号），工业和信息化部，2013年12月30日。</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《互联网骨干网网间通信质量监督管理办法》（工信部信管〔2016〕209号）。</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《通信网络安全防护管理办法》(工业和信息化部令第11号）。</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《工业和信息化部关于发布互联网骨干直联点监测系统建设和运行维护管理相关规范的通知》（工业和信息化部电管〔2014〕367号），工业和信息化部，2014年8月。</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《工业和信息化部关于设立新增国家级互联网骨干直联点的指导意见》（工信部电管〔2013〕530号）。</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《中华人民共和国网络安全法》，2017年6月1日起施行。</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《中华人民共和国密码法》，2020年1月1日起施行。</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《信息安全技术网络安全等级保护定级指南》GB/T 22240-2020。</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《电信网和互联网数据安全通用要求》YD/T 3802-2020。</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《信息安全技术网络安全等级保护测评过程指南》GB/T 28449-2018。</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《信息安全技术网络安全等级保护测试评估技术指南》GB/T 36627-2018。</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《信息安全技术网络安全等级保护安全管理中心技术要求》GB/T 36958-2018。</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《信息安全技术网络安全等级保护基本要求》GB/T 22239-2019。</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《信息安全技术网络安全等级保护安全设计技术要求》GB/T 25070-2019。</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《信息安全技术网络安全等级保护测评要求》GB/T 28448-2019。</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《信息安全技术网络安全等级保护测评机构能力要求和评估规范》GB/T 36959-2018。</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《信息安全技术信息系统密码应用基本要求》GB/T 39786-2021。</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《密码标准使用指南》GM/Y 5001-2021。</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《互联网网间互联总体技术要求》YD/T 1402-2018。</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《互联网网络和业务服务质量技术要求》YD/T 1641-2020。</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《互联网网络和业务服务质量测试方法》YD/T 1642-2020。</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《国家通信网互联互通监控中心互联网监测系统技术要求》YD/T 2023-2013。</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《工程建设标准强制性条文》(信息工程部分)。</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《通信机房安全管理总体要求》YD/T 2057-2009。</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《通信建筑工程设计规范》YD 5003-2014。</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《民用建筑电气设计标准》（GB 51348-2019）。</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《数据中心设计规范》GB 50174-2017。</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《建筑设计防火规范》GB 50016-2014（2018年版）。</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《消防应急照明和疏散指示系统技术标准》（GB 51309-2018）</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《建筑照明设计标准》（GB 50034-2013）</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《火灾自动报警系统设计规范》（GB 50116-2013）</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《建筑内部装修设计防火规范》GB 50222-2017。</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《电气装置安装工程接地装置施工及验收规范》GB 50169-2016。</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《建筑电气工程质量验收规范》GB 50303-2015。</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《数据中心基础设施施工及验收规范》GB 50462-2015。</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《智能建筑设计标准》GB/T 50314-2015。</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《综合布线系统工程设计规范》GB/T 50311-2016。</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《厅堂扩声特性测量方法》GB/T 4959-2011。</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《安全防范工程技术标准》GB 50348-2018。</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《入侵报警系统工程设计规范》GB 50394-2019。</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《视频安防监控系统工程设计规范》GB 50395-2019。</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《出入口控制系统工程设计规范》GB 50396-2019工程设计</w:t>
      </w:r>
      <w:r>
        <w:rPr>
          <w:rFonts w:hint="eastAsia" w:ascii="仿宋" w:hAnsi="仿宋" w:eastAsia="仿宋" w:cs="仿宋"/>
          <w:color w:val="000000"/>
          <w:sz w:val="24"/>
          <w:szCs w:val="24"/>
          <w:lang w:val="en-US"/>
        </w:rPr>
        <w:t>规范</w:t>
      </w:r>
      <w:r>
        <w:rPr>
          <w:rFonts w:hint="eastAsia" w:ascii="仿宋" w:hAnsi="仿宋" w:eastAsia="仿宋" w:cs="仿宋"/>
          <w:color w:val="000000"/>
          <w:sz w:val="24"/>
          <w:szCs w:val="24"/>
        </w:rPr>
        <w:t>。</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《安全防范工程技术规范》GB50348-2018</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《供配电系统设计规范》（GB 50052-2016）</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《低压配电设计规范》（GB 50054-2011）</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《通信局（站）节能设计规范》YD 5184-2018。</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《通信局（站）电源系统总技术要求》YD 1051-2018</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《通信电源设备安装工程设计规范》GB 51194-2016</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《建筑物电子信息系统防雷技术规范》GB50343-2012</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《电力工程电缆设计标准》GB50217-2018</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《通信电源用阻燃耐火软电缆》YDT 1173-2016</w:t>
      </w:r>
    </w:p>
    <w:p>
      <w:pPr>
        <w:numPr>
          <w:ilvl w:val="0"/>
          <w:numId w:val="12"/>
        </w:numPr>
        <w:adjustRightInd w:val="0"/>
        <w:spacing w:beforeLines="0" w:afterLines="0" w:line="560" w:lineRule="exact"/>
        <w:ind w:left="0" w:firstLine="480" w:firstLineChars="200"/>
        <w:jc w:val="both"/>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《建筑机电工程抗震设计规范》GB 50981-2014</w:t>
      </w:r>
    </w:p>
    <w:p>
      <w:pPr>
        <w:spacing w:beforeLines="0" w:afterLines="0" w:line="560" w:lineRule="exact"/>
        <w:ind w:firstLine="480" w:firstLineChars="200"/>
        <w:rPr>
          <w:sz w:val="24"/>
          <w:szCs w:val="24"/>
        </w:rPr>
      </w:pPr>
      <w:r>
        <w:rPr>
          <w:rFonts w:hint="eastAsia" w:ascii="仿宋" w:hAnsi="仿宋" w:eastAsia="仿宋" w:cs="仿宋"/>
          <w:sz w:val="24"/>
          <w:szCs w:val="24"/>
        </w:rPr>
        <w:t>以上标准或规范如果已经发布新版本，本项目须执行新的标准或规范。</w:t>
      </w:r>
    </w:p>
    <w:p>
      <w:pPr>
        <w:spacing w:beforeLines="0" w:afterLines="0" w:line="560" w:lineRule="exact"/>
        <w:ind w:firstLine="482" w:firstLineChars="200"/>
        <w:jc w:val="both"/>
        <w:outlineLvl w:val="2"/>
        <w:rPr>
          <w:rFonts w:hint="eastAsia" w:ascii="仿宋" w:hAnsi="仿宋" w:eastAsia="仿宋" w:cs="仿宋"/>
          <w:b/>
          <w:bCs/>
          <w:sz w:val="24"/>
          <w:szCs w:val="24"/>
        </w:rPr>
      </w:pPr>
      <w:r>
        <w:rPr>
          <w:rFonts w:hint="eastAsia" w:ascii="仿宋" w:hAnsi="仿宋" w:eastAsia="仿宋" w:cs="仿宋"/>
          <w:b/>
          <w:bCs/>
          <w:sz w:val="24"/>
          <w:szCs w:val="24"/>
          <w:lang w:val="en-US"/>
        </w:rPr>
        <w:t>3、</w:t>
      </w:r>
      <w:r>
        <w:rPr>
          <w:rFonts w:hint="eastAsia" w:ascii="仿宋" w:hAnsi="仿宋" w:eastAsia="仿宋" w:cs="仿宋"/>
          <w:b/>
          <w:bCs/>
          <w:sz w:val="24"/>
          <w:szCs w:val="24"/>
        </w:rPr>
        <w:t>技术方案书</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方应按照本文件的要求提供详细的技术方案书。投标方提供的各项设备及系统的功能、性能应完全符合招标方指明的标准，并满足或高于买方指出的要求。对于本文件未规定的有关设备性能或属于投标方专有的系统性能指标，投标方应在其技术建议书中提出建议，并陈述其理由。</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技术方案书的内容及格式要求，投标方所提供的方案书应按照以下内容格式进行编制：</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一、综述；</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二、详细方案建议；</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三、监测系统提供的所有功能清单（投标方可以提出本技术规范书中未列出的其它监测分析功能，以便买方采用）；</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四、设备配置清单应满足技术规范书中的设备清单要求，具体包含清单中所有设备和材料的名称、型号、详细参数、数量等；</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五、工程进度安排及人员安排，并详细列出支撑本次工程的技术人员名单和职务；</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六、设备、系统测试方案及验收标准与方法；</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七、工程实施方法；</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八、培训计划及培训目标；</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九、技术承诺；</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十、技术服务、支持、保修；</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十一、其它技术资料及投标方认为应该说明的问题；</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其中“二、详细方案建议”要求至少包含以下内容：</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（1）总体思路</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（2）整体架构</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（3）系统性能指标</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（4）业务量及存储等能力测算（能明确合理指导硬件设备的配置）</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（5）应用系统建设方案</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（6）网络安全防护系统建设方案</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（7）密码应用建设方案</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（8）数据处理及存储平台建设方案</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（9）软硬件部署建设方案</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（10）配套设施建设方案</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投标方详细方案建议不限与以上内容，可根据投标方自己的理解给出合理的内容方案，最终提出的方案要满足本期的建设内容要求，并超越本期技术规范书中技术需求。</w:t>
      </w:r>
    </w:p>
    <w:p>
      <w:pPr>
        <w:spacing w:beforeLines="0" w:afterLines="0" w:line="560" w:lineRule="exact"/>
        <w:ind w:firstLine="482" w:firstLineChars="200"/>
        <w:jc w:val="both"/>
        <w:outlineLvl w:val="2"/>
        <w:rPr>
          <w:rFonts w:hint="eastAsia" w:ascii="仿宋" w:hAnsi="仿宋" w:eastAsia="仿宋" w:cs="仿宋"/>
          <w:b/>
          <w:bCs/>
          <w:sz w:val="24"/>
          <w:szCs w:val="24"/>
        </w:rPr>
      </w:pPr>
      <w:r>
        <w:rPr>
          <w:rFonts w:hint="eastAsia" w:ascii="仿宋" w:hAnsi="仿宋" w:eastAsia="仿宋" w:cs="仿宋"/>
          <w:b/>
          <w:bCs/>
          <w:sz w:val="24"/>
          <w:szCs w:val="24"/>
          <w:lang w:val="en-US"/>
        </w:rPr>
        <w:t>4、</w:t>
      </w:r>
      <w:r>
        <w:rPr>
          <w:rFonts w:hint="eastAsia" w:ascii="仿宋" w:hAnsi="仿宋" w:eastAsia="仿宋" w:cs="仿宋"/>
          <w:b/>
          <w:bCs/>
          <w:sz w:val="24"/>
          <w:szCs w:val="24"/>
        </w:rPr>
        <w:t>技术要求概述</w:t>
      </w:r>
    </w:p>
    <w:p>
      <w:pPr>
        <w:spacing w:beforeLines="0" w:afterLines="0" w:line="560" w:lineRule="exact"/>
        <w:ind w:firstLine="420"/>
        <w:jc w:val="both"/>
        <w:outlineLvl w:val="3"/>
        <w:rPr>
          <w:rFonts w:hint="eastAsia" w:ascii="仿宋" w:hAnsi="仿宋" w:eastAsia="仿宋" w:cs="仿宋"/>
          <w:b/>
          <w:bCs/>
          <w:szCs w:val="21"/>
        </w:rPr>
      </w:pPr>
      <w:r>
        <w:rPr>
          <w:rFonts w:hint="eastAsia" w:ascii="仿宋" w:hAnsi="仿宋" w:eastAsia="仿宋" w:cs="仿宋"/>
          <w:b/>
          <w:bCs/>
          <w:szCs w:val="21"/>
          <w:lang w:val="en-US"/>
        </w:rPr>
        <w:t>4</w:t>
      </w:r>
      <w:r>
        <w:rPr>
          <w:rFonts w:hint="eastAsia" w:ascii="仿宋" w:hAnsi="仿宋" w:eastAsia="仿宋" w:cs="仿宋"/>
          <w:b/>
          <w:bCs/>
          <w:szCs w:val="21"/>
        </w:rPr>
        <w:t>.1概述</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.1.1投标方须对本招标文件的技术要求进行偏离应答，偏离表格式可自行设计，若全部满足在偏离表中应答“全部满足”，如应答“不满足”或“部分满足”应附加情况说明。</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.1.</w:t>
      </w:r>
      <w:r>
        <w:rPr>
          <w:rFonts w:hint="eastAsia" w:ascii="仿宋" w:hAnsi="仿宋" w:eastAsia="仿宋" w:cs="仿宋"/>
          <w:sz w:val="24"/>
          <w:szCs w:val="24"/>
          <w:lang w:val="en-US"/>
        </w:rPr>
        <w:t>2</w:t>
      </w:r>
      <w:r>
        <w:rPr>
          <w:rFonts w:hint="eastAsia" w:ascii="仿宋" w:hAnsi="仿宋" w:eastAsia="仿宋" w:cs="仿宋"/>
          <w:sz w:val="24"/>
          <w:szCs w:val="24"/>
        </w:rPr>
        <w:t>项目实施地点在</w:t>
      </w:r>
      <w:r>
        <w:rPr>
          <w:rFonts w:hint="eastAsia" w:ascii="仿宋" w:hAnsi="仿宋" w:eastAsia="仿宋" w:cs="仿宋"/>
          <w:sz w:val="24"/>
          <w:szCs w:val="24"/>
          <w:lang w:val="en-US"/>
        </w:rPr>
        <w:t>哈尔滨</w:t>
      </w:r>
      <w:r>
        <w:rPr>
          <w:rFonts w:hint="eastAsia" w:ascii="仿宋" w:hAnsi="仿宋" w:eastAsia="仿宋" w:cs="仿宋"/>
          <w:sz w:val="24"/>
          <w:szCs w:val="24"/>
        </w:rPr>
        <w:t>市，实施地址为</w:t>
      </w:r>
      <w:r>
        <w:rPr>
          <w:rFonts w:hint="eastAsia" w:ascii="仿宋" w:hAnsi="仿宋" w:eastAsia="仿宋" w:cs="仿宋"/>
          <w:color w:val="000000"/>
          <w:sz w:val="24"/>
        </w:rPr>
        <w:t>哈尔滨市</w:t>
      </w:r>
      <w:r>
        <w:rPr>
          <w:rFonts w:hint="eastAsia" w:ascii="仿宋" w:hAnsi="仿宋" w:eastAsia="仿宋" w:cs="仿宋"/>
          <w:color w:val="000000"/>
          <w:sz w:val="24"/>
          <w:lang w:val="en-US"/>
        </w:rPr>
        <w:t>南岗区奥维斯大厦和</w:t>
      </w:r>
      <w:r>
        <w:rPr>
          <w:rFonts w:hint="eastAsia" w:ascii="仿宋" w:hAnsi="仿宋" w:eastAsia="仿宋" w:cs="仿宋"/>
          <w:color w:val="000000"/>
          <w:sz w:val="24"/>
        </w:rPr>
        <w:t>平房区哈南十七路13号</w:t>
      </w:r>
      <w:r>
        <w:rPr>
          <w:rFonts w:hint="eastAsia" w:ascii="仿宋" w:hAnsi="仿宋" w:eastAsia="仿宋" w:cs="仿宋"/>
          <w:color w:val="000000"/>
          <w:sz w:val="24"/>
          <w:lang w:val="en-US"/>
        </w:rPr>
        <w:t>移动租用</w:t>
      </w:r>
      <w:r>
        <w:rPr>
          <w:rFonts w:hint="eastAsia" w:ascii="仿宋" w:hAnsi="仿宋" w:eastAsia="仿宋" w:cs="仿宋"/>
          <w:color w:val="000000"/>
          <w:sz w:val="24"/>
        </w:rPr>
        <w:t>机房</w:t>
      </w:r>
      <w:r>
        <w:rPr>
          <w:rFonts w:hint="eastAsia" w:ascii="仿宋" w:hAnsi="仿宋" w:eastAsia="仿宋" w:cs="仿宋"/>
          <w:sz w:val="24"/>
          <w:szCs w:val="24"/>
        </w:rPr>
        <w:t>，投标方在进行集成工作时，应符合上述单位有关工程实施管理的相关规定。</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.1.</w:t>
      </w:r>
      <w:r>
        <w:rPr>
          <w:rFonts w:hint="eastAsia" w:ascii="仿宋" w:hAnsi="仿宋" w:eastAsia="仿宋" w:cs="仿宋"/>
          <w:sz w:val="24"/>
          <w:szCs w:val="24"/>
          <w:lang w:val="en-US"/>
        </w:rPr>
        <w:t>3</w:t>
      </w:r>
      <w:r>
        <w:rPr>
          <w:rFonts w:hint="eastAsia" w:ascii="仿宋" w:hAnsi="仿宋" w:eastAsia="仿宋" w:cs="仿宋"/>
          <w:sz w:val="24"/>
          <w:szCs w:val="24"/>
        </w:rPr>
        <w:t>技术要求作为投标方提出技术建议书和报价的依据。招标方拥有本技术要求的最终解释权。</w:t>
      </w:r>
    </w:p>
    <w:p>
      <w:pPr>
        <w:spacing w:beforeLines="0" w:afterLines="0" w:line="560" w:lineRule="exact"/>
        <w:ind w:firstLine="420"/>
        <w:jc w:val="both"/>
        <w:outlineLvl w:val="3"/>
        <w:rPr>
          <w:rFonts w:hint="eastAsia" w:ascii="仿宋" w:hAnsi="仿宋" w:eastAsia="仿宋" w:cs="仿宋"/>
          <w:b/>
          <w:bCs/>
          <w:szCs w:val="21"/>
          <w:lang w:val="en-US"/>
        </w:rPr>
      </w:pPr>
      <w:r>
        <w:rPr>
          <w:rFonts w:hint="eastAsia" w:ascii="仿宋" w:hAnsi="仿宋" w:eastAsia="仿宋" w:cs="仿宋"/>
          <w:b/>
          <w:bCs/>
          <w:szCs w:val="21"/>
          <w:lang w:val="en-US"/>
        </w:rPr>
        <w:t>4.2总体要求</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.2.1投标方必须根据本项目的总体功能要求，提供科学、合理、先进、可行、适合采购方实际情况的软件开发设计方案和系统集成方案，作为投标文件的重要组成部分。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.2.2投标方负责硬件和系统软件采购和安装、软件开发、平台部署、系统联调，以及配套设施建设，</w:t>
      </w:r>
      <w:r>
        <w:rPr>
          <w:rFonts w:hint="eastAsia" w:ascii="仿宋" w:hAnsi="仿宋" w:eastAsia="仿宋" w:cs="仿宋"/>
          <w:sz w:val="24"/>
          <w:szCs w:val="24"/>
          <w:highlight w:val="none"/>
        </w:rPr>
        <w:t>并提供相关评估和测评服务</w:t>
      </w:r>
      <w:r>
        <w:rPr>
          <w:rFonts w:hint="eastAsia" w:ascii="仿宋" w:hAnsi="仿宋" w:eastAsia="仿宋" w:cs="仿宋"/>
          <w:sz w:val="24"/>
          <w:szCs w:val="24"/>
        </w:rPr>
        <w:t>，负责配合完成系统初验及终验工作。</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.2.3投标方在完成本次招标内容的基础上，还应配合后续系统建设。今后招标方若进行系统扩容或升级改造时，投标方应给予配合与协助。</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.2.4投标方所投的所有软件、硬件产品、所涉及的工具及运行环境、提供的安全服务均需遵循国家、行业通用标准和规范。</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.2.5投标方采用的软件设计、系统集成技术和方法应充分考虑安全性要求，建立适宜的安全管理保障机制。应基于系统结构给出各环节相应的实施和保障方案。</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.2.6投标方提供的系统应具备与国产化设备的兼容性，能平滑迁移至国产化设备。</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.2.7投标方应坚持系统的开放性原则，考虑各种软硬件系统的兼容性和可扩展性。如果投标产品在软件调试、硬件安装、系统联调中出现兼容性问题，投标方必须在与招标方商议的处理期限内予以免费解决。</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.2.8工程实施涉及在线业务的联调工作，投标方提出的技术方案和项目实施策略应积极稳妥，调整的每一步都应具备相应的回退措施，以尽量减少对现有业务的影响。</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.2.9工程实施中涉及在线设备升级改造，在升级改造过程中应尽量做到平滑过渡，减少对现有系统造成的影响。</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2.10招标方在招标文件中所要求的产品及配置若存在遗漏，影响系统的业务功能和完整性时，投标方在投标时应补充完整，并提供相应解决方案和报价。若投标方无建议的，则认为招标方所要求的产品及配置满足系统功能要求，当系统业务功能和完整性受到影响时，投标方须无偿补足，招标方不支付任何费用。</w:t>
      </w:r>
    </w:p>
    <w:p>
      <w:pPr>
        <w:spacing w:beforeLines="0" w:afterLines="0" w:line="560" w:lineRule="exact"/>
        <w:ind w:firstLine="480" w:firstLineChars="200"/>
        <w:jc w:val="both"/>
        <w:rPr>
          <w:rFonts w:hint="eastAsia" w:ascii="仿宋" w:hAnsi="仿宋" w:eastAsia="仿宋" w:cs="仿宋"/>
          <w:sz w:val="24"/>
          <w:szCs w:val="24"/>
          <w:lang w:val="en-US"/>
        </w:rPr>
      </w:pPr>
      <w:r>
        <w:rPr>
          <w:rFonts w:hint="eastAsia" w:ascii="仿宋" w:hAnsi="仿宋" w:eastAsia="仿宋" w:cs="仿宋"/>
          <w:sz w:val="24"/>
          <w:szCs w:val="24"/>
          <w:lang w:val="en-US"/>
        </w:rPr>
        <w:t>4.2.11标“★”条款为必须满足条款，否则作为无效投标处理；标“</w:t>
      </w:r>
      <w:r>
        <w:rPr>
          <w:rFonts w:hint="eastAsia" w:ascii="仿宋" w:hAnsi="仿宋" w:eastAsia="仿宋" w:cs="仿宋"/>
          <w:szCs w:val="21"/>
        </w:rPr>
        <w:t>▲</w:t>
      </w:r>
      <w:r>
        <w:rPr>
          <w:rFonts w:hint="eastAsia" w:ascii="仿宋" w:hAnsi="仿宋" w:eastAsia="仿宋" w:cs="仿宋"/>
          <w:sz w:val="24"/>
          <w:szCs w:val="24"/>
          <w:lang w:val="en-US"/>
        </w:rPr>
        <w:t>”条款为重要条款；无标识为一般条款。</w:t>
      </w:r>
    </w:p>
    <w:p>
      <w:pPr>
        <w:pStyle w:val="5"/>
        <w:spacing w:beforeLines="0" w:afterLines="0" w:line="560" w:lineRule="exact"/>
        <w:jc w:val="both"/>
        <w:rPr>
          <w:rFonts w:hint="eastAsia" w:ascii="仿宋" w:hAnsi="仿宋" w:eastAsia="仿宋" w:cs="仿宋"/>
          <w:b w:val="0"/>
          <w:color w:val="000000"/>
          <w:sz w:val="24"/>
          <w:szCs w:val="24"/>
        </w:rPr>
      </w:pPr>
      <w:bookmarkStart w:id="4" w:name="_Toc81143990"/>
      <w:bookmarkStart w:id="5" w:name="_Toc80710129"/>
      <w:r>
        <w:rPr>
          <w:rFonts w:hint="eastAsia" w:ascii="仿宋" w:hAnsi="仿宋" w:eastAsia="仿宋" w:cs="仿宋"/>
          <w:color w:val="000000"/>
          <w:sz w:val="24"/>
          <w:szCs w:val="24"/>
        </w:rPr>
        <w:t>二、项目建设</w:t>
      </w:r>
      <w:r>
        <w:rPr>
          <w:rFonts w:hint="eastAsia" w:ascii="仿宋" w:hAnsi="仿宋" w:eastAsia="仿宋" w:cs="仿宋"/>
          <w:color w:val="000000"/>
          <w:sz w:val="24"/>
          <w:szCs w:val="24"/>
          <w:lang w:val="en-US"/>
        </w:rPr>
        <w:t>技术</w:t>
      </w:r>
      <w:r>
        <w:rPr>
          <w:rFonts w:hint="eastAsia" w:ascii="仿宋" w:hAnsi="仿宋" w:eastAsia="仿宋" w:cs="仿宋"/>
          <w:color w:val="000000"/>
          <w:sz w:val="24"/>
          <w:szCs w:val="24"/>
        </w:rPr>
        <w:t>要求</w:t>
      </w:r>
      <w:bookmarkEnd w:id="4"/>
      <w:bookmarkEnd w:id="5"/>
    </w:p>
    <w:p>
      <w:pPr>
        <w:spacing w:beforeLines="0" w:afterLines="0" w:line="560" w:lineRule="exact"/>
        <w:ind w:firstLine="482" w:firstLineChars="200"/>
        <w:jc w:val="both"/>
        <w:outlineLvl w:val="2"/>
        <w:rPr>
          <w:rFonts w:hint="eastAsia" w:ascii="仿宋" w:hAnsi="仿宋" w:eastAsia="仿宋" w:cs="仿宋"/>
          <w:b/>
          <w:bCs/>
          <w:sz w:val="24"/>
          <w:szCs w:val="24"/>
        </w:rPr>
      </w:pPr>
      <w:r>
        <w:rPr>
          <w:rFonts w:hint="eastAsia" w:ascii="仿宋" w:hAnsi="仿宋" w:eastAsia="仿宋" w:cs="仿宋"/>
          <w:b/>
          <w:bCs/>
          <w:sz w:val="24"/>
          <w:szCs w:val="24"/>
          <w:lang w:val="en-US"/>
        </w:rPr>
        <w:t>1、项目总体建设需求</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本工程在在黑龙江省通信管理局租用机房建设直联点监测系统，主动监测功能节点覆盖全省12个地市及1个地区三家互联单位城域网节点，以及互联单位骨干网6个监测节点，共45个监测节点；被动监测功能对1800Gbps互联互通带宽进行采集，并实现对1260Gbps平均流量的分析，节点覆盖黑龙江联通、移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电信</w:t>
      </w:r>
      <w:r>
        <w:rPr>
          <w:rFonts w:hint="eastAsia" w:ascii="仿宋" w:hAnsi="仿宋" w:eastAsia="仿宋" w:cs="仿宋"/>
          <w:sz w:val="24"/>
          <w:szCs w:val="24"/>
        </w:rPr>
        <w:t>三家互联单位的骨干直联点机房；宽带测速功能节点覆盖全省12个地市及1个地区的3家运营商的友好宽带测速用户家庭和移动测速家庭，其中宽带测速用户达到2340户、移动测速用户达到39户。系统构建主动监测采集子系统、被动监测采集子系统、宽带测速采集子系统、综合控制网管子系统、直联点监控中心子系统、运行维护支撑子系统，同步对黑龙江省通信管理局已有监控展示大厅进行改造升级。其中，在黑龙江三大运营商相关机房部署主动监测采集子系统和宽带测速采集子系统，在黑龙江省通信管理局</w:t>
      </w:r>
      <w:r>
        <w:rPr>
          <w:rFonts w:hint="eastAsia" w:ascii="仿宋" w:hAnsi="仿宋" w:eastAsia="仿宋" w:cs="仿宋"/>
          <w:sz w:val="24"/>
          <w:szCs w:val="24"/>
          <w:lang w:val="en-US"/>
        </w:rPr>
        <w:t>租用</w:t>
      </w:r>
      <w:r>
        <w:rPr>
          <w:rFonts w:hint="eastAsia" w:ascii="仿宋" w:hAnsi="仿宋" w:eastAsia="仿宋" w:cs="仿宋"/>
          <w:sz w:val="24"/>
          <w:szCs w:val="24"/>
        </w:rPr>
        <w:t>机房部署被动监测采集子系统、综合控制网管子系统、直联点监控中心子系统，满足哈尔滨国家级互联网骨干直联点1260Gbps互联互通平均流量全量采集及分析能力，存储互联互通监测数据不少于6个月。</w:t>
      </w:r>
    </w:p>
    <w:p>
      <w:pPr>
        <w:spacing w:beforeLines="0" w:afterLines="0" w:line="560" w:lineRule="exact"/>
        <w:ind w:firstLine="482" w:firstLineChars="200"/>
        <w:jc w:val="both"/>
        <w:outlineLvl w:val="2"/>
        <w:rPr>
          <w:rFonts w:hint="eastAsia" w:ascii="仿宋" w:hAnsi="仿宋" w:eastAsia="仿宋" w:cs="仿宋"/>
          <w:b/>
          <w:bCs/>
          <w:sz w:val="24"/>
          <w:szCs w:val="24"/>
        </w:rPr>
      </w:pPr>
      <w:r>
        <w:rPr>
          <w:rFonts w:hint="eastAsia" w:ascii="仿宋" w:hAnsi="仿宋" w:eastAsia="仿宋" w:cs="仿宋"/>
          <w:b/>
          <w:bCs/>
          <w:sz w:val="24"/>
          <w:szCs w:val="24"/>
          <w:lang w:val="en-US"/>
        </w:rPr>
        <w:t>2、</w:t>
      </w:r>
      <w:r>
        <w:rPr>
          <w:rFonts w:hint="eastAsia" w:ascii="仿宋" w:hAnsi="仿宋" w:eastAsia="仿宋" w:cs="仿宋"/>
          <w:b/>
          <w:bCs/>
          <w:sz w:val="24"/>
          <w:szCs w:val="24"/>
        </w:rPr>
        <w:t>系统总体技术要求</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.1数据采集和处理要求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系统数据采集，应具备从互联链路上采集实时数据能力。</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前端采集设备应能保证采集命令的准确接收。</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前端采集设备应支持远程操作和配置采集处理参数。并通过人机命令前端采集设备可有选择地上传采集的信息，配置过程不能中断其他部分的正常工作。</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前端采集设备支持远程的处理初始化工作。</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数据的处理必须具备多协议环境下的统一功能，即能完成所有协议的解码、处理。</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通过采集得到的原始消息，经过数据预处理，可以规定的格式存储。</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前端采集设备应具有自测的能力，具有告警功能。</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w:t>
      </w:r>
      <w:r>
        <w:rPr>
          <w:rFonts w:hint="eastAsia" w:ascii="仿宋" w:hAnsi="仿宋" w:eastAsia="仿宋" w:cs="仿宋"/>
          <w:sz w:val="24"/>
          <w:szCs w:val="24"/>
          <w:lang w:val="en-US"/>
        </w:rPr>
        <w:t>2★</w:t>
      </w:r>
      <w:r>
        <w:rPr>
          <w:rFonts w:hint="eastAsia" w:ascii="仿宋" w:hAnsi="仿宋" w:eastAsia="仿宋" w:cs="仿宋"/>
          <w:sz w:val="24"/>
          <w:szCs w:val="24"/>
        </w:rPr>
        <w:t>数据分析处理要求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能对采集的基本数据做进一步统计分析和处理，并能保存计算和分析结果以及告警报告。</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能对分析后的数据通过进一步挖掘以图、报表形式呈现。</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能对处理后的数据能已统一的格式进行存储。</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能对处理后的数据按照工信部要求进行上传。</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.3</w:t>
      </w:r>
      <w:r>
        <w:rPr>
          <w:rFonts w:hint="eastAsia" w:ascii="仿宋" w:hAnsi="仿宋" w:eastAsia="仿宋" w:cs="仿宋"/>
          <w:sz w:val="24"/>
          <w:szCs w:val="24"/>
          <w:lang w:val="en-US"/>
        </w:rPr>
        <w:t>★</w:t>
      </w:r>
      <w:r>
        <w:rPr>
          <w:rFonts w:hint="eastAsia" w:ascii="仿宋" w:hAnsi="仿宋" w:eastAsia="仿宋" w:cs="仿宋"/>
          <w:sz w:val="24"/>
          <w:szCs w:val="24"/>
        </w:rPr>
        <w:t>数据存储要求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本项目实现骨干直联点监测各类功能模块的监测数据的存储，主动、被动、宽带测速的日志数据按30天考虑；</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支持的结果数据存储时间至少180天，各类功能模块的统计报表存储，支持的存储时间365天。</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.4</w:t>
      </w:r>
      <w:r>
        <w:rPr>
          <w:rFonts w:hint="eastAsia" w:ascii="仿宋" w:hAnsi="仿宋" w:eastAsia="仿宋" w:cs="仿宋"/>
          <w:sz w:val="24"/>
          <w:szCs w:val="24"/>
          <w:lang w:val="en-US"/>
        </w:rPr>
        <w:t>★</w:t>
      </w:r>
      <w:r>
        <w:rPr>
          <w:rFonts w:hint="eastAsia" w:ascii="仿宋" w:hAnsi="仿宋" w:eastAsia="仿宋" w:cs="仿宋"/>
          <w:sz w:val="24"/>
          <w:szCs w:val="24"/>
        </w:rPr>
        <w:t>应用系统要求</w:t>
      </w:r>
    </w:p>
    <w:p>
      <w:pPr>
        <w:pStyle w:val="9"/>
        <w:numPr>
          <w:ilvl w:val="0"/>
          <w:numId w:val="13"/>
        </w:numPr>
        <w:spacing w:beforeLines="0" w:afterLines="0" w:line="560" w:lineRule="exact"/>
        <w:ind w:left="77" w:leftChars="35" w:firstLine="393" w:firstLineChars="16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系统运维指标</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系统提供7×24小时的服务；</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遵循主流的标准和协议，不仅可以为系统与上级平台系统交换信息提供便利，而且也有利于系统内部各部分之间交换信息，这将有助于提高系统扩充性；</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系统提供统一的操作界面和方式，操作界面布局合理，功能完善；</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数据分析支持联机实时处理；</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数据库安全支持后台批处理。</w:t>
      </w:r>
    </w:p>
    <w:p>
      <w:pPr>
        <w:pStyle w:val="9"/>
        <w:numPr>
          <w:ilvl w:val="0"/>
          <w:numId w:val="13"/>
        </w:numPr>
        <w:spacing w:beforeLines="0" w:afterLines="0" w:line="560" w:lineRule="exact"/>
        <w:ind w:left="77" w:leftChars="35" w:firstLine="393" w:firstLineChars="16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系统信息处理指标</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查询历史数据时，从下达查询指令到呈现最终数据的时间不大于20秒，应提示历史查询操作的剩余时间，并可随时退出查询。</w:t>
      </w:r>
    </w:p>
    <w:p>
      <w:pPr>
        <w:pStyle w:val="9"/>
        <w:numPr>
          <w:ilvl w:val="0"/>
          <w:numId w:val="13"/>
        </w:numPr>
        <w:spacing w:beforeLines="0" w:afterLines="0" w:line="560" w:lineRule="exact"/>
        <w:ind w:left="77" w:leftChars="35" w:firstLine="393" w:firstLineChars="16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应用软件系统主要性能指标</w:t>
      </w:r>
    </w:p>
    <w:p>
      <w:pPr>
        <w:pStyle w:val="9"/>
        <w:numPr>
          <w:ilvl w:val="0"/>
          <w:numId w:val="14"/>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主动监测采集能力</w:t>
      </w:r>
    </w:p>
    <w:p>
      <w:pPr>
        <w:pStyle w:val="9"/>
        <w:numPr>
          <w:ilvl w:val="0"/>
          <w:numId w:val="15"/>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主动监测采集数据回传直联点监控中心成功率大于95%。</w:t>
      </w:r>
    </w:p>
    <w:p>
      <w:pPr>
        <w:pStyle w:val="9"/>
        <w:numPr>
          <w:ilvl w:val="0"/>
          <w:numId w:val="15"/>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主动测试频率100次/周期以上，忙时系数为10（立即任务，其他为例行任务）；</w:t>
      </w:r>
    </w:p>
    <w:p>
      <w:pPr>
        <w:pStyle w:val="9"/>
        <w:numPr>
          <w:ilvl w:val="0"/>
          <w:numId w:val="15"/>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端到端网络通信性能监测，支持100个不同的TCP端口号。</w:t>
      </w:r>
    </w:p>
    <w:p>
      <w:pPr>
        <w:pStyle w:val="9"/>
        <w:numPr>
          <w:ilvl w:val="0"/>
          <w:numId w:val="15"/>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骨干网主动监测采集（网络层），每15分钟采集一次，忙时支持每5分钟采集一次。</w:t>
      </w:r>
    </w:p>
    <w:p>
      <w:pPr>
        <w:pStyle w:val="9"/>
        <w:numPr>
          <w:ilvl w:val="0"/>
          <w:numId w:val="15"/>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城域网主动监测采集（网络层），每半小时采集一次，忙时支持每5分钟采集一次。</w:t>
      </w:r>
    </w:p>
    <w:p>
      <w:pPr>
        <w:pStyle w:val="9"/>
        <w:numPr>
          <w:ilvl w:val="0"/>
          <w:numId w:val="14"/>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被动监测采集能力</w:t>
      </w:r>
    </w:p>
    <w:p>
      <w:pPr>
        <w:pStyle w:val="9"/>
        <w:numPr>
          <w:ilvl w:val="0"/>
          <w:numId w:val="16"/>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完成对哈尔滨国家级互联网骨干直联点1800Gbps互联互通带宽进行采集，并实现对1260Gbps平均流量的分析。</w:t>
      </w:r>
    </w:p>
    <w:p>
      <w:pPr>
        <w:pStyle w:val="9"/>
        <w:numPr>
          <w:ilvl w:val="0"/>
          <w:numId w:val="16"/>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在所监控链路上，可识别每类应用的总流量及流量占比。100%满足重要周知Internet协议的识别，非周知协议识别率不低于90%，总体流量识别率不低于95%。</w:t>
      </w:r>
    </w:p>
    <w:p>
      <w:pPr>
        <w:pStyle w:val="9"/>
        <w:numPr>
          <w:ilvl w:val="0"/>
          <w:numId w:val="14"/>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宽带测速采集能力</w:t>
      </w:r>
    </w:p>
    <w:p>
      <w:pPr>
        <w:pStyle w:val="9"/>
        <w:numPr>
          <w:ilvl w:val="0"/>
          <w:numId w:val="16"/>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宽带测速采集数据回传直联点监控中心成功率大于95%。</w:t>
      </w:r>
    </w:p>
    <w:p>
      <w:pPr>
        <w:pStyle w:val="9"/>
        <w:numPr>
          <w:ilvl w:val="0"/>
          <w:numId w:val="16"/>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宽带测速采集数据中有效数据样本率不小于70%。</w:t>
      </w:r>
    </w:p>
    <w:p>
      <w:pPr>
        <w:pStyle w:val="9"/>
        <w:numPr>
          <w:ilvl w:val="0"/>
          <w:numId w:val="16"/>
        </w:numPr>
        <w:spacing w:beforeLines="0" w:afterLines="0" w:line="560" w:lineRule="exact"/>
        <w:ind w:left="284" w:firstLine="321" w:firstLineChars="13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测试终端定期检测测试环境，在测试环境不影响用户上网的前提下，宽带测速及互联网业务体验测试的平均周期为每1小时采集一次。</w:t>
      </w:r>
    </w:p>
    <w:p>
      <w:pPr>
        <w:pStyle w:val="9"/>
        <w:numPr>
          <w:ilvl w:val="0"/>
          <w:numId w:val="13"/>
        </w:numPr>
        <w:spacing w:beforeLines="0" w:afterLines="0" w:line="560" w:lineRule="exact"/>
        <w:ind w:left="77" w:leftChars="35" w:firstLine="393" w:firstLineChars="164"/>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系统支撑能力</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系统应能同时接受响应多个应用子系统的服务请求，并同时响应多个外部系统的多个反馈消息。为杜绝阻塞和提高效率，对并发事件响应能力的需求如下：</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系统响应时间，要求系统平均响应时间必须小于5秒；</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查询历史数据时，从下达查询指令到呈现最终数据的时间不大于20秒，应提示历史查询操作的剩余时间，并可随时退出查询。</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.5</w:t>
      </w:r>
      <w:r>
        <w:rPr>
          <w:rFonts w:hint="eastAsia" w:ascii="仿宋" w:hAnsi="仿宋" w:eastAsia="仿宋" w:cs="仿宋"/>
          <w:sz w:val="24"/>
          <w:szCs w:val="24"/>
          <w:lang w:val="en-US"/>
        </w:rPr>
        <w:t>★</w:t>
      </w:r>
      <w:r>
        <w:rPr>
          <w:rFonts w:hint="eastAsia" w:ascii="仿宋" w:hAnsi="仿宋" w:eastAsia="仿宋" w:cs="仿宋"/>
          <w:sz w:val="24"/>
          <w:szCs w:val="24"/>
        </w:rPr>
        <w:t>硬件要求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硬件设备应具容错能力和扩展能力，并应具备升级和向后兼容的能力。</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硬件设备应具备性能优良、运行平稳可靠，并可以保证长时间的连续工作的能力。</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重要的硬件设备可采用热备份的方式或采取其他的保证措施，一旦出现故障后，可以做到及时的切换（包括人工或自动切换），保证系统能够连续工作。</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硬件设备应有较高的可靠性和容错能力。平均故障时间间隔应大于十万小时。</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使用的硬件平台应支持标准的通信接口。</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系统主要硬件的容量和性能指标（包括内存容量、处理器主频、硬盘容量、通信网带宽）应能满足整个监测系统处理能力、通信传输量、数据存贮量和用户实际需求等各方面的要求。</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.6</w:t>
      </w:r>
      <w:r>
        <w:rPr>
          <w:rFonts w:hint="eastAsia" w:ascii="仿宋" w:hAnsi="仿宋" w:eastAsia="仿宋" w:cs="仿宋"/>
          <w:sz w:val="24"/>
          <w:szCs w:val="24"/>
          <w:lang w:val="en-US"/>
        </w:rPr>
        <w:t>★</w:t>
      </w:r>
      <w:r>
        <w:rPr>
          <w:rFonts w:hint="eastAsia" w:ascii="仿宋" w:hAnsi="仿宋" w:eastAsia="仿宋" w:cs="仿宋"/>
          <w:sz w:val="24"/>
          <w:szCs w:val="24"/>
        </w:rPr>
        <w:t>同步要求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采集设备应具备精确的时间同步能力，应具备时间同步系统，保证过程合并记录的准确性。</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.7</w:t>
      </w:r>
      <w:r>
        <w:rPr>
          <w:rFonts w:hint="eastAsia" w:ascii="仿宋" w:hAnsi="仿宋" w:eastAsia="仿宋" w:cs="仿宋"/>
          <w:sz w:val="24"/>
          <w:szCs w:val="24"/>
          <w:lang w:val="en-US"/>
        </w:rPr>
        <w:t>★</w:t>
      </w:r>
      <w:r>
        <w:rPr>
          <w:rFonts w:hint="eastAsia" w:ascii="仿宋" w:hAnsi="仿宋" w:eastAsia="仿宋" w:cs="仿宋"/>
          <w:sz w:val="24"/>
          <w:szCs w:val="24"/>
        </w:rPr>
        <w:t>系统可靠性要求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系统应具有安全防御能力，防止非法入侵，投标方的设备应提供硬件、软件可靠性保障。</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系统应采用高可用性结构、容错结构或其他可靠性技术，同时对重要硬件部分必需采用热备份。出现故障后，可以做到及时的切换（包括人工或自动切换），保证系统能够连续工作。</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系统的平均无故障时间（MTBF）应大于2年。</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监测系统设计寿命应大于15年。</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提供系统过载控制，即使是在没有人为限制的保障下，系统应具有一定的控制功能。</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能通过人机命令限制远程维护终端，对系统进行远程操作。</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系统的故障能隔离在模块内，不具备扩散性。</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监测系统具备高可靠性，可用率高于99.5％，直联点监控中心的平均故障间隔时间大于10000小时，各采集监测子系统的平均故障间隔时间大于5000小时。</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软件自身安全可靠，重要软件有备份。</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.8</w:t>
      </w:r>
      <w:r>
        <w:rPr>
          <w:rFonts w:hint="eastAsia" w:ascii="仿宋" w:hAnsi="仿宋" w:eastAsia="仿宋" w:cs="仿宋"/>
          <w:sz w:val="24"/>
          <w:szCs w:val="24"/>
          <w:lang w:val="en-US"/>
        </w:rPr>
        <w:t>★</w:t>
      </w:r>
      <w:r>
        <w:rPr>
          <w:rFonts w:hint="eastAsia" w:ascii="仿宋" w:hAnsi="仿宋" w:eastAsia="仿宋" w:cs="仿宋"/>
          <w:sz w:val="24"/>
          <w:szCs w:val="24"/>
        </w:rPr>
        <w:t>系统可扩展性要求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系统应该是可扩展的，能够适应系统容量的扩大和监测内容的增加，包括软硬件平台、系统结构、功能设计、管理对象等。</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随着监测内容的扩展，要求监测维护及应用系统具有灵活的扩展性。当系统进行小范围调整的情况下，不会对现有系统的运行造成不良的影响。</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系统可以平滑扩容监测设备、传输链路、局点，系统自动识别。系统可以在线增加应用功能、在线实现版本升级，新业务、新协议自动加载。</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增加功能补丁可以在线完成，操作简单；重大功能的增加，保证6小时之内完成。</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.9</w:t>
      </w:r>
      <w:r>
        <w:rPr>
          <w:rFonts w:hint="eastAsia" w:ascii="仿宋" w:hAnsi="仿宋" w:eastAsia="仿宋" w:cs="仿宋"/>
          <w:sz w:val="24"/>
          <w:szCs w:val="24"/>
          <w:lang w:val="en-US"/>
        </w:rPr>
        <w:t>★</w:t>
      </w:r>
      <w:r>
        <w:rPr>
          <w:rFonts w:hint="eastAsia" w:ascii="仿宋" w:hAnsi="仿宋" w:eastAsia="仿宋" w:cs="仿宋"/>
          <w:sz w:val="24"/>
          <w:szCs w:val="24"/>
        </w:rPr>
        <w:t>系统安全性要求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监测系统应具备统一且完善的安全机制，以保证网络安全性。监测系统应不易被侵入，并具有良好的恢复能力。能防止计算机黑客通过计算机网络进行恶意攻击，做到对监测系统的数据和信息保密。</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应具备对自身的配置情况、数据端口的工作状态、网络运行情况和操作信息等内容的检查。系统必须具备良好的访问权限控制功能，包括系统的用户界面、机器与机器间的接口、重要命令和数据库的访问权限控制。对所有的访问进行详细记录。</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结合系统使用人员的不同情况，对本系统全体操作人员赋予不同的操作权限，系统管理员和普通操作人员具有不同的权限；对于不同级别的权限设置不同级别的口令。系统具有完善、可靠的安全和权限管理机制，用户可以通过用户名和密码登录后，在所属用户组的权限范围内，访问业务区内的数据。</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必须对用户的个人密码等重要个人资料进行保护，应隐藏密码等相关信息。对用户业务行为的查询，可对每个授权用户建立操作日志，详细记录授权用户操作过程。</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.10</w:t>
      </w:r>
      <w:r>
        <w:rPr>
          <w:rFonts w:hint="eastAsia" w:ascii="仿宋" w:hAnsi="仿宋" w:eastAsia="仿宋" w:cs="仿宋"/>
          <w:sz w:val="24"/>
          <w:szCs w:val="24"/>
          <w:lang w:val="en-US"/>
        </w:rPr>
        <w:t>★</w:t>
      </w:r>
      <w:r>
        <w:rPr>
          <w:rFonts w:hint="eastAsia" w:ascii="仿宋" w:hAnsi="仿宋" w:eastAsia="仿宋" w:cs="仿宋"/>
          <w:sz w:val="24"/>
          <w:szCs w:val="24"/>
        </w:rPr>
        <w:t>系统开放性要求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监测系统应具有良好的开放性。应考虑同其它相关系统相连(例如：工信部监管平台、网管系统等)，按照工信部要求实现对接口的标准化。</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针对招标方的实际需求，投标方开放源代码及设计文档。</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.11</w:t>
      </w:r>
      <w:r>
        <w:rPr>
          <w:rFonts w:hint="eastAsia" w:ascii="仿宋" w:hAnsi="仿宋" w:eastAsia="仿宋" w:cs="仿宋"/>
          <w:szCs w:val="21"/>
        </w:rPr>
        <w:t>▲</w:t>
      </w:r>
      <w:r>
        <w:rPr>
          <w:rFonts w:hint="eastAsia" w:ascii="仿宋" w:hAnsi="仿宋" w:eastAsia="仿宋" w:cs="仿宋"/>
          <w:sz w:val="24"/>
          <w:szCs w:val="24"/>
        </w:rPr>
        <w:t>系统可操作性要求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系统应易于操作，采用中文图形界面、全菜单式的处理。</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用户界面（人机界面）方式应使用中文图形界面，并支持常用的简体中文的输入方法。</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用户界面应支持多窗口和多任务。</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支持对分析统计数据提供图形或表格等表现形式。</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.12</w:t>
      </w:r>
      <w:r>
        <w:rPr>
          <w:rFonts w:hint="eastAsia" w:ascii="仿宋" w:hAnsi="仿宋" w:eastAsia="仿宋" w:cs="仿宋"/>
          <w:szCs w:val="21"/>
        </w:rPr>
        <w:t>▲</w:t>
      </w:r>
      <w:r>
        <w:rPr>
          <w:rFonts w:hint="eastAsia" w:ascii="仿宋" w:hAnsi="仿宋" w:eastAsia="仿宋" w:cs="仿宋"/>
          <w:sz w:val="24"/>
          <w:szCs w:val="24"/>
        </w:rPr>
        <w:t>系统的准确性要求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数据的准确性指标为出错率小于10</w:t>
      </w:r>
      <w:r>
        <w:rPr>
          <w:rFonts w:hint="eastAsia" w:ascii="仿宋" w:hAnsi="仿宋" w:eastAsia="仿宋" w:cs="仿宋"/>
          <w:szCs w:val="21"/>
          <w:vertAlign w:val="superscript"/>
        </w:rPr>
        <w:t>-4</w:t>
      </w:r>
      <w:r>
        <w:rPr>
          <w:rFonts w:hint="eastAsia" w:ascii="仿宋" w:hAnsi="仿宋" w:eastAsia="仿宋" w:cs="仿宋"/>
          <w:sz w:val="24"/>
          <w:szCs w:val="24"/>
          <w:lang w:val="zh-CN" w:bidi="zh-CN"/>
        </w:rPr>
        <w:t>。</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采集处理设备的时间同步误差不超过1毫秒。</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各采集处理设备间的时间同步误差不超过2毫秒。</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系统的统计时间误差不超过2秒。</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监测系统能够对采集数据作出准确标识，并能够支撑完成相关分析。</w:t>
      </w:r>
    </w:p>
    <w:p>
      <w:pPr>
        <w:spacing w:beforeLines="0" w:afterLines="0" w:line="560" w:lineRule="exact"/>
        <w:ind w:firstLine="420"/>
        <w:jc w:val="both"/>
        <w:outlineLvl w:val="3"/>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.13</w:t>
      </w:r>
      <w:r>
        <w:rPr>
          <w:rFonts w:hint="eastAsia" w:ascii="仿宋" w:hAnsi="仿宋" w:eastAsia="仿宋" w:cs="仿宋"/>
          <w:sz w:val="24"/>
          <w:szCs w:val="24"/>
          <w:lang w:val="en-US"/>
        </w:rPr>
        <w:t>★</w:t>
      </w:r>
      <w:r>
        <w:rPr>
          <w:rFonts w:hint="eastAsia" w:ascii="仿宋" w:hAnsi="仿宋" w:eastAsia="仿宋" w:cs="仿宋"/>
          <w:sz w:val="24"/>
          <w:szCs w:val="24"/>
        </w:rPr>
        <w:t>系统自身管理要求</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系统的硬件和软件相互配合，提供对系统的自身故障的管理能力。</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提供自身核心进程的管理；具备一定的故障自恢复能力。</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系统支持提供数据库维护的辅助手段，包括数据库性能状态监视、数据库备份（恢复）和查询功能等。</w:t>
      </w:r>
    </w:p>
    <w:p>
      <w:pPr>
        <w:pStyle w:val="9"/>
        <w:spacing w:beforeLines="0" w:afterLines="0" w:line="560" w:lineRule="exact"/>
        <w:ind w:firstLine="480"/>
        <w:jc w:val="both"/>
        <w:rPr>
          <w:rFonts w:hint="eastAsia" w:ascii="仿宋" w:hAnsi="仿宋" w:eastAsia="仿宋" w:cs="仿宋"/>
          <w:sz w:val="24"/>
          <w:szCs w:val="24"/>
          <w:lang w:val="zh-CN" w:bidi="zh-CN"/>
        </w:rPr>
      </w:pPr>
      <w:r>
        <w:rPr>
          <w:rFonts w:hint="eastAsia" w:ascii="仿宋" w:hAnsi="仿宋" w:eastAsia="仿宋" w:cs="仿宋"/>
          <w:sz w:val="24"/>
          <w:szCs w:val="24"/>
          <w:lang w:val="zh-CN" w:bidi="zh-CN"/>
        </w:rPr>
        <w:t>系统支持提供完善的日志管理功能。</w:t>
      </w:r>
    </w:p>
    <w:p>
      <w:pPr>
        <w:spacing w:beforeLines="0" w:afterLines="0" w:line="560" w:lineRule="exact"/>
        <w:ind w:firstLine="482" w:firstLineChars="200"/>
        <w:jc w:val="both"/>
        <w:outlineLvl w:val="2"/>
        <w:rPr>
          <w:rFonts w:hint="eastAsia" w:ascii="仿宋" w:hAnsi="仿宋" w:eastAsia="仿宋" w:cs="仿宋"/>
          <w:b/>
          <w:bCs/>
          <w:sz w:val="24"/>
          <w:szCs w:val="24"/>
        </w:rPr>
      </w:pPr>
      <w:r>
        <w:rPr>
          <w:rFonts w:hint="eastAsia" w:ascii="仿宋" w:hAnsi="仿宋" w:eastAsia="仿宋" w:cs="仿宋"/>
          <w:b/>
          <w:bCs/>
          <w:sz w:val="24"/>
          <w:szCs w:val="24"/>
          <w:lang w:val="en-US"/>
        </w:rPr>
        <w:t>3、</w:t>
      </w:r>
      <w:r>
        <w:rPr>
          <w:rFonts w:hint="eastAsia" w:ascii="仿宋" w:hAnsi="仿宋" w:eastAsia="仿宋" w:cs="仿宋"/>
          <w:b/>
          <w:bCs/>
          <w:sz w:val="24"/>
          <w:szCs w:val="24"/>
        </w:rPr>
        <w:t>项目建设总体架构要求</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3</w:t>
      </w:r>
      <w:r>
        <w:rPr>
          <w:rFonts w:hint="eastAsia" w:ascii="仿宋" w:hAnsi="仿宋" w:eastAsia="仿宋" w:cs="仿宋"/>
          <w:b/>
          <w:sz w:val="24"/>
          <w:szCs w:val="24"/>
        </w:rPr>
        <w:t>.1总体逻辑架构需求</w:t>
      </w:r>
    </w:p>
    <w:p>
      <w:pPr>
        <w:adjustRightInd w:val="0"/>
        <w:spacing w:beforeLines="0" w:afterLines="0" w:line="560" w:lineRule="exact"/>
        <w:ind w:right="47" w:firstLine="480" w:firstLineChars="200"/>
        <w:jc w:val="both"/>
        <w:rPr>
          <w:rFonts w:hint="eastAsia" w:ascii="仿宋" w:hAnsi="仿宋" w:eastAsia="仿宋" w:cs="仿宋"/>
        </w:rPr>
      </w:pPr>
      <w:r>
        <w:rPr>
          <w:rFonts w:hint="eastAsia" w:ascii="仿宋" w:hAnsi="仿宋" w:eastAsia="仿宋" w:cs="仿宋"/>
          <w:sz w:val="24"/>
          <w:szCs w:val="24"/>
        </w:rPr>
        <w:t>总体逻辑架构</w:t>
      </w:r>
      <w:r>
        <w:rPr>
          <w:rFonts w:hint="eastAsia" w:ascii="仿宋" w:hAnsi="仿宋" w:eastAsia="仿宋" w:cs="仿宋"/>
          <w:sz w:val="24"/>
          <w:szCs w:val="24"/>
          <w:lang w:val="en-US" w:eastAsia="zh-CN"/>
        </w:rPr>
        <w:t>可提供</w:t>
      </w:r>
      <w:r>
        <w:rPr>
          <w:rFonts w:hint="eastAsia" w:ascii="仿宋" w:hAnsi="仿宋" w:eastAsia="仿宋" w:cs="仿宋"/>
          <w:sz w:val="24"/>
          <w:szCs w:val="24"/>
        </w:rPr>
        <w:t>网络层、基础设施层、接口层、数据采集层、处理层、交换层、分析层及展示层。</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（1）网络层</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网络层指省骨干直联点互联单位内运行网络，包括互联单位骨干网，直联点网络、城域网和接入网等。</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（2）设施层</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基础设施层主要搭建各业务系统后端硬件设施，包括网络、服务器、存储、安全等设备。同时在互联单位部署相关的分光器、采集服务器等设备进行数据采集，并利用传输设备和链路将监测采集数据传输至直联点监控中心所在机房。</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（3）接口层</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数据采集层主要是通过分光器、采集服务器、接口对接等设备手段，通过FTP、SOKET、HTTP、SYSLOG等协议接口方式，实现对监测系统各类数据的接收。</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（4）数据采集层</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分别从不同业务层面对骨干直联点互通性能、省内互联网性能进行数据采集。包括主动监测数据、被动监测数据、网络质量数据、业务质量数据、企业网管数据、互通设备运行数据。</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（5）处理层</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处理层主要对监测到的数据进行数据的分类、筛选、汇总等预处理，并针对不同业务数据进行针对的处理。</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（6）交换层</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实现监测系统内部数据的压缩、分析、共享和交换。</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（7）分析层</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主要对直联点流量流向、链路质量、链路性能、业务质量、异常路由、设备性能等进行分析，最终将分析的结果提供给展示层进行综合展示。</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（8）展示层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color w:val="000000"/>
          <w:sz w:val="24"/>
          <w:szCs w:val="20"/>
          <w:lang w:val="en-US" w:bidi="ar-SA"/>
        </w:rPr>
        <w:t>展示层为整个监测系统用户提供统一的平台及展示界面，相关职能工作人员通过监控中心门户进入各类业务监测功能模块，进行业务的监测、分析等处理，主要包含流量监测展示、质量监测展示、业务监测展示和测速监测展示等展示界面。</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3</w:t>
      </w:r>
      <w:r>
        <w:rPr>
          <w:rFonts w:hint="eastAsia" w:ascii="仿宋" w:hAnsi="仿宋" w:eastAsia="仿宋" w:cs="仿宋"/>
          <w:b/>
          <w:sz w:val="24"/>
          <w:szCs w:val="24"/>
        </w:rPr>
        <w:t>.2</w:t>
      </w:r>
      <w:r>
        <w:rPr>
          <w:rFonts w:hint="eastAsia" w:ascii="仿宋" w:hAnsi="仿宋" w:eastAsia="仿宋" w:cs="仿宋"/>
          <w:szCs w:val="21"/>
        </w:rPr>
        <w:t>▲</w:t>
      </w:r>
      <w:r>
        <w:rPr>
          <w:rFonts w:hint="eastAsia" w:ascii="仿宋" w:hAnsi="仿宋" w:eastAsia="仿宋" w:cs="仿宋"/>
          <w:b/>
          <w:sz w:val="24"/>
          <w:szCs w:val="24"/>
          <w:lang w:val="en-US"/>
        </w:rPr>
        <w:t>总体</w:t>
      </w:r>
      <w:r>
        <w:rPr>
          <w:rFonts w:hint="eastAsia" w:ascii="仿宋" w:hAnsi="仿宋" w:eastAsia="仿宋" w:cs="仿宋"/>
          <w:b/>
          <w:sz w:val="24"/>
          <w:szCs w:val="24"/>
        </w:rPr>
        <w:t>网络架构要求</w:t>
      </w:r>
    </w:p>
    <w:p>
      <w:pPr>
        <w:adjustRightInd w:val="0"/>
        <w:spacing w:beforeLines="0" w:afterLines="0" w:line="560" w:lineRule="exact"/>
        <w:ind w:right="47" w:firstLine="480" w:firstLineChars="200"/>
        <w:jc w:val="both"/>
        <w:rPr>
          <w:sz w:val="24"/>
          <w:szCs w:val="24"/>
        </w:rPr>
      </w:pPr>
      <w:r>
        <w:rPr>
          <w:rFonts w:hint="eastAsia" w:ascii="仿宋" w:hAnsi="仿宋" w:eastAsia="仿宋" w:cs="仿宋"/>
          <w:sz w:val="24"/>
          <w:szCs w:val="24"/>
        </w:rPr>
        <w:t>哈尔滨国家级互联网骨干直联点监测系统设备网络部署包含两部分，一是部署在黑龙江省通信管理局</w:t>
      </w:r>
      <w:r>
        <w:rPr>
          <w:rFonts w:hint="eastAsia" w:ascii="仿宋" w:hAnsi="仿宋" w:eastAsia="仿宋" w:cs="仿宋"/>
          <w:sz w:val="24"/>
          <w:szCs w:val="24"/>
          <w:lang w:val="en-US"/>
        </w:rPr>
        <w:t>租用</w:t>
      </w:r>
      <w:r>
        <w:rPr>
          <w:rFonts w:hint="eastAsia" w:ascii="仿宋" w:hAnsi="仿宋" w:eastAsia="仿宋" w:cs="仿宋"/>
          <w:sz w:val="24"/>
          <w:szCs w:val="24"/>
        </w:rPr>
        <w:t>机房的监测系统主体平台（全部软硬件设备由黑龙江省通信管理局负责采购建设）；二是部署在基础电信企业侧的主动监测设备和宽带测速终端（其中主动监测设备由基础电信企业负责采购，宽带测速设备由黑龙江省通信管理局负责采购，基础电信企业负责安装部署和网络调测）。</w:t>
      </w:r>
    </w:p>
    <w:p>
      <w:pPr>
        <w:adjustRightInd w:val="0"/>
        <w:jc w:val="center"/>
        <w:rPr>
          <w:sz w:val="24"/>
          <w:szCs w:val="24"/>
        </w:rPr>
      </w:pPr>
      <w:r>
        <w:rPr>
          <w:rFonts w:ascii="宋体" w:hAnsi="宋体" w:eastAsia="宋体" w:cs="宋体"/>
          <w:sz w:val="24"/>
          <w:szCs w:val="24"/>
          <w:lang w:val="en-US" w:eastAsia="zh-CN" w:bidi="ar-SA"/>
        </w:rPr>
        <w:pict>
          <v:shape id="图片 1" o:spid="_x0000_s1026" type="#_x0000_t75" style="height:283.25pt;width:368.8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（1）哈尔滨国家级互联网骨干直联点监测系统根据业务模式和监测需求，需要在黑龙江省各互联单位网络上部署相应的主动监测采集设备，</w:t>
      </w:r>
      <w:r>
        <w:rPr>
          <w:rFonts w:hint="eastAsia" w:ascii="仿宋" w:hAnsi="仿宋" w:eastAsia="仿宋" w:cs="仿宋"/>
          <w:sz w:val="24"/>
          <w:szCs w:val="24"/>
          <w:lang w:val="en-US"/>
        </w:rPr>
        <w:t>其中</w:t>
      </w:r>
      <w:r>
        <w:rPr>
          <w:rFonts w:hint="eastAsia" w:ascii="仿宋" w:hAnsi="仿宋" w:eastAsia="仿宋" w:cs="仿宋"/>
          <w:sz w:val="24"/>
          <w:szCs w:val="24"/>
        </w:rPr>
        <w:t>骨干网主动监测服务器、主动监测交换机、城域网主动监测服务器</w:t>
      </w:r>
      <w:r>
        <w:rPr>
          <w:rFonts w:hint="eastAsia" w:ascii="仿宋" w:hAnsi="仿宋" w:eastAsia="仿宋" w:cs="仿宋"/>
          <w:sz w:val="24"/>
          <w:szCs w:val="24"/>
          <w:lang w:val="en-US"/>
        </w:rPr>
        <w:t>由运营企业部署并提供配置IPv4和IPv6</w:t>
      </w:r>
      <w:r>
        <w:rPr>
          <w:rFonts w:hint="eastAsia" w:ascii="仿宋" w:hAnsi="仿宋" w:eastAsia="仿宋" w:cs="仿宋"/>
          <w:sz w:val="24"/>
          <w:szCs w:val="24"/>
        </w:rPr>
        <w:t>，测试终端设备</w:t>
      </w:r>
      <w:r>
        <w:rPr>
          <w:rFonts w:hint="eastAsia" w:ascii="仿宋" w:hAnsi="仿宋" w:eastAsia="仿宋" w:cs="仿宋"/>
          <w:sz w:val="24"/>
          <w:szCs w:val="24"/>
          <w:lang w:val="en-US"/>
        </w:rPr>
        <w:t>本项目提供，由运营企业按照市场策略发放测试用户</w:t>
      </w:r>
      <w:r>
        <w:rPr>
          <w:rFonts w:hint="eastAsia" w:ascii="仿宋" w:hAnsi="仿宋" w:eastAsia="仿宋" w:cs="仿宋"/>
          <w:sz w:val="24"/>
          <w:szCs w:val="24"/>
        </w:rPr>
        <w:t>，完成骨干网主动监测采集、城域网主动监测采集、网间不规则路由监测、信源架构监测、IPv6应用支持情况监测、工业互联网关键设备监测、国际互联网访问性能监测采集、视频访问监测、全国骨干网络性能监测等主动采集监测功能。</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（2）哈尔滨国家级互联网骨干直联点监测系统主体设备部署在黑龙江省通信管理局</w:t>
      </w:r>
      <w:r>
        <w:rPr>
          <w:rFonts w:hint="eastAsia" w:ascii="仿宋" w:hAnsi="仿宋" w:eastAsia="仿宋" w:cs="仿宋"/>
          <w:sz w:val="24"/>
          <w:szCs w:val="24"/>
          <w:lang w:val="en-US"/>
        </w:rPr>
        <w:t>租用</w:t>
      </w:r>
      <w:r>
        <w:rPr>
          <w:rFonts w:hint="eastAsia" w:ascii="仿宋" w:hAnsi="仿宋" w:eastAsia="仿宋" w:cs="仿宋"/>
          <w:sz w:val="24"/>
          <w:szCs w:val="24"/>
        </w:rPr>
        <w:t>机房，参照网络安全等级保护二级标准，建立网络安全防护体系，并根据分权分域原则进行逻辑划分，主要分为核心接入交换区、被动监测采集区、DMZ区、安全防护区、运行维护区和直联点监控中心区。</w:t>
      </w:r>
    </w:p>
    <w:p>
      <w:pPr>
        <w:pStyle w:val="58"/>
        <w:numPr>
          <w:ilvl w:val="0"/>
          <w:numId w:val="17"/>
        </w:numPr>
        <w:spacing w:beforeLines="0" w:afterLines="0" w:line="560" w:lineRule="exact"/>
        <w:ind w:left="440" w:firstLine="113"/>
        <w:jc w:val="both"/>
        <w:rPr>
          <w:rFonts w:hint="eastAsia" w:ascii="仿宋" w:hAnsi="仿宋" w:eastAsia="仿宋" w:cs="仿宋"/>
          <w:color w:val="000000"/>
          <w:sz w:val="24"/>
          <w:szCs w:val="24"/>
        </w:rPr>
      </w:pPr>
      <w:r>
        <w:rPr>
          <w:rFonts w:hint="eastAsia" w:ascii="仿宋" w:hAnsi="仿宋" w:eastAsia="仿宋" w:cs="仿宋"/>
          <w:color w:val="000000"/>
          <w:sz w:val="24"/>
          <w:szCs w:val="24"/>
        </w:rPr>
        <w:t>核心接入交换区既作为监测中心与各互联单位网络的边界连接区域，又作内部各逻辑区交换数据和指令的核心区域，规划设置网络接入方式、外部路由和策略路由，执行全局地址与监测中心私网地址的NAT转换，并实施带宽管理。规划设置各逻辑区的数据或指令的交换策略，设置访问控制权限。网络边界区配置两台接入路由器，并配置两台冗余的防火墙和入侵防御设备（IPS）分隔互联网与监控中心内部系统的直接通信，并在防火墙上进行细粒度安全策略的设置。部署2台高端核心交换机，虚拟化设置提高可用性，并无阻塞疏导外部接入数据和各逻辑区的高速互联。</w:t>
      </w:r>
    </w:p>
    <w:p>
      <w:pPr>
        <w:pStyle w:val="58"/>
        <w:numPr>
          <w:ilvl w:val="0"/>
          <w:numId w:val="17"/>
        </w:numPr>
        <w:spacing w:beforeLines="0" w:afterLines="0" w:line="560" w:lineRule="exact"/>
        <w:ind w:left="440" w:firstLine="113"/>
        <w:jc w:val="both"/>
        <w:rPr>
          <w:rFonts w:hint="eastAsia" w:ascii="仿宋" w:hAnsi="仿宋" w:eastAsia="仿宋" w:cs="仿宋"/>
          <w:color w:val="000000"/>
          <w:sz w:val="24"/>
          <w:szCs w:val="24"/>
        </w:rPr>
      </w:pPr>
      <w:r>
        <w:rPr>
          <w:rFonts w:hint="eastAsia" w:ascii="仿宋" w:hAnsi="仿宋" w:eastAsia="仿宋" w:cs="仿宋"/>
          <w:color w:val="000000"/>
          <w:sz w:val="24"/>
          <w:szCs w:val="24"/>
        </w:rPr>
        <w:t>被动监测采集区主要通过互联单位在黑龙江省通信管理局</w:t>
      </w:r>
      <w:r>
        <w:rPr>
          <w:rFonts w:hint="eastAsia" w:ascii="仿宋" w:hAnsi="仿宋" w:eastAsia="仿宋" w:cs="仿宋"/>
          <w:color w:val="000000"/>
          <w:sz w:val="24"/>
          <w:szCs w:val="24"/>
          <w:lang w:val="en-US"/>
        </w:rPr>
        <w:t>租用</w:t>
      </w:r>
      <w:r>
        <w:rPr>
          <w:rFonts w:hint="eastAsia" w:ascii="仿宋" w:hAnsi="仿宋" w:eastAsia="仿宋" w:cs="仿宋"/>
          <w:color w:val="000000"/>
          <w:sz w:val="24"/>
          <w:szCs w:val="24"/>
        </w:rPr>
        <w:t>机房设置的传输光缆接收各互联单位骨干直联点互联互通机房分光链路的原始流量，经汇聚分流设备同源同宿和负载均衡，输入至被动监测采集设备上，实现对数据的被动监测采集。</w:t>
      </w:r>
    </w:p>
    <w:p>
      <w:pPr>
        <w:pStyle w:val="58"/>
        <w:numPr>
          <w:ilvl w:val="0"/>
          <w:numId w:val="17"/>
        </w:numPr>
        <w:spacing w:beforeLines="0" w:afterLines="0" w:line="560" w:lineRule="exact"/>
        <w:ind w:left="440" w:firstLine="113"/>
        <w:jc w:val="both"/>
        <w:rPr>
          <w:rFonts w:hint="eastAsia" w:ascii="仿宋" w:hAnsi="仿宋" w:eastAsia="仿宋" w:cs="仿宋"/>
          <w:color w:val="000000"/>
          <w:sz w:val="24"/>
          <w:szCs w:val="24"/>
        </w:rPr>
      </w:pPr>
      <w:r>
        <w:rPr>
          <w:rFonts w:hint="eastAsia" w:ascii="仿宋" w:hAnsi="仿宋" w:eastAsia="仿宋" w:cs="仿宋"/>
          <w:color w:val="000000"/>
          <w:sz w:val="24"/>
          <w:szCs w:val="24"/>
        </w:rPr>
        <w:t>DMZ区由核心接入交换区防火墙进行优先级和安全策略设置，通过部署WEB服务器对外提供门户网站访问等功能。同时，部署运行监测接口服务器，准实时接收各互联单位网管数据和其他管理数据。</w:t>
      </w:r>
    </w:p>
    <w:p>
      <w:pPr>
        <w:pStyle w:val="58"/>
        <w:numPr>
          <w:ilvl w:val="0"/>
          <w:numId w:val="17"/>
        </w:numPr>
        <w:spacing w:beforeLines="0" w:afterLines="0" w:line="560" w:lineRule="exact"/>
        <w:ind w:left="440" w:firstLine="113"/>
        <w:jc w:val="both"/>
        <w:rPr>
          <w:rFonts w:hint="eastAsia" w:ascii="仿宋" w:hAnsi="仿宋" w:eastAsia="仿宋" w:cs="仿宋"/>
          <w:color w:val="000000"/>
          <w:sz w:val="24"/>
          <w:szCs w:val="24"/>
        </w:rPr>
      </w:pPr>
      <w:r>
        <w:rPr>
          <w:rFonts w:hint="eastAsia" w:ascii="仿宋" w:hAnsi="仿宋" w:eastAsia="仿宋" w:cs="仿宋"/>
          <w:color w:val="000000"/>
          <w:sz w:val="24"/>
          <w:szCs w:val="24"/>
        </w:rPr>
        <w:t>安全防护区连接核心交换机，参照网络安全等级保护2级要求，部署堡垒机、日志审计系统、数据库审计系统和防病毒系统等网络安全防护技术或设备，对直联点监控中心子系统整体网络进安全审计、权限设置、数据库安全，以及网络和终端的恶意代码防护。同时，能发现各种攻击企图、攻击行为或者攻击结果，以保证网络系统资源的机密性、完整性和安全性。部署VPN设备、数字签名服务器、数据加密系统和数据加密系统等密码技术应用设备，并为管理人员和运维人员配备USB Key，确保访问权限、身份认证、密钥管理等的密码应用技术手段建设。</w:t>
      </w:r>
    </w:p>
    <w:p>
      <w:pPr>
        <w:pStyle w:val="58"/>
        <w:numPr>
          <w:ilvl w:val="0"/>
          <w:numId w:val="17"/>
        </w:numPr>
        <w:spacing w:beforeLines="0" w:afterLines="0" w:line="560" w:lineRule="exact"/>
        <w:ind w:left="440" w:firstLine="113"/>
        <w:jc w:val="both"/>
        <w:rPr>
          <w:rFonts w:hint="eastAsia" w:ascii="仿宋" w:hAnsi="仿宋" w:eastAsia="仿宋" w:cs="仿宋"/>
          <w:color w:val="000000"/>
          <w:sz w:val="24"/>
          <w:szCs w:val="24"/>
        </w:rPr>
      </w:pPr>
      <w:r>
        <w:rPr>
          <w:rFonts w:hint="eastAsia" w:ascii="仿宋" w:hAnsi="仿宋" w:eastAsia="仿宋" w:cs="仿宋"/>
          <w:color w:val="000000"/>
          <w:sz w:val="24"/>
          <w:szCs w:val="24"/>
        </w:rPr>
        <w:t>运行维护区主要部署IPMI管理服务器、网管服务器和时钟同步设备等，为直联点监控中心子系统提供服务器的IPMI管理、网络设备运行管理和全部设备的时钟同步等功能。</w:t>
      </w:r>
    </w:p>
    <w:p>
      <w:pPr>
        <w:pStyle w:val="58"/>
        <w:numPr>
          <w:ilvl w:val="0"/>
          <w:numId w:val="17"/>
        </w:numPr>
        <w:spacing w:beforeLines="0" w:afterLines="0" w:line="560" w:lineRule="exact"/>
        <w:ind w:left="440" w:firstLine="113"/>
        <w:jc w:val="both"/>
        <w:rPr>
          <w:rFonts w:hint="eastAsia" w:ascii="仿宋" w:hAnsi="仿宋" w:eastAsia="仿宋" w:cs="仿宋"/>
          <w:color w:val="000000"/>
          <w:sz w:val="24"/>
          <w:szCs w:val="24"/>
        </w:rPr>
      </w:pPr>
      <w:r>
        <w:rPr>
          <w:rFonts w:hint="eastAsia" w:ascii="仿宋" w:hAnsi="仿宋" w:eastAsia="仿宋" w:cs="仿宋"/>
          <w:color w:val="000000"/>
          <w:sz w:val="24"/>
          <w:szCs w:val="24"/>
        </w:rPr>
        <w:t>直联点监控中心区是直联点监控中心子系统的核心业务区，部署缓存节点服务器主要用于被动监测采集流量的缓存和预处理；部署综合分析服务器主要用于主动监测、被动监测、宽带测速等业务的综合分析；部署运行监测服务器对互联单位提供的基础网络管理数据和BGP运行数据进行监测分析；部署多维展示服务器，实现直联点互联互通监测数据的多维展示和查询；配置接口服务器，包括主动接口服务器、被动接口服务器和宽带测速接口服务器，用于主动、被动数据的接收和入库；配置数据库服务器和SAN网络存储设备作为数据共享存储，实现数据交互、存储、计算、共享与备份。</w:t>
      </w:r>
    </w:p>
    <w:p>
      <w:pPr>
        <w:ind w:firstLine="420"/>
        <w:jc w:val="both"/>
        <w:outlineLvl w:val="3"/>
        <w:rPr>
          <w:b/>
          <w:sz w:val="24"/>
          <w:szCs w:val="24"/>
        </w:rPr>
      </w:pPr>
      <w:r>
        <w:rPr>
          <w:rFonts w:hint="eastAsia"/>
          <w:b/>
          <w:sz w:val="24"/>
          <w:szCs w:val="24"/>
          <w:lang w:val="en-US"/>
        </w:rPr>
        <w:t>3</w:t>
      </w:r>
      <w:r>
        <w:rPr>
          <w:b/>
          <w:sz w:val="24"/>
          <w:szCs w:val="24"/>
        </w:rPr>
        <w:t>.3总体外部接口要求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本项目监测系统预留与工业和信息化部监控中心对接接口，待条件成熟后，完成与部监控中心平台的通信和数据传送。数据交换接口建设的功能以及数据交换内容都需参照《国家级互联网骨干直联点监测系统接口规范》满足要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任务接收：基于“直联点—工业和信息化部两级监控中心”架构，哈尔滨国家级互联网骨干直联点监测系统向部监控中心平台开放任务下达接口，供后者下发全国全网层面的监测任务（如多个直联点同时进行测试任务），及时掌握国家互联网整体运行的互联互通状况使用。</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信息上报：基于“直联点—工业和信息化部两级监控中心”架构，哈尔滨国家级互联网骨干直联点监测系统将监测数据收集汇总后，通过标准数据接口上报部监控中心平台。</w:t>
      </w:r>
    </w:p>
    <w:p>
      <w:pPr>
        <w:ind w:firstLine="420"/>
        <w:jc w:val="both"/>
        <w:outlineLvl w:val="3"/>
        <w:rPr>
          <w:b/>
          <w:sz w:val="24"/>
          <w:szCs w:val="24"/>
          <w:lang w:val="en-US"/>
        </w:rPr>
      </w:pPr>
      <w:r>
        <w:rPr>
          <w:rFonts w:hint="eastAsia"/>
          <w:b/>
          <w:sz w:val="24"/>
          <w:szCs w:val="24"/>
          <w:lang w:val="en-US"/>
        </w:rPr>
        <w:t>3.4★网络安全防护建设需求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哈尔滨国家级互联网骨干直联点监测系统主体设备部署在黑龙江省通信管理局</w:t>
      </w:r>
      <w:r>
        <w:rPr>
          <w:rFonts w:hint="eastAsia" w:ascii="仿宋" w:hAnsi="仿宋" w:eastAsia="仿宋" w:cs="仿宋"/>
          <w:sz w:val="24"/>
          <w:szCs w:val="24"/>
          <w:lang w:val="en-US"/>
        </w:rPr>
        <w:t>租用</w:t>
      </w:r>
      <w:r>
        <w:rPr>
          <w:rFonts w:hint="eastAsia" w:ascii="仿宋" w:hAnsi="仿宋" w:eastAsia="仿宋" w:cs="仿宋"/>
          <w:sz w:val="24"/>
          <w:szCs w:val="24"/>
        </w:rPr>
        <w:t>机房，投标人应参照网络安全等级保护二级</w:t>
      </w:r>
      <w:r>
        <w:rPr>
          <w:rFonts w:hint="eastAsia" w:ascii="仿宋" w:hAnsi="仿宋" w:eastAsia="仿宋" w:cs="仿宋"/>
          <w:sz w:val="24"/>
          <w:szCs w:val="24"/>
          <w:lang w:val="en-US" w:eastAsia="zh-CN"/>
        </w:rPr>
        <w:t>和密码应用二级防护</w:t>
      </w:r>
      <w:r>
        <w:rPr>
          <w:rFonts w:hint="eastAsia" w:ascii="仿宋" w:hAnsi="仿宋" w:eastAsia="仿宋" w:cs="仿宋"/>
          <w:sz w:val="24"/>
          <w:szCs w:val="24"/>
        </w:rPr>
        <w:t>标准</w:t>
      </w:r>
      <w:r>
        <w:rPr>
          <w:rFonts w:hint="eastAsia" w:ascii="仿宋" w:hAnsi="仿宋" w:eastAsia="仿宋" w:cs="仿宋"/>
          <w:sz w:val="24"/>
          <w:szCs w:val="24"/>
          <w:lang w:val="en-US" w:eastAsia="zh-CN"/>
        </w:rPr>
        <w:t>要求</w:t>
      </w:r>
      <w:r>
        <w:rPr>
          <w:rFonts w:hint="eastAsia" w:ascii="仿宋" w:hAnsi="仿宋" w:eastAsia="仿宋" w:cs="仿宋"/>
          <w:sz w:val="24"/>
          <w:szCs w:val="24"/>
        </w:rPr>
        <w:t>，建立网络安全防护体系</w:t>
      </w:r>
      <w:r>
        <w:rPr>
          <w:rFonts w:hint="eastAsia" w:ascii="仿宋" w:hAnsi="仿宋" w:eastAsia="仿宋" w:cs="仿宋"/>
          <w:sz w:val="24"/>
          <w:szCs w:val="24"/>
          <w:lang w:val="en-US"/>
        </w:rPr>
        <w:t>和密码应用防护体系</w:t>
      </w:r>
      <w:r>
        <w:rPr>
          <w:rFonts w:hint="eastAsia" w:ascii="仿宋" w:hAnsi="仿宋" w:eastAsia="仿宋" w:cs="仿宋"/>
          <w:sz w:val="24"/>
          <w:szCs w:val="24"/>
        </w:rPr>
        <w:t>，并根据分权分域原则进行逻辑划分，主要分为核心接入交换区、被动监测采集区、DMZ区、安全防护区、运行维护区和直联点监控中心区。投标人应在制度管理、人员管理、系统运维管理等方面制定全套安全管理规程。</w:t>
      </w:r>
    </w:p>
    <w:p>
      <w:pPr>
        <w:spacing w:beforeLines="0" w:afterLines="0" w:line="560" w:lineRule="exact"/>
        <w:ind w:firstLine="482" w:firstLineChars="200"/>
        <w:jc w:val="both"/>
        <w:outlineLvl w:val="2"/>
        <w:rPr>
          <w:rFonts w:hint="eastAsia" w:ascii="仿宋" w:hAnsi="仿宋" w:eastAsia="仿宋" w:cs="仿宋"/>
          <w:b/>
          <w:bCs/>
          <w:sz w:val="24"/>
          <w:szCs w:val="24"/>
        </w:rPr>
      </w:pPr>
      <w:r>
        <w:rPr>
          <w:rFonts w:hint="eastAsia" w:ascii="仿宋" w:hAnsi="仿宋" w:eastAsia="仿宋" w:cs="仿宋"/>
          <w:b/>
          <w:bCs/>
          <w:sz w:val="24"/>
          <w:szCs w:val="24"/>
          <w:lang w:val="en-US"/>
        </w:rPr>
        <w:t>4、</w:t>
      </w:r>
      <w:r>
        <w:rPr>
          <w:rFonts w:hint="eastAsia" w:ascii="仿宋" w:hAnsi="仿宋" w:eastAsia="仿宋" w:cs="仿宋"/>
          <w:b/>
          <w:bCs/>
          <w:sz w:val="24"/>
          <w:szCs w:val="24"/>
        </w:rPr>
        <w:t>项目建设功能要求</w:t>
      </w:r>
    </w:p>
    <w:p>
      <w:pPr>
        <w:spacing w:beforeLines="0" w:afterLines="0" w:line="560" w:lineRule="exact"/>
        <w:ind w:firstLine="420"/>
        <w:jc w:val="both"/>
        <w:outlineLvl w:val="3"/>
        <w:rPr>
          <w:rFonts w:hint="eastAsia" w:ascii="仿宋" w:hAnsi="仿宋" w:eastAsia="仿宋" w:cs="仿宋"/>
          <w:b/>
          <w:sz w:val="24"/>
          <w:szCs w:val="24"/>
        </w:rPr>
      </w:pPr>
      <w:bookmarkStart w:id="6" w:name="_Toc74912022"/>
      <w:r>
        <w:rPr>
          <w:rFonts w:hint="eastAsia" w:ascii="仿宋" w:hAnsi="仿宋" w:eastAsia="仿宋" w:cs="仿宋"/>
          <w:b/>
          <w:sz w:val="24"/>
          <w:szCs w:val="24"/>
          <w:lang w:val="en-US"/>
        </w:rPr>
        <w:t>4</w:t>
      </w:r>
      <w:r>
        <w:rPr>
          <w:rFonts w:hint="eastAsia" w:ascii="仿宋" w:hAnsi="仿宋" w:eastAsia="仿宋" w:cs="仿宋"/>
          <w:b/>
          <w:sz w:val="24"/>
          <w:szCs w:val="24"/>
        </w:rPr>
        <w:t>.1业务流程</w:t>
      </w:r>
      <w:bookmarkEnd w:id="6"/>
      <w:r>
        <w:rPr>
          <w:rFonts w:hint="eastAsia" w:ascii="仿宋" w:hAnsi="仿宋" w:eastAsia="仿宋" w:cs="仿宋"/>
          <w:b/>
          <w:sz w:val="24"/>
          <w:szCs w:val="24"/>
        </w:rPr>
        <w:t>需求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哈尔滨国家级互联网骨干直联点监测系统的管理和使用，主要由数据采集、呈现发布、责任判定、信息上报四个业务流程组成：</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数据采集（来源）主要通过主动监测采集和被动监测采集两种方式实现，采集数据包括骨干直联点网间互通质量数据、网间互通流量数据、网间BGP通告数据、系统运行数据等，通过初加工后分类进入监测系统数据库。</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（2）监测系统通过统计分析处理后实现信息呈现及信息发布功能，定期对数据的统计分析及网间运行质量进行发布。</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（3）当发生网间互通障碍时，可制定障碍责任判定任务，相关人员根据分析结果通知相关互联单位进行网络/链路调整，互联单位反馈处理情况。</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（4）监测系统也可将统计、分析、处理结果上报到工信部及其他监管部门。</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4</w:t>
      </w:r>
      <w:r>
        <w:rPr>
          <w:rFonts w:hint="eastAsia" w:ascii="仿宋" w:hAnsi="仿宋" w:eastAsia="仿宋" w:cs="仿宋"/>
          <w:b/>
          <w:sz w:val="24"/>
          <w:szCs w:val="24"/>
        </w:rPr>
        <w:t>.2</w:t>
      </w:r>
      <w:r>
        <w:rPr>
          <w:rFonts w:hint="eastAsia" w:ascii="仿宋" w:hAnsi="仿宋" w:eastAsia="仿宋" w:cs="仿宋"/>
          <w:b/>
          <w:sz w:val="24"/>
          <w:szCs w:val="24"/>
          <w:lang w:val="en-US"/>
        </w:rPr>
        <w:t>软件</w:t>
      </w:r>
      <w:r>
        <w:rPr>
          <w:rFonts w:hint="eastAsia" w:ascii="仿宋" w:hAnsi="仿宋" w:eastAsia="仿宋" w:cs="仿宋"/>
          <w:b/>
          <w:sz w:val="24"/>
          <w:szCs w:val="24"/>
        </w:rPr>
        <w:t>模块及功能建设需求</w:t>
      </w:r>
    </w:p>
    <w:p>
      <w:pPr>
        <w:adjustRightInd w:val="0"/>
        <w:spacing w:beforeLines="0" w:afterLines="0" w:line="560" w:lineRule="exact"/>
        <w:ind w:right="47" w:firstLine="480" w:firstLineChars="200"/>
        <w:jc w:val="both"/>
        <w:rPr>
          <w:rFonts w:hint="eastAsia" w:ascii="仿宋" w:hAnsi="仿宋" w:eastAsia="仿宋" w:cs="仿宋"/>
        </w:rPr>
      </w:pPr>
      <w:r>
        <w:rPr>
          <w:rFonts w:hint="eastAsia" w:ascii="仿宋" w:hAnsi="仿宋" w:eastAsia="仿宋" w:cs="仿宋"/>
          <w:sz w:val="24"/>
          <w:szCs w:val="24"/>
        </w:rPr>
        <w:t>按照《工业和信息化部关于设立新增国家级互联网骨干直联点的指导意见》（工信部电管 〔2013〕530 号）和《互联网骨干直联点监测系统技术要求》等相关规章及配套建设要求，哈尔滨国家级互联网骨干直联点监测系统需包含建设主动监测采集子系统、被动监测采集子系统、宽带测速采集子系统、综合控制网管子系统、直联点监控中心子系统、运行维护支撑子系统，同步对黑龙江省通信管理局已有监控展示大厅及</w:t>
      </w:r>
      <w:r>
        <w:rPr>
          <w:rFonts w:hint="eastAsia" w:ascii="仿宋" w:hAnsi="仿宋" w:eastAsia="仿宋" w:cs="仿宋"/>
          <w:sz w:val="24"/>
          <w:szCs w:val="24"/>
          <w:lang w:val="en-US"/>
        </w:rPr>
        <w:t>维护区</w:t>
      </w:r>
      <w:r>
        <w:rPr>
          <w:rFonts w:hint="eastAsia" w:ascii="仿宋" w:hAnsi="仿宋" w:eastAsia="仿宋" w:cs="仿宋"/>
          <w:sz w:val="24"/>
          <w:szCs w:val="24"/>
        </w:rPr>
        <w:t>进行改造升级。</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主动监测采集子系统一方面通过部署在互联边界路由器侧的主动监测采集设备执行网间（互联链路）通信质量监测，并将获得的时延、丢包率等质量指标通过传输线路传送至监控中心子系统进行存储处理和统计分析；另一方面，通过部署在互联单位城域网中的主动监测采集设备，执行跨网端对端质量监测和不规范路由监测，获得跨网端对端网络层/传输层/应用层访问质量指标数据，并传送至监控中心子系统进行存储处理和统计分析。同时，主动监测采集设备还可以在主动测试过程中进行原始流量的捕获，并将录制的原始流量提交监控中心子系统，以辅助人工进行通信障碍责任判定。此外，利用主动监测采集设备实现对信源架构的监测，对IPv6应用支持情况的监测、对工业互联网关键设备的监测，对国际互联网访问性能的监测，对视频访问的监测，对全国骨干网络性能监测。</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被动监测采集子系统监测互联链路的上下行分光流量，并将流量流向、业务成分监测数据通过传输线路传送至监控中心子系统进行存储处理和统计分析。此外，被动监测采集设备还可以根据指定IP地址和时间窗口进行流量的采集录制，并将录制的流量提交监控中心子系统，以辅助人工进行通信障碍责任判定。</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宽带测速采集子系统通过测速终端设备采集黑龙江省固定/移动宽带测速数据和互联网业务体验数据，数据定期采集后自动回传至直联点监控中心子系统，进行多维度统计分析，获取黑龙江省宽带网络发展质量和用户业务体验情况，可支撑行业监管部门改善宽带网络发展质量，增强全省互联网用户的满意度。为黑龙江省管局掌握全省宽带发展、发挥战略引导作用提供数据支持。</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综合控制网管子系统一方面获取互联单位上报的网管数据，从而使直联点系统运行维护人员能够很直观地了解到直联点设备的运行情况。另一方面，通过采集监测系统自身服务器，包括主动监测、被动监测、监控中心系统中相关设备的性能、事件和状态，保障监测系统本身正常运行。</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直联点监控中心子系统部署在黑龙江省通信管理局</w:t>
      </w:r>
      <w:r>
        <w:rPr>
          <w:rFonts w:hint="eastAsia" w:ascii="仿宋" w:hAnsi="仿宋" w:eastAsia="仿宋" w:cs="仿宋"/>
          <w:sz w:val="24"/>
          <w:szCs w:val="24"/>
          <w:lang w:val="en-US"/>
        </w:rPr>
        <w:t>租用</w:t>
      </w:r>
      <w:r>
        <w:rPr>
          <w:rFonts w:hint="eastAsia" w:ascii="仿宋" w:hAnsi="仿宋" w:eastAsia="仿宋" w:cs="仿宋"/>
          <w:sz w:val="24"/>
          <w:szCs w:val="24"/>
        </w:rPr>
        <w:t>机房，接收来自直联点互联单位报送的网管数据、被动监测采集子系统、主动监测采集子系统和宽带测速采集子系统传送的监测数据，进行存储处理和统计分析，从而获得用户感兴趣的质量指标数据，并实现对这些质量指标数据的综合查询、图表展示、报表导出和实时呈现。此外，直联点监控中心子系统还负责对直联点互联拓扑等基础数据、历史监测数据、管理日志、监测任务以及被动监测采集子系统、主动监测采集子系统的管理，实现对监测平台数据的实时呈现、业务演示、监测机房环境监控等功能。</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运行维护支撑子系统包括网络部署、网络安全防护、运行管理和时钟同步四个方面的建设内容。网络部署方面，遵照网络设计原则对监测系统整体网络拓扑和网络传输进行分区域设计，确保网络部署的可靠性，网络架构清晰，路由规划合理，保障网络连接通畅无阻塞；网络安全防护方面，制定合理可行的网络安全管理制度，遵照网络安全等级保护制度要求，建立有效的网络安全技术防护手段、密码技术应用方案和网络安全运维管理方案；运行管理方面，采集监测系统设备运行状态数据和告警数据，及时发现设备运行隐患，综合展示设备运行状态和故障告警等信息，保障监测系统自身正常运行；时钟同步方面，建立基准时钟源，同步哈尔滨国家级互联网骨干直联点监测系统内各业务系统的主机时钟。</w:t>
      </w:r>
    </w:p>
    <w:p>
      <w:pPr>
        <w:adjustRightInd w:val="0"/>
        <w:spacing w:beforeLines="0" w:afterLines="0" w:line="560" w:lineRule="exact"/>
        <w:ind w:right="47" w:firstLine="480" w:firstLineChars="200"/>
        <w:jc w:val="both"/>
        <w:rPr>
          <w:rStyle w:val="204"/>
          <w:rFonts w:hint="eastAsia" w:ascii="仿宋" w:hAnsi="仿宋" w:eastAsia="仿宋" w:cs="仿宋"/>
          <w:color w:val="000000"/>
          <w:szCs w:val="24"/>
        </w:rPr>
      </w:pPr>
      <w:r>
        <w:rPr>
          <w:rStyle w:val="204"/>
          <w:rFonts w:hint="eastAsia" w:ascii="仿宋" w:hAnsi="仿宋" w:eastAsia="仿宋" w:cs="仿宋"/>
          <w:color w:val="000000"/>
          <w:szCs w:val="24"/>
        </w:rPr>
        <w:t>监控展示大厅改造升级：监控展示中心复用黑龙江省通信管理局已有监控大厅，结合项目需求配套完成装修改造、音频扩声系统、集中控制系统和综合布线系统。</w:t>
      </w:r>
    </w:p>
    <w:p>
      <w:pPr>
        <w:spacing w:beforeLines="0" w:afterLines="0" w:line="560" w:lineRule="exact"/>
        <w:ind w:firstLine="420"/>
        <w:jc w:val="both"/>
        <w:outlineLvl w:val="4"/>
        <w:rPr>
          <w:rFonts w:hint="eastAsia" w:ascii="仿宋" w:hAnsi="仿宋" w:eastAsia="仿宋" w:cs="仿宋"/>
          <w:sz w:val="24"/>
          <w:szCs w:val="24"/>
        </w:rPr>
      </w:pPr>
      <w:r>
        <w:rPr>
          <w:rFonts w:hint="eastAsia" w:ascii="仿宋" w:hAnsi="仿宋" w:eastAsia="仿宋" w:cs="仿宋"/>
          <w:b/>
          <w:sz w:val="24"/>
          <w:szCs w:val="24"/>
          <w:lang w:val="en-US"/>
        </w:rPr>
        <w:t>4</w:t>
      </w:r>
      <w:r>
        <w:rPr>
          <w:rFonts w:hint="eastAsia" w:ascii="仿宋" w:hAnsi="仿宋" w:eastAsia="仿宋" w:cs="仿宋"/>
          <w:b/>
          <w:sz w:val="24"/>
          <w:szCs w:val="24"/>
        </w:rPr>
        <w:t>.2.1主动监测采集子系统</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sz w:val="24"/>
          <w:szCs w:val="24"/>
          <w:lang w:val="en-US"/>
        </w:rPr>
        <w:t>★</w:t>
      </w:r>
      <w:r>
        <w:rPr>
          <w:rFonts w:hint="eastAsia" w:ascii="仿宋" w:hAnsi="仿宋" w:eastAsia="仿宋" w:cs="仿宋"/>
          <w:b/>
          <w:sz w:val="24"/>
          <w:szCs w:val="24"/>
        </w:rPr>
        <w:t>骨干网主动监测采集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投标人应实现通过骨干网主动监测采集节点，监测互联单位间互联链路性能变化情况，依据《互联网骨干网网间通信质量监督管理办法》中的规定，判断网间通信障碍。</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投标人应实现针对网络层做性能测试，收集时延、丢包率、抖动、跳数等指标。每15分钟采集一次，忙时支持每5分钟采集一次。支持IPv6相关指标采集。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投标人应实现针对传输层做性能测试，通过主动监测服务器模拟客户端和服务端，收集TCP连接时延、成功率等指标。采集周期可制定。</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投标人应实现支持自定义任务，对测试间隔时间、时延/丢包率/忙时/闲时的统计周期等测试参数进行设置，以适应不同的测试任务和测试方法的要求。</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投标人应实现支持按照不同的指令生成不同的报文格式；支持基于SFTP或HTTP等协议的方式将数据传输至直联点监测中心；具备丢包重传等机制；支持支持原始数据压缩备份存储。</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sz w:val="24"/>
          <w:szCs w:val="24"/>
          <w:lang w:val="en-US"/>
        </w:rPr>
        <w:t>★</w:t>
      </w:r>
      <w:r>
        <w:rPr>
          <w:rFonts w:hint="eastAsia" w:ascii="仿宋" w:hAnsi="仿宋" w:eastAsia="仿宋" w:cs="仿宋"/>
          <w:b/>
          <w:sz w:val="24"/>
          <w:szCs w:val="24"/>
        </w:rPr>
        <w:t>城域网主动监测采集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投标人应实现针对不同源/宿基础电信企业、不同源/宿地域、不同业务以及特定站点的业务访问质量进行监测。监测涵盖互联网主流业务，支持但不限于常见的WWW业务、FTP业务等。</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投标人应满足业务访问质量监测需实现采集指标如下：</w:t>
      </w:r>
    </w:p>
    <w:p>
      <w:pPr>
        <w:pStyle w:val="58"/>
        <w:numPr>
          <w:ilvl w:val="0"/>
          <w:numId w:val="18"/>
        </w:numPr>
        <w:spacing w:beforeLines="0" w:afterLines="0" w:line="560" w:lineRule="exact"/>
        <w:ind w:left="440" w:leftChars="200"/>
        <w:jc w:val="both"/>
        <w:rPr>
          <w:rFonts w:hint="eastAsia" w:ascii="仿宋" w:hAnsi="仿宋" w:eastAsia="仿宋" w:cs="仿宋"/>
          <w:sz w:val="24"/>
          <w:szCs w:val="24"/>
        </w:rPr>
      </w:pPr>
      <w:r>
        <w:rPr>
          <w:rFonts w:hint="eastAsia" w:ascii="仿宋" w:hAnsi="仿宋" w:eastAsia="仿宋" w:cs="仿宋"/>
          <w:sz w:val="24"/>
          <w:szCs w:val="24"/>
        </w:rPr>
        <w:t>HTTP浏览类业务性能采集：包括DNS解析时延、HTTP访问成功率、HTTP页面传送时延、HTTP页面传送速率等指标。</w:t>
      </w:r>
    </w:p>
    <w:p>
      <w:pPr>
        <w:pStyle w:val="58"/>
        <w:numPr>
          <w:ilvl w:val="0"/>
          <w:numId w:val="18"/>
        </w:numPr>
        <w:spacing w:beforeLines="0" w:afterLines="0" w:line="560" w:lineRule="exact"/>
        <w:ind w:left="440" w:leftChars="200"/>
        <w:jc w:val="both"/>
        <w:rPr>
          <w:rFonts w:hint="eastAsia" w:ascii="仿宋" w:hAnsi="仿宋" w:eastAsia="仿宋" w:cs="仿宋"/>
          <w:sz w:val="24"/>
          <w:szCs w:val="24"/>
        </w:rPr>
      </w:pPr>
      <w:r>
        <w:rPr>
          <w:rFonts w:hint="eastAsia" w:ascii="仿宋" w:hAnsi="仿宋" w:eastAsia="仿宋" w:cs="仿宋"/>
          <w:sz w:val="24"/>
          <w:szCs w:val="24"/>
        </w:rPr>
        <w:t>FTP类业务性能采集：包括FTP访问成功率、FTP文件下载时延、FTP文件下载速率、FTP文件上传时延、FTP文件上传速率等指标。</w:t>
      </w:r>
    </w:p>
    <w:p>
      <w:pPr>
        <w:pStyle w:val="58"/>
        <w:numPr>
          <w:ilvl w:val="0"/>
          <w:numId w:val="18"/>
        </w:numPr>
        <w:spacing w:beforeLines="0" w:afterLines="0" w:line="560" w:lineRule="exact"/>
        <w:ind w:left="440" w:leftChars="200"/>
        <w:jc w:val="both"/>
        <w:rPr>
          <w:rFonts w:hint="eastAsia" w:ascii="仿宋" w:hAnsi="仿宋" w:eastAsia="仿宋" w:cs="仿宋"/>
          <w:sz w:val="24"/>
          <w:szCs w:val="24"/>
        </w:rPr>
      </w:pPr>
      <w:r>
        <w:rPr>
          <w:rFonts w:hint="eastAsia" w:ascii="仿宋" w:hAnsi="仿宋" w:eastAsia="仿宋" w:cs="仿宋"/>
          <w:sz w:val="24"/>
          <w:szCs w:val="24"/>
        </w:rPr>
        <w:t>投标人应实现针对不同源/宿基础电信企业、不同源/宿地域的端到端通信性能进行监测。</w:t>
      </w:r>
    </w:p>
    <w:p>
      <w:pPr>
        <w:pStyle w:val="58"/>
        <w:numPr>
          <w:ilvl w:val="0"/>
          <w:numId w:val="18"/>
        </w:numPr>
        <w:spacing w:beforeLines="0" w:afterLines="0" w:line="560" w:lineRule="exact"/>
        <w:ind w:left="440" w:leftChars="200"/>
        <w:jc w:val="both"/>
        <w:rPr>
          <w:rFonts w:hint="eastAsia" w:ascii="仿宋" w:hAnsi="仿宋" w:eastAsia="仿宋" w:cs="仿宋"/>
          <w:sz w:val="24"/>
          <w:szCs w:val="24"/>
        </w:rPr>
      </w:pPr>
      <w:r>
        <w:rPr>
          <w:rFonts w:hint="eastAsia" w:ascii="仿宋" w:hAnsi="仿宋" w:eastAsia="仿宋" w:cs="仿宋"/>
          <w:sz w:val="24"/>
          <w:szCs w:val="24"/>
        </w:rPr>
        <w:t>投标人应满足网络通信性能指标（网络层、传输层）主要包括：往返时延、丢包率、TCP连接成功率、TCP连接建立时延等。每半小时采集一次，忙时支持每5分钟采集一次。支持IPv6相关指标采集。</w:t>
      </w:r>
    </w:p>
    <w:p>
      <w:pPr>
        <w:pStyle w:val="58"/>
        <w:numPr>
          <w:ilvl w:val="0"/>
          <w:numId w:val="18"/>
        </w:numPr>
        <w:spacing w:beforeLines="0" w:afterLines="0" w:line="560" w:lineRule="exact"/>
        <w:ind w:left="440" w:leftChars="200"/>
        <w:jc w:val="both"/>
        <w:rPr>
          <w:rFonts w:hint="eastAsia" w:ascii="仿宋" w:hAnsi="仿宋" w:eastAsia="仿宋" w:cs="仿宋"/>
          <w:sz w:val="24"/>
          <w:szCs w:val="24"/>
        </w:rPr>
      </w:pPr>
      <w:r>
        <w:rPr>
          <w:rFonts w:hint="eastAsia" w:ascii="仿宋" w:hAnsi="仿宋" w:eastAsia="仿宋" w:cs="仿宋"/>
          <w:sz w:val="24"/>
          <w:szCs w:val="24"/>
        </w:rPr>
        <w:t>投标人应实现支持自定义任务，对测试间隔时间、时延/丢包率/忙时/闲时的统计周期等测试参数进行设置，以适应不同的测试任务和测试方法的要求。</w:t>
      </w:r>
    </w:p>
    <w:p>
      <w:pPr>
        <w:pStyle w:val="58"/>
        <w:numPr>
          <w:ilvl w:val="0"/>
          <w:numId w:val="18"/>
        </w:numPr>
        <w:spacing w:beforeLines="0" w:afterLines="0" w:line="560" w:lineRule="exact"/>
        <w:ind w:left="440" w:leftChars="200"/>
        <w:jc w:val="both"/>
        <w:rPr>
          <w:rFonts w:hint="eastAsia" w:ascii="仿宋" w:hAnsi="仿宋" w:eastAsia="仿宋" w:cs="仿宋"/>
          <w:sz w:val="24"/>
          <w:szCs w:val="24"/>
        </w:rPr>
      </w:pPr>
      <w:r>
        <w:rPr>
          <w:rFonts w:hint="eastAsia" w:ascii="仿宋" w:hAnsi="仿宋" w:eastAsia="仿宋" w:cs="仿宋"/>
          <w:sz w:val="24"/>
          <w:szCs w:val="24"/>
        </w:rPr>
        <w:t>投标人应实现支持按照不同的指令生成不同的报文格式；支持基于SFTP或HTTP等协议的方式将数据传输至直联点监测中心；具备丢包重传等机制；支持支持原始数据压缩备份存储。</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（3）</w:t>
      </w:r>
      <w:r>
        <w:rPr>
          <w:rFonts w:hint="eastAsia" w:ascii="仿宋" w:hAnsi="仿宋" w:eastAsia="仿宋" w:cs="仿宋"/>
          <w:sz w:val="24"/>
          <w:szCs w:val="24"/>
          <w:lang w:val="en-US"/>
        </w:rPr>
        <w:t>★</w:t>
      </w:r>
      <w:r>
        <w:rPr>
          <w:rFonts w:hint="eastAsia" w:ascii="仿宋" w:hAnsi="仿宋" w:eastAsia="仿宋" w:cs="仿宋"/>
          <w:b/>
          <w:sz w:val="24"/>
          <w:szCs w:val="24"/>
        </w:rPr>
        <w:t>网间不规范路由监测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投标人应实现对互联单位之间的不规范路由进行监测，获取网间不规范路由路径信息，为规范互联网网间互联互通路由传输提供支持。</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（4）</w:t>
      </w:r>
      <w:r>
        <w:rPr>
          <w:rFonts w:hint="eastAsia" w:ascii="仿宋" w:hAnsi="仿宋" w:eastAsia="仿宋" w:cs="仿宋"/>
          <w:szCs w:val="21"/>
        </w:rPr>
        <w:t>▲</w:t>
      </w:r>
      <w:r>
        <w:rPr>
          <w:rFonts w:hint="eastAsia" w:ascii="仿宋" w:hAnsi="仿宋" w:eastAsia="仿宋" w:cs="仿宋"/>
          <w:b/>
          <w:sz w:val="24"/>
          <w:szCs w:val="24"/>
        </w:rPr>
        <w:t>信源架构监测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投标人应实现对全国重点网站省内部署情况进行分析监控，同时对网站的CDN应用部署情况进行探测。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投标人应实现对全国重点网站在黑龙江省内的部署情况进行分析监控，同时对网站的CDN应用部署情况进行探测。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投标人应实现对全国重点CDN厂商的CDN服务网络在区内的服务节点分布进行分析监控，了解各CDN厂商在黑龙江省部署服务器的情况。</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（5）</w:t>
      </w:r>
      <w:r>
        <w:rPr>
          <w:rFonts w:hint="eastAsia" w:ascii="仿宋" w:hAnsi="仿宋" w:eastAsia="仿宋" w:cs="仿宋"/>
          <w:szCs w:val="21"/>
        </w:rPr>
        <w:t>▲</w:t>
      </w:r>
      <w:r>
        <w:rPr>
          <w:rFonts w:hint="eastAsia" w:ascii="仿宋" w:hAnsi="仿宋" w:eastAsia="仿宋" w:cs="仿宋"/>
          <w:b/>
          <w:sz w:val="24"/>
          <w:szCs w:val="24"/>
        </w:rPr>
        <w:t>IPv6应用支持情况监测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投标人应实现对黑龙江省重点网络基础设施和网络应用的IPv6支持情况开展测试，监测性能指标主要包括：</w:t>
      </w:r>
    </w:p>
    <w:p>
      <w:pPr>
        <w:pStyle w:val="58"/>
        <w:numPr>
          <w:ilvl w:val="0"/>
          <w:numId w:val="19"/>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黑龙江省主要政府、高校、大型企事业单位的门户网站IPv6支持情况；</w:t>
      </w:r>
    </w:p>
    <w:p>
      <w:pPr>
        <w:pStyle w:val="58"/>
        <w:numPr>
          <w:ilvl w:val="0"/>
          <w:numId w:val="19"/>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国内TOP100重点移动APP及省内重点移动APP的IPv6支持情况；</w:t>
      </w:r>
    </w:p>
    <w:p>
      <w:pPr>
        <w:pStyle w:val="58"/>
        <w:numPr>
          <w:ilvl w:val="0"/>
          <w:numId w:val="19"/>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省内基础电信企业DNS递归服务器IPv6地址解析支持情况及IPv6地址解析性能。</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（6）</w:t>
      </w:r>
      <w:r>
        <w:rPr>
          <w:rFonts w:hint="eastAsia" w:ascii="仿宋" w:hAnsi="仿宋" w:eastAsia="仿宋" w:cs="仿宋"/>
          <w:szCs w:val="21"/>
        </w:rPr>
        <w:t>▲</w:t>
      </w:r>
      <w:r>
        <w:rPr>
          <w:rFonts w:hint="eastAsia" w:ascii="仿宋" w:hAnsi="仿宋" w:eastAsia="仿宋" w:cs="仿宋"/>
          <w:b/>
          <w:sz w:val="24"/>
          <w:szCs w:val="24"/>
        </w:rPr>
        <w:t>工业互联网关键设备监测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面向暴露在公网的工业控制设备/系统（PLC、SCADA等）以及Web-Camera、DVR等网络视频设备的监测，监测主要指标应满足包括：设备开放端口信息、设备制造商信息（主要设备制造商）、设备访问安全情况（是否启用密码、密码是否为默认密码或常用简易密码）。</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（7）</w:t>
      </w:r>
      <w:r>
        <w:rPr>
          <w:rFonts w:hint="eastAsia" w:ascii="仿宋" w:hAnsi="仿宋" w:eastAsia="仿宋" w:cs="仿宋"/>
          <w:szCs w:val="21"/>
        </w:rPr>
        <w:t>▲</w:t>
      </w:r>
      <w:r>
        <w:rPr>
          <w:rFonts w:hint="eastAsia" w:ascii="仿宋" w:hAnsi="仿宋" w:eastAsia="仿宋" w:cs="仿宋"/>
          <w:b/>
          <w:sz w:val="24"/>
          <w:szCs w:val="24"/>
        </w:rPr>
        <w:t>国际互联网访问性能监测采集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投标人应实现针对黑龙江省内各基础电信企业到国际（特别是“一带一路”方向）重点网络和网站的访问性能进行监测。监测性能指标主要包括：</w:t>
      </w:r>
    </w:p>
    <w:p>
      <w:pPr>
        <w:pStyle w:val="58"/>
        <w:numPr>
          <w:ilvl w:val="0"/>
          <w:numId w:val="20"/>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网络路由，包括每跳位置、基础电信企业、IP地址、每跳时延等；</w:t>
      </w:r>
    </w:p>
    <w:p>
      <w:pPr>
        <w:pStyle w:val="58"/>
        <w:numPr>
          <w:ilvl w:val="0"/>
          <w:numId w:val="20"/>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网络性能，包括时延、抖动、丢包率、跳数等；</w:t>
      </w:r>
    </w:p>
    <w:p>
      <w:pPr>
        <w:pStyle w:val="58"/>
        <w:numPr>
          <w:ilvl w:val="0"/>
          <w:numId w:val="20"/>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网站访问性能，包括业务访问成功率、DNS解析时延、连接建立时延、业务访问时延、数据传输速率等。</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（8）</w:t>
      </w:r>
      <w:r>
        <w:rPr>
          <w:rFonts w:hint="eastAsia" w:ascii="仿宋" w:hAnsi="仿宋" w:eastAsia="仿宋" w:cs="仿宋"/>
          <w:szCs w:val="21"/>
        </w:rPr>
        <w:t>▲</w:t>
      </w:r>
      <w:r>
        <w:rPr>
          <w:rFonts w:hint="eastAsia" w:ascii="仿宋" w:hAnsi="仿宋" w:eastAsia="仿宋" w:cs="仿宋"/>
          <w:b/>
          <w:sz w:val="24"/>
          <w:szCs w:val="24"/>
        </w:rPr>
        <w:t>视频访问监测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投标人应实现对黑龙江省内的不同基础电信企业访问国内重点视频源的性能进行监测采集，包括：视频访问性能和视频访问时的跨网/跨省情况两部分监测。</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（9）</w:t>
      </w:r>
      <w:r>
        <w:rPr>
          <w:rFonts w:hint="eastAsia" w:ascii="仿宋" w:hAnsi="仿宋" w:eastAsia="仿宋" w:cs="仿宋"/>
          <w:szCs w:val="21"/>
        </w:rPr>
        <w:t>▲</w:t>
      </w:r>
      <w:r>
        <w:rPr>
          <w:rFonts w:hint="eastAsia" w:ascii="仿宋" w:hAnsi="仿宋" w:eastAsia="仿宋" w:cs="仿宋"/>
          <w:b/>
          <w:sz w:val="24"/>
          <w:szCs w:val="24"/>
        </w:rPr>
        <w:t>全国骨干网络性能监测采集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投标人应实现对黑龙江省内各基础电信企业到全国其他省各基础电信企业之间的骨干网网内、网间访问性能的监测采集。</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（10）</w:t>
      </w:r>
      <w:r>
        <w:rPr>
          <w:rFonts w:hint="eastAsia" w:ascii="仿宋" w:hAnsi="仿宋" w:eastAsia="仿宋" w:cs="仿宋"/>
          <w:sz w:val="24"/>
          <w:szCs w:val="24"/>
          <w:lang w:val="en-US"/>
        </w:rPr>
        <w:t>★</w:t>
      </w:r>
      <w:r>
        <w:rPr>
          <w:rFonts w:hint="eastAsia" w:ascii="仿宋" w:hAnsi="仿宋" w:eastAsia="仿宋" w:cs="仿宋"/>
          <w:b/>
          <w:sz w:val="24"/>
          <w:szCs w:val="24"/>
        </w:rPr>
        <w:t>辅助网间质量障碍责任判定测试</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接收直联点监控中心指令，在进行跨网端对端质量主动测试过程中配合发起障碍责任判定测试，同时捕获原始流量，并将录制的原始流量提交监控中心子系统，与被动监测方式结合，进行通信障碍分析和责任判定。</w:t>
      </w:r>
    </w:p>
    <w:p>
      <w:pPr>
        <w:spacing w:beforeLines="0" w:afterLines="0" w:line="560" w:lineRule="exact"/>
        <w:ind w:firstLine="420"/>
        <w:jc w:val="both"/>
        <w:outlineLvl w:val="4"/>
        <w:rPr>
          <w:rFonts w:hint="eastAsia" w:ascii="仿宋" w:hAnsi="仿宋" w:eastAsia="仿宋" w:cs="仿宋"/>
          <w:b/>
          <w:sz w:val="24"/>
          <w:szCs w:val="24"/>
        </w:rPr>
      </w:pPr>
      <w:r>
        <w:rPr>
          <w:rFonts w:hint="eastAsia" w:ascii="仿宋" w:hAnsi="仿宋" w:eastAsia="仿宋" w:cs="仿宋"/>
          <w:b/>
          <w:sz w:val="24"/>
          <w:szCs w:val="24"/>
          <w:lang w:val="en-US"/>
        </w:rPr>
        <w:t>4</w:t>
      </w:r>
      <w:r>
        <w:rPr>
          <w:rFonts w:hint="eastAsia" w:ascii="仿宋" w:hAnsi="仿宋" w:eastAsia="仿宋" w:cs="仿宋"/>
          <w:b/>
          <w:sz w:val="24"/>
          <w:szCs w:val="24"/>
        </w:rPr>
        <w:t>.2.2被动监测采集子系统</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sz w:val="24"/>
          <w:szCs w:val="24"/>
          <w:lang w:val="en-US"/>
        </w:rPr>
        <w:t>★</w:t>
      </w:r>
      <w:r>
        <w:rPr>
          <w:rFonts w:hint="eastAsia" w:ascii="仿宋" w:hAnsi="仿宋" w:eastAsia="仿宋" w:cs="仿宋"/>
          <w:b/>
          <w:sz w:val="24"/>
          <w:szCs w:val="24"/>
        </w:rPr>
        <w:t>互联链路性能监测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针对不同源/宿互联单位的互联链路性能进行监测，分析评估直联点流量疏导区域的互联网网络运行状况、性能瓶颈与通信障碍。上报互联链路某一个互联方向上的性能指标，包括：流量（数据包数、字节数）、流速/吞吐量。</w:t>
      </w:r>
    </w:p>
    <w:p>
      <w:pPr>
        <w:pStyle w:val="58"/>
        <w:numPr>
          <w:ilvl w:val="0"/>
          <w:numId w:val="21"/>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需支持逻辑链路性能监测，实现对不同源/宿互联单位之间上行/下行流量、上行/下行带宽利用率的采集。</w:t>
      </w:r>
    </w:p>
    <w:p>
      <w:pPr>
        <w:pStyle w:val="58"/>
        <w:numPr>
          <w:ilvl w:val="0"/>
          <w:numId w:val="21"/>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需支持分局点链路性能监测，实现对不同源/宿互联单位互联互通路由器实际的物理局点之间上行/下行流量、上行/下行带宽利用率的采集。</w:t>
      </w:r>
    </w:p>
    <w:p>
      <w:pPr>
        <w:pStyle w:val="58"/>
        <w:numPr>
          <w:ilvl w:val="0"/>
          <w:numId w:val="21"/>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需支持物理链路性能监测，实现对不同源/宿互联单位互联互通链路之间上行/下行流量、上行/下行带宽利用率的采集。</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sz w:val="24"/>
          <w:szCs w:val="24"/>
          <w:lang w:val="en-US"/>
        </w:rPr>
        <w:t>★</w:t>
      </w:r>
      <w:r>
        <w:rPr>
          <w:rFonts w:hint="eastAsia" w:ascii="仿宋" w:hAnsi="仿宋" w:eastAsia="仿宋" w:cs="仿宋"/>
          <w:b/>
          <w:sz w:val="24"/>
          <w:szCs w:val="24"/>
        </w:rPr>
        <w:t>过网流量流向监测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投标人应实现过网流量流向监测实现对网络流量的流量流向识别、分析和统计，分析维度包括：时间、地域（省、地市）、基础电信企业。上报的数据指标包括流量（数据包数、字节数）。</w:t>
      </w:r>
    </w:p>
    <w:p>
      <w:pPr>
        <w:pStyle w:val="58"/>
        <w:numPr>
          <w:ilvl w:val="0"/>
          <w:numId w:val="22"/>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需支持网间流量流向监测，实现对不同互联单位分方向流量疏导情况的采集。</w:t>
      </w:r>
    </w:p>
    <w:p>
      <w:pPr>
        <w:pStyle w:val="58"/>
        <w:numPr>
          <w:ilvl w:val="0"/>
          <w:numId w:val="22"/>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需支持省间流量流向监测，实现对全国省间不同地域分方向流量疏导情况的采集。</w:t>
      </w:r>
    </w:p>
    <w:p>
      <w:pPr>
        <w:pStyle w:val="58"/>
        <w:numPr>
          <w:ilvl w:val="0"/>
          <w:numId w:val="22"/>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需支持省内流量分布监测，实现对省内不同互联单位间直联点过网流量分方向的采集。</w:t>
      </w:r>
    </w:p>
    <w:p>
      <w:pPr>
        <w:pStyle w:val="58"/>
        <w:numPr>
          <w:ilvl w:val="0"/>
          <w:numId w:val="22"/>
        </w:numPr>
        <w:spacing w:beforeLines="0" w:afterLines="0" w:line="560" w:lineRule="exact"/>
        <w:jc w:val="both"/>
        <w:rPr>
          <w:rFonts w:hint="eastAsia" w:ascii="仿宋" w:hAnsi="仿宋" w:eastAsia="仿宋" w:cs="仿宋"/>
          <w:sz w:val="24"/>
          <w:szCs w:val="24"/>
        </w:rPr>
      </w:pPr>
      <w:r>
        <w:rPr>
          <w:rFonts w:hint="eastAsia" w:ascii="仿宋" w:hAnsi="仿宋" w:eastAsia="仿宋" w:cs="仿宋"/>
          <w:sz w:val="24"/>
          <w:szCs w:val="24"/>
        </w:rPr>
        <w:t>需支持特定信源流量监测，通过接收监控中心侧省内特定信源有关信息，实现对黑龙江省内特定信源直联点过网流量的采集。</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（3）</w:t>
      </w:r>
      <w:r>
        <w:rPr>
          <w:rFonts w:hint="eastAsia" w:ascii="仿宋" w:hAnsi="仿宋" w:eastAsia="仿宋" w:cs="仿宋"/>
          <w:sz w:val="24"/>
          <w:szCs w:val="24"/>
          <w:lang w:val="en-US"/>
        </w:rPr>
        <w:t>★</w:t>
      </w:r>
      <w:r>
        <w:rPr>
          <w:rFonts w:hint="eastAsia" w:ascii="仿宋" w:hAnsi="仿宋" w:eastAsia="仿宋" w:cs="仿宋"/>
          <w:b/>
          <w:sz w:val="24"/>
          <w:szCs w:val="24"/>
        </w:rPr>
        <w:t>过网流量业务成分分析</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投标人应实现提取和记录网络层、传输层和应用层的各项细粒度指标数据，支持IPv4和IPv6流量。</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投标人应实现支持多种主流应用协议，包括http，Mail，IM，各类视频及P2P应用等。</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针对过网实际流量，分互联单位、分地域、分特定源/宿实时统计分析流量大小、业务组成及占比，分析骨干直联点的流量疏导情况。分析维度包括：时间、地域（省、地市）、基础电信企业、应用业务分组、应用业务类型。上报指标包括：流量（数据包数、字节数）、源IP数、信宿/用户数、目的IP数、信源/站点数、信宿到信源的会话数/连接数、访问平均持续时间（秒）。</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（4）</w:t>
      </w:r>
      <w:r>
        <w:rPr>
          <w:rFonts w:hint="eastAsia" w:ascii="仿宋" w:hAnsi="仿宋" w:eastAsia="仿宋" w:cs="仿宋"/>
          <w:sz w:val="24"/>
          <w:szCs w:val="24"/>
          <w:lang w:val="en-US"/>
        </w:rPr>
        <w:t>★</w:t>
      </w:r>
      <w:r>
        <w:rPr>
          <w:rFonts w:hint="eastAsia" w:ascii="仿宋" w:hAnsi="仿宋" w:eastAsia="仿宋" w:cs="仿宋"/>
          <w:b/>
          <w:sz w:val="24"/>
          <w:szCs w:val="24"/>
        </w:rPr>
        <w:t>跨网网络通信性能监测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投标人应实现以时间、地域、基础电信企业、IP协议类型和应用业务为维度，上报跨网网络通信性能指标。采集指标包括：IP碎片率、TCP连接成功率、TCP连接握手时延(ms)、TCP乱序率、TCP重传/丢包率、TCP SYN请求次数、TCP窗口大小、TCP MSS（最大传输单元）大小等。</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需支持链路质量监测采集，实现对直联点跨网通信IP碎片率、TCP连接成功率、TCP乱序率、TCP重传率的监测采集。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需支持特定信源质量监测采集，通过接收监控中心侧省内特定信源有关信息，实现对黑龙江省内特定信源直联点过网流量用户访问次数（session）、连接成功率指标的采集。</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（5）</w:t>
      </w:r>
      <w:r>
        <w:rPr>
          <w:rFonts w:hint="eastAsia" w:ascii="仿宋" w:hAnsi="仿宋" w:eastAsia="仿宋" w:cs="仿宋"/>
          <w:sz w:val="24"/>
          <w:szCs w:val="24"/>
          <w:lang w:val="en-US"/>
        </w:rPr>
        <w:t>★</w:t>
      </w:r>
      <w:r>
        <w:rPr>
          <w:rFonts w:hint="eastAsia" w:ascii="仿宋" w:hAnsi="仿宋" w:eastAsia="仿宋" w:cs="仿宋"/>
          <w:b/>
          <w:sz w:val="24"/>
          <w:szCs w:val="24"/>
        </w:rPr>
        <w:t>网间业务访问质量监测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投标人应实现可针对不同源/宿互联单位、不同源/宿地域、不同业务以及特定站点的网间业务访问质量进行监测，分析评估直联点流量疏导区域的互联网业务访问状况、性能瓶颈与通信障碍。</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采集指标需包含：业务访问成功率（%）、访问首包时延/登录时延（ms）、访问数据大小（字节）、业务数据下载速率（Bps）、业务数据下载时延（ms）等。</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（6）</w:t>
      </w:r>
      <w:r>
        <w:rPr>
          <w:rFonts w:hint="eastAsia" w:ascii="仿宋" w:hAnsi="仿宋" w:eastAsia="仿宋" w:cs="仿宋"/>
          <w:sz w:val="24"/>
          <w:szCs w:val="24"/>
          <w:lang w:val="en-US"/>
        </w:rPr>
        <w:t>★</w:t>
      </w:r>
      <w:r>
        <w:rPr>
          <w:rFonts w:hint="eastAsia" w:ascii="仿宋" w:hAnsi="仿宋" w:eastAsia="仿宋" w:cs="仿宋"/>
          <w:b/>
          <w:sz w:val="24"/>
          <w:szCs w:val="24"/>
        </w:rPr>
        <w:t>BGP路由信息采集分析</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采集分析网间流量中的明文BGP路由通告消息，掌握网间BGP路由的最新变化情况。采集指标应包括：路由更新方式、路由信息的来源、下一跳属性、广播地址(NLRI)前缀、广播地址前缀长度、NETWORK起始ip、NETWORK起始ip数值、NETWORK结束ip、NETWORK结束ip数值、NETWORK所属基础电信企业编码、NETWORK所属基础电信企业、NETWORK所属省份id、NETWORK所属省份名称、NETWORK所属地市id、NETWORK所属地市名称、广播路由器地址、广播路由器所属基础电信企业id、广播路由器所属基础电信企业、目标路由器地址、目标路由器所属基础电信企业id、目标路由器所属基础电信企业名称。</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（7）</w:t>
      </w:r>
      <w:r>
        <w:rPr>
          <w:rFonts w:hint="eastAsia" w:ascii="仿宋" w:hAnsi="仿宋" w:eastAsia="仿宋" w:cs="仿宋"/>
          <w:sz w:val="24"/>
          <w:szCs w:val="24"/>
          <w:lang w:val="en-US"/>
        </w:rPr>
        <w:t>★</w:t>
      </w:r>
      <w:r>
        <w:rPr>
          <w:rFonts w:hint="eastAsia" w:ascii="仿宋" w:hAnsi="仿宋" w:eastAsia="仿宋" w:cs="仿宋"/>
          <w:b/>
          <w:sz w:val="24"/>
          <w:szCs w:val="24"/>
        </w:rPr>
        <w:t>通信障碍责任判定测试及流量录制</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投标人应实现根据指定IP地址和时间窗口进行流量的采集录制，并将录制的流量提交监控中心系统，以辅助人工进行通信障碍责任判定。</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需支持动监测子系统接收并分析监控中心侧下发的通信障碍责任判定任务，并调度相关模块执行测试和流量录制任务。</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需支持收集测试任务结果，并回传监控中心。</w:t>
      </w:r>
    </w:p>
    <w:p>
      <w:pPr>
        <w:spacing w:beforeLines="0" w:afterLines="0" w:line="560" w:lineRule="exact"/>
        <w:ind w:firstLine="420"/>
        <w:jc w:val="both"/>
        <w:outlineLvl w:val="4"/>
        <w:rPr>
          <w:rFonts w:hint="eastAsia" w:ascii="仿宋" w:hAnsi="仿宋" w:eastAsia="仿宋" w:cs="仿宋"/>
          <w:b/>
          <w:sz w:val="24"/>
          <w:szCs w:val="24"/>
        </w:rPr>
      </w:pPr>
      <w:r>
        <w:rPr>
          <w:rFonts w:hint="eastAsia" w:ascii="仿宋" w:hAnsi="仿宋" w:eastAsia="仿宋" w:cs="仿宋"/>
          <w:b/>
          <w:sz w:val="24"/>
          <w:szCs w:val="24"/>
          <w:lang w:val="en-US"/>
        </w:rPr>
        <w:t>4</w:t>
      </w:r>
      <w:r>
        <w:rPr>
          <w:rFonts w:hint="eastAsia" w:ascii="仿宋" w:hAnsi="仿宋" w:eastAsia="仿宋" w:cs="仿宋"/>
          <w:b/>
          <w:sz w:val="24"/>
          <w:szCs w:val="24"/>
        </w:rPr>
        <w:t>.2.3宽带测速采集子系统</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sz w:val="24"/>
          <w:szCs w:val="24"/>
          <w:lang w:val="en-US"/>
        </w:rPr>
        <w:t>★</w:t>
      </w:r>
      <w:r>
        <w:rPr>
          <w:rFonts w:hint="eastAsia" w:ascii="仿宋" w:hAnsi="仿宋" w:eastAsia="仿宋" w:cs="仿宋"/>
          <w:b/>
          <w:sz w:val="24"/>
          <w:szCs w:val="24"/>
        </w:rPr>
        <w:t>宽带接入速率测试</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投标人需满足工业和信息化部</w:t>
      </w:r>
      <w:r>
        <w:rPr>
          <w:rFonts w:hint="eastAsia" w:ascii="仿宋" w:hAnsi="仿宋" w:eastAsia="仿宋" w:cs="仿宋"/>
          <w:color w:val="000000"/>
          <w:sz w:val="24"/>
          <w:szCs w:val="24"/>
        </w:rPr>
        <w:t>《宽带速率测试方法 固定宽带接入》</w:t>
      </w:r>
      <w:r>
        <w:rPr>
          <w:rFonts w:hint="eastAsia" w:ascii="仿宋" w:hAnsi="仿宋" w:eastAsia="仿宋" w:cs="仿宋"/>
          <w:sz w:val="24"/>
          <w:szCs w:val="24"/>
        </w:rPr>
        <w:t>，向黑龙江省用户提供宽带测速功能，通过固定宽带测速客户端向宽带测速服务器发起接入速率测试，实现上行速率和下行速率的测量。</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szCs w:val="21"/>
        </w:rPr>
        <w:t>▲</w:t>
      </w:r>
      <w:r>
        <w:rPr>
          <w:rFonts w:hint="eastAsia" w:ascii="仿宋" w:hAnsi="仿宋" w:eastAsia="仿宋" w:cs="仿宋"/>
          <w:b/>
          <w:sz w:val="24"/>
          <w:szCs w:val="24"/>
        </w:rPr>
        <w:t>用户业务体验测试</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投标人需满足工业和信息化部《宽带速率测试方法 用户上网体验》，通过建设宽带测速系统，覆盖全省范围，为用户在互联网业务层面提供上网体验测试能力。</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投标人应满足用户体验速率测试主要包括网页浏览类业务体验测速、在线视频类业务速率测速和文件下载类业务测速等功能。</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投标人应满足网页浏览类业务体验测速测试指标包括首屏响应时间、首页响应时间、首页下载速率等。</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 xml:space="preserve">投标人应满足在线视频类业务支持国内主流视频网站测试，测试指标应包括视频平均下载速率、停顿率、缓冲时间占比。 </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投标人应满足文件下载类业务测试指标包括峰值下载速率、可用下载速率等关键监测指标。</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（3）</w:t>
      </w:r>
      <w:r>
        <w:rPr>
          <w:rFonts w:hint="eastAsia" w:ascii="仿宋" w:hAnsi="仿宋" w:eastAsia="仿宋" w:cs="仿宋"/>
          <w:szCs w:val="21"/>
        </w:rPr>
        <w:t>▲</w:t>
      </w:r>
      <w:r>
        <w:rPr>
          <w:rFonts w:hint="eastAsia" w:ascii="仿宋" w:hAnsi="仿宋" w:eastAsia="仿宋" w:cs="仿宋"/>
          <w:b/>
          <w:sz w:val="24"/>
          <w:szCs w:val="24"/>
        </w:rPr>
        <w:t>移动宽带测速</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投标人需满足《宽带速率测试方法-移动宽带接入》行业标准，支持3家基础电信企业4G网络（不涉及WiFi、MiFi、移动网卡等其他移动网络）接入速率和用户体验测试。</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满足测试指标包括4G平均下行速率（Mbps）、4G平均上行速率（Mbps）、4G网页浏览平均首屏呈现时间（ms）、4G网页浏览平均首页时间（ms）、4G网络视频平均下载速率（Mbit/s）、4G网络视频卡顿率（%）、4G重点网站平均文件下载速率（Mbit/s）等。</w:t>
      </w:r>
    </w:p>
    <w:p>
      <w:pPr>
        <w:spacing w:beforeLines="0" w:afterLines="0" w:line="560" w:lineRule="exact"/>
        <w:ind w:firstLine="420"/>
        <w:jc w:val="both"/>
        <w:outlineLvl w:val="4"/>
        <w:rPr>
          <w:rFonts w:hint="eastAsia" w:ascii="仿宋" w:hAnsi="仿宋" w:eastAsia="仿宋" w:cs="仿宋"/>
          <w:b/>
          <w:sz w:val="24"/>
          <w:szCs w:val="24"/>
        </w:rPr>
      </w:pPr>
      <w:r>
        <w:rPr>
          <w:rFonts w:hint="eastAsia" w:ascii="仿宋" w:hAnsi="仿宋" w:eastAsia="仿宋" w:cs="仿宋"/>
          <w:b/>
          <w:sz w:val="24"/>
          <w:szCs w:val="24"/>
          <w:lang w:val="en-US"/>
        </w:rPr>
        <w:t>4</w:t>
      </w:r>
      <w:r>
        <w:rPr>
          <w:rFonts w:hint="eastAsia" w:ascii="仿宋" w:hAnsi="仿宋" w:eastAsia="仿宋" w:cs="仿宋"/>
          <w:b/>
          <w:sz w:val="24"/>
          <w:szCs w:val="24"/>
        </w:rPr>
        <w:t>.2.4综合控制网管子系统</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（1）基础信息采集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投标人应具备通过接口接收上传的资源数据能力，包括设备所属地市、所属企业、设备类型、设备厂家、设备型号、软件版本、是否单节点单路由、内存容量、板卡信息、端口信息等。</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投标人应具备通过接口接收上传的性能数据能力，包括设备性能指标如CPU利用率、内存利用率、设备板卡状态等；链路性能指标如设备端口流量、带宽利用率等。</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投标人应具备通过接口接收上传的告警数据能力，包括设备故障告警、链路故障告警、各种门限告警、设备/端口/链路状态变化告警及其它告警等。</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（2）BGP信息采集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具备各互联单位上传BGP路由表的接口，上报指标应包括：上报时间、路由更新方式、路由信息来源、下一跳属性、广播地址前缀、广播地址前缀长度、NETWORK起始ip、NETWORK起始ip数值、NETWORK结束ip、NETWORK结束ip数值、NETWORK所属基础电信企业编码、NETWORK所属基础电信企业、NETWORK所属省份id、NETWORK所属省份名称、NETWORK所属市id、NETWORK所属市名称、广播路由器地址、广播路由器所属基础电信企业id、广播路由器所属基础电信企业、目标路由器地址、目标路由器所属基础电信企业id、目标路由器所属基础电信企业。</w:t>
      </w:r>
    </w:p>
    <w:p>
      <w:pPr>
        <w:spacing w:beforeLines="0" w:afterLines="0" w:line="560" w:lineRule="exact"/>
        <w:ind w:firstLine="420"/>
        <w:jc w:val="both"/>
        <w:outlineLvl w:val="4"/>
        <w:rPr>
          <w:rFonts w:hint="eastAsia" w:ascii="仿宋" w:hAnsi="仿宋" w:eastAsia="仿宋" w:cs="仿宋"/>
          <w:b/>
          <w:sz w:val="24"/>
          <w:szCs w:val="24"/>
        </w:rPr>
      </w:pPr>
      <w:r>
        <w:rPr>
          <w:rFonts w:hint="eastAsia" w:ascii="仿宋" w:hAnsi="仿宋" w:eastAsia="仿宋" w:cs="仿宋"/>
          <w:b/>
          <w:sz w:val="24"/>
          <w:szCs w:val="24"/>
          <w:lang w:val="en-US"/>
        </w:rPr>
        <w:t>4</w:t>
      </w:r>
      <w:r>
        <w:rPr>
          <w:rFonts w:hint="eastAsia" w:ascii="仿宋" w:hAnsi="仿宋" w:eastAsia="仿宋" w:cs="仿宋"/>
          <w:b/>
          <w:sz w:val="24"/>
          <w:szCs w:val="24"/>
        </w:rPr>
        <w:t>.2.5</w:t>
      </w:r>
      <w:r>
        <w:rPr>
          <w:rFonts w:hint="eastAsia" w:ascii="仿宋" w:hAnsi="仿宋" w:eastAsia="仿宋" w:cs="仿宋"/>
          <w:b/>
          <w:sz w:val="24"/>
          <w:szCs w:val="24"/>
          <w:lang w:val="en-US"/>
        </w:rPr>
        <w:t>直联点</w:t>
      </w:r>
      <w:r>
        <w:rPr>
          <w:rFonts w:hint="eastAsia" w:ascii="仿宋" w:hAnsi="仿宋" w:eastAsia="仿宋" w:cs="仿宋"/>
          <w:b/>
          <w:sz w:val="24"/>
          <w:szCs w:val="24"/>
        </w:rPr>
        <w:t>监控中心子系统</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监控中心子系统通过抽取被动监测子系统、主动监测子系统、宽带测速子系统、综合控制网管子系统等的数据，实现数据的接收、转换和加载，从地域、互联单位、业务等不同维度对数据进行汇聚分析和存储入库，提取业务功能应用，并提供图表、拓扑等多种表现形式的展示。</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（1）数据收集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投标人应实现对被动采集原始数据、主动采集原始数据、宽带测速数据、运行监测数据进行收集。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投标人应实现数据仓库，建立多维数据存储，并可从数据仓库中抽取相关数据并进行转储，形成高聚合数据，可提供满足上层应用需求。</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szCs w:val="21"/>
        </w:rPr>
        <w:t>▲</w:t>
      </w:r>
      <w:r>
        <w:rPr>
          <w:rFonts w:hint="eastAsia" w:ascii="仿宋" w:hAnsi="仿宋" w:eastAsia="仿宋" w:cs="仿宋"/>
          <w:b/>
          <w:sz w:val="24"/>
          <w:szCs w:val="24"/>
        </w:rPr>
        <w:t>数据分析</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投标人应实现被动采集数据多维二次分析，包括按时间，互联单位，地理位置，协议类型，应用类型等多种维度进行分析，并挖掘性能告警信息。</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投标人应实现主动采集数据多维二次分析，包括骨干网数据分析、城域网数据分析，且按时间，互联单位，地理位置汇总等，并挖掘性能告警信息。</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投标人应实现宽带测速数据多维二次分析，包括按时间，签约带宽、互联单位，地理位置汇总等，并挖掘性能告警信息。</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投标人应实现企业上报数据的多维分析。</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投标人应实现多个系统之间的多维联合分析。</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投标人应实现大数据分析，包括但不限于被动监测有流量流向分析、业务分析等。</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（3）</w:t>
      </w:r>
      <w:r>
        <w:rPr>
          <w:rFonts w:hint="eastAsia" w:ascii="仿宋" w:hAnsi="仿宋" w:eastAsia="仿宋" w:cs="仿宋"/>
          <w:szCs w:val="21"/>
        </w:rPr>
        <w:t>▲</w:t>
      </w:r>
      <w:r>
        <w:rPr>
          <w:rFonts w:hint="eastAsia" w:ascii="仿宋" w:hAnsi="仿宋" w:eastAsia="仿宋" w:cs="仿宋"/>
          <w:b/>
          <w:sz w:val="24"/>
          <w:szCs w:val="24"/>
        </w:rPr>
        <w:t>资源管理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投标人应实现实体资源数据维护管理功能，包括物理链路、设备等资源的增删改操作。</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投标人应实现逻辑资源数据维护管理功能，包括逻辑链路等资源的增删改操作。</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投标人应实现资源查询与统计功能。</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投标人应实现资源图形化展现功能，包括拓扑展现等。</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（4）运行监测</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投标人应实现互联单位网管资源数据的监测分析和展示能力。</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投标人应实现自身设备监测管理。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投标人应实现告警的呈现及告警自定义及过滤功能等</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（5）</w:t>
      </w:r>
      <w:r>
        <w:rPr>
          <w:rFonts w:hint="eastAsia" w:ascii="仿宋" w:hAnsi="仿宋" w:eastAsia="仿宋" w:cs="仿宋"/>
          <w:szCs w:val="21"/>
        </w:rPr>
        <w:t>★</w:t>
      </w:r>
      <w:r>
        <w:rPr>
          <w:rFonts w:hint="eastAsia" w:ascii="仿宋" w:hAnsi="仿宋" w:eastAsia="仿宋" w:cs="仿宋"/>
          <w:b/>
          <w:sz w:val="24"/>
          <w:szCs w:val="24"/>
        </w:rPr>
        <w:t>责任判定</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投标人应结合主动和被动监测手段，对网间通信障碍责任判定进行测试，提取相关原始流量证据，明确障碍责任方。</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投标人应依据《互联网骨干网网间通信质量监督管理办法》，断网间通信障碍，并予以告警。</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投标人应实现对障碍责任历史数据分析。</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（6）</w:t>
      </w:r>
      <w:r>
        <w:rPr>
          <w:rFonts w:hint="eastAsia" w:ascii="仿宋" w:hAnsi="仿宋" w:eastAsia="仿宋" w:cs="仿宋"/>
          <w:szCs w:val="21"/>
        </w:rPr>
        <w:t>▲</w:t>
      </w:r>
      <w:r>
        <w:rPr>
          <w:rFonts w:hint="eastAsia" w:ascii="仿宋" w:hAnsi="仿宋" w:eastAsia="仿宋" w:cs="仿宋"/>
          <w:b/>
          <w:sz w:val="24"/>
          <w:szCs w:val="24"/>
        </w:rPr>
        <w:t>任务下发</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投标人应实现对被动采集、主动采集进行监测任务自定义操作。</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投标人应实现对指定服务器进行任务下发操作。</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投标人应实现对任务维护操作。</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投标人应实现监测系统各服务器和机房时钟同步设备定期进行时间同步功能。</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（7）</w:t>
      </w:r>
      <w:r>
        <w:rPr>
          <w:rFonts w:hint="eastAsia" w:ascii="仿宋" w:hAnsi="仿宋" w:eastAsia="仿宋" w:cs="仿宋"/>
          <w:szCs w:val="21"/>
        </w:rPr>
        <w:t>▲</w:t>
      </w:r>
      <w:r>
        <w:rPr>
          <w:rFonts w:hint="eastAsia" w:ascii="仿宋" w:hAnsi="仿宋" w:eastAsia="仿宋" w:cs="仿宋"/>
          <w:b/>
          <w:sz w:val="24"/>
          <w:szCs w:val="24"/>
        </w:rPr>
        <w:t>系统管理</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投标人应实现用户权限管理功能。</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投标人应实现系统管理功能，包括历史数据管理，公告管理等。</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投标人应实现日志管理功能。</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（8）</w:t>
      </w:r>
      <w:r>
        <w:rPr>
          <w:rFonts w:hint="eastAsia" w:ascii="仿宋" w:hAnsi="仿宋" w:eastAsia="仿宋" w:cs="仿宋"/>
          <w:szCs w:val="21"/>
        </w:rPr>
        <w:t>▲</w:t>
      </w:r>
      <w:r>
        <w:rPr>
          <w:rFonts w:hint="eastAsia" w:ascii="仿宋" w:hAnsi="仿宋" w:eastAsia="仿宋" w:cs="仿宋"/>
          <w:b/>
          <w:sz w:val="24"/>
          <w:szCs w:val="24"/>
        </w:rPr>
        <w:t>统计报告</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投标人应实现报告查看，导出等功能，可分为综合查询、统计报表两部分。</w:t>
      </w:r>
    </w:p>
    <w:p>
      <w:pPr>
        <w:spacing w:beforeLines="0" w:afterLines="0" w:line="560" w:lineRule="exact"/>
        <w:ind w:firstLine="480" w:firstLineChars="200"/>
        <w:jc w:val="both"/>
        <w:rPr>
          <w:rFonts w:hint="eastAsia" w:ascii="仿宋" w:hAnsi="仿宋" w:eastAsia="仿宋" w:cs="仿宋"/>
          <w:color w:val="000000"/>
          <w:sz w:val="24"/>
          <w:szCs w:val="24"/>
        </w:rPr>
      </w:pPr>
      <w:r>
        <w:rPr>
          <w:rFonts w:hint="eastAsia" w:ascii="仿宋" w:hAnsi="仿宋" w:eastAsia="仿宋" w:cs="仿宋"/>
          <w:color w:val="000000"/>
          <w:sz w:val="24"/>
          <w:szCs w:val="24"/>
        </w:rPr>
        <w:t>综合查询包括网间流量流向查询、省间流量流向查询、省流量流向查询、业务流量查询、应用流量查询、异常用户TOP100、异常站点TOP100、特定信源查询、网间BGP查询、宽带测速查询等</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color w:val="000000"/>
          <w:sz w:val="24"/>
          <w:szCs w:val="24"/>
        </w:rPr>
        <w:t>统计报表内容可分为</w:t>
      </w:r>
      <w:r>
        <w:rPr>
          <w:rFonts w:hint="eastAsia" w:ascii="仿宋" w:hAnsi="仿宋" w:eastAsia="仿宋" w:cs="仿宋"/>
          <w:sz w:val="24"/>
          <w:szCs w:val="24"/>
        </w:rPr>
        <w:t>基础电信企业</w:t>
      </w:r>
      <w:r>
        <w:rPr>
          <w:rFonts w:hint="eastAsia" w:ascii="仿宋" w:hAnsi="仿宋" w:eastAsia="仿宋" w:cs="仿宋"/>
          <w:color w:val="000000"/>
          <w:sz w:val="24"/>
          <w:szCs w:val="24"/>
        </w:rPr>
        <w:t>流量分布、分省流量分布、省内流量分布、省—</w:t>
      </w:r>
      <w:r>
        <w:rPr>
          <w:rFonts w:hint="eastAsia" w:ascii="仿宋" w:hAnsi="仿宋" w:eastAsia="仿宋" w:cs="仿宋"/>
          <w:sz w:val="24"/>
          <w:szCs w:val="24"/>
        </w:rPr>
        <w:t>基础电信企业</w:t>
      </w:r>
      <w:r>
        <w:rPr>
          <w:rFonts w:hint="eastAsia" w:ascii="仿宋" w:hAnsi="仿宋" w:eastAsia="仿宋" w:cs="仿宋"/>
          <w:color w:val="000000"/>
          <w:sz w:val="24"/>
          <w:szCs w:val="24"/>
        </w:rPr>
        <w:t>流量分布、</w:t>
      </w:r>
      <w:r>
        <w:rPr>
          <w:rFonts w:hint="eastAsia" w:ascii="仿宋" w:hAnsi="仿宋" w:eastAsia="仿宋" w:cs="仿宋"/>
          <w:sz w:val="24"/>
          <w:szCs w:val="24"/>
        </w:rPr>
        <w:t>基础电信企业</w:t>
      </w:r>
      <w:r>
        <w:rPr>
          <w:rFonts w:hint="eastAsia" w:ascii="仿宋" w:hAnsi="仿宋" w:eastAsia="仿宋" w:cs="仿宋"/>
          <w:color w:val="000000"/>
          <w:sz w:val="24"/>
          <w:szCs w:val="24"/>
        </w:rPr>
        <w:t>—省流量分布、带宽利用率分析、业务占比分析、</w:t>
      </w:r>
      <w:r>
        <w:rPr>
          <w:rFonts w:hint="eastAsia" w:ascii="仿宋" w:hAnsi="仿宋" w:eastAsia="仿宋" w:cs="仿宋"/>
          <w:sz w:val="24"/>
          <w:szCs w:val="24"/>
        </w:rPr>
        <w:t>基础电信企业</w:t>
      </w:r>
      <w:r>
        <w:rPr>
          <w:rFonts w:hint="eastAsia" w:ascii="仿宋" w:hAnsi="仿宋" w:eastAsia="仿宋" w:cs="仿宋"/>
          <w:color w:val="000000"/>
          <w:sz w:val="24"/>
          <w:szCs w:val="24"/>
        </w:rPr>
        <w:t>业务占比分析、骨干直联质量报告、骨干直联故障报告、端到端网络监测报告、端到端业务监测报告、IPv6应用支持度报告、IPv6网络性能测试报告、宽带测速的省接入速率报告、省用户体验报告、宽带测速测试统计报告等。</w:t>
      </w:r>
    </w:p>
    <w:p>
      <w:pPr>
        <w:spacing w:beforeLines="0" w:afterLines="0" w:line="560" w:lineRule="exact"/>
        <w:ind w:firstLine="482" w:firstLineChars="200"/>
        <w:jc w:val="both"/>
        <w:rPr>
          <w:rFonts w:hint="eastAsia" w:ascii="仿宋" w:hAnsi="仿宋" w:eastAsia="仿宋" w:cs="仿宋"/>
          <w:b/>
          <w:sz w:val="24"/>
          <w:szCs w:val="24"/>
        </w:rPr>
      </w:pPr>
      <w:r>
        <w:rPr>
          <w:rFonts w:hint="eastAsia" w:ascii="仿宋" w:hAnsi="仿宋" w:eastAsia="仿宋" w:cs="仿宋"/>
          <w:b/>
          <w:sz w:val="24"/>
          <w:szCs w:val="24"/>
        </w:rPr>
        <w:t>（9）</w:t>
      </w:r>
      <w:r>
        <w:rPr>
          <w:rFonts w:hint="eastAsia" w:ascii="仿宋" w:hAnsi="仿宋" w:eastAsia="仿宋" w:cs="仿宋"/>
          <w:szCs w:val="21"/>
        </w:rPr>
        <w:t>▲</w:t>
      </w:r>
      <w:r>
        <w:rPr>
          <w:rFonts w:hint="eastAsia" w:ascii="仿宋" w:hAnsi="仿宋" w:eastAsia="仿宋" w:cs="仿宋"/>
          <w:b/>
          <w:sz w:val="24"/>
          <w:szCs w:val="24"/>
        </w:rPr>
        <w:t>多维展示</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投标人应支持多种类型的数据展示方式。</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投标人应支持基本的条形图、柱状图、线图、饼图等多种样式，同时支持组合和滚动图表，可以向下钻取。支持导出功能。</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投标人应支持拓扑展示，支持缩放，拖动等基本操作，，支持视图钻取功能，支持导出功能。</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实现以下界面的展示功能，包括但不限于骨干网主动监测展示、城域网端到端质量监测展示、不规则路由监测展示、信源架构监测展示、IPv6应用支持情况监测展示、工业互联网关键设备监测展示、国际互联网监测展示、视频访问监测展示、全国骨干网络性能监测展示、直联点开通前/后网络架构展示、直联点流量概览展示、互联链路流量性能监测展示、企业流量监测展示、各省流量监测展示、黑龙江省流量监测展示、业务流量监测展示、网民分布监测展示、专项监测展示、宽带测速监测展示、运行监测展示、通信障碍责任判定测试展示等。</w:t>
      </w:r>
    </w:p>
    <w:p>
      <w:pPr>
        <w:spacing w:beforeLines="0" w:afterLines="0" w:line="560" w:lineRule="exact"/>
        <w:ind w:firstLine="420"/>
        <w:jc w:val="both"/>
        <w:outlineLvl w:val="4"/>
        <w:rPr>
          <w:rFonts w:hint="eastAsia" w:ascii="仿宋" w:hAnsi="仿宋" w:eastAsia="仿宋" w:cs="仿宋"/>
          <w:b/>
          <w:sz w:val="24"/>
          <w:szCs w:val="24"/>
        </w:rPr>
      </w:pPr>
      <w:r>
        <w:rPr>
          <w:rFonts w:hint="eastAsia" w:ascii="仿宋" w:hAnsi="仿宋" w:eastAsia="仿宋" w:cs="仿宋"/>
          <w:b/>
          <w:sz w:val="24"/>
          <w:szCs w:val="24"/>
          <w:lang w:val="en-US"/>
        </w:rPr>
        <w:t>4</w:t>
      </w:r>
      <w:r>
        <w:rPr>
          <w:rFonts w:hint="eastAsia" w:ascii="仿宋" w:hAnsi="仿宋" w:eastAsia="仿宋" w:cs="仿宋"/>
          <w:b/>
          <w:sz w:val="24"/>
          <w:szCs w:val="24"/>
        </w:rPr>
        <w:t>.2.</w:t>
      </w:r>
      <w:r>
        <w:rPr>
          <w:rFonts w:hint="eastAsia" w:ascii="仿宋" w:hAnsi="仿宋" w:eastAsia="仿宋" w:cs="仿宋"/>
          <w:b/>
          <w:sz w:val="24"/>
          <w:szCs w:val="24"/>
          <w:lang w:val="en-US"/>
        </w:rPr>
        <w:t>6</w:t>
      </w:r>
      <w:r>
        <w:rPr>
          <w:rFonts w:hint="eastAsia" w:ascii="仿宋" w:hAnsi="仿宋" w:eastAsia="仿宋" w:cs="仿宋"/>
          <w:b/>
          <w:sz w:val="24"/>
          <w:szCs w:val="24"/>
        </w:rPr>
        <w:t>运行维护支撑子系统</w:t>
      </w:r>
    </w:p>
    <w:p>
      <w:pPr>
        <w:spacing w:beforeLines="0" w:afterLines="0" w:line="560" w:lineRule="exact"/>
        <w:ind w:firstLine="482" w:firstLineChars="200"/>
        <w:jc w:val="both"/>
        <w:rPr>
          <w:rFonts w:hint="eastAsia" w:ascii="仿宋" w:hAnsi="仿宋" w:eastAsia="仿宋" w:cs="仿宋"/>
          <w:b/>
          <w:sz w:val="24"/>
          <w:szCs w:val="24"/>
        </w:rPr>
      </w:pPr>
      <w:bookmarkStart w:id="7" w:name="_Toc44178622"/>
      <w:r>
        <w:rPr>
          <w:rFonts w:hint="eastAsia" w:ascii="仿宋" w:hAnsi="仿宋" w:eastAsia="仿宋" w:cs="仿宋"/>
          <w:b/>
          <w:sz w:val="24"/>
          <w:szCs w:val="24"/>
        </w:rPr>
        <w:t>（</w:t>
      </w:r>
      <w:r>
        <w:rPr>
          <w:rFonts w:hint="eastAsia" w:ascii="仿宋" w:hAnsi="仿宋" w:eastAsia="仿宋" w:cs="仿宋"/>
          <w:b/>
          <w:sz w:val="24"/>
          <w:szCs w:val="24"/>
          <w:lang w:val="en-US"/>
        </w:rPr>
        <w:t>1</w:t>
      </w:r>
      <w:r>
        <w:rPr>
          <w:rFonts w:hint="eastAsia" w:ascii="仿宋" w:hAnsi="仿宋" w:eastAsia="仿宋" w:cs="仿宋"/>
          <w:b/>
          <w:sz w:val="24"/>
          <w:szCs w:val="24"/>
        </w:rPr>
        <w:t>）运行管理建设</w:t>
      </w:r>
      <w:bookmarkEnd w:id="7"/>
      <w:r>
        <w:rPr>
          <w:rFonts w:hint="eastAsia" w:ascii="仿宋" w:hAnsi="仿宋" w:eastAsia="仿宋" w:cs="仿宋"/>
          <w:b/>
          <w:sz w:val="24"/>
          <w:szCs w:val="24"/>
        </w:rPr>
        <w:t>需求</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运行管理需考虑网络管理和权限管理两部分。</w:t>
      </w:r>
    </w:p>
    <w:p>
      <w:pPr>
        <w:numPr>
          <w:ilvl w:val="0"/>
          <w:numId w:val="23"/>
        </w:num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网络管理</w:t>
      </w:r>
      <w:r>
        <w:rPr>
          <w:rFonts w:hint="eastAsia" w:ascii="仿宋" w:hAnsi="仿宋" w:eastAsia="仿宋" w:cs="仿宋"/>
          <w:sz w:val="24"/>
          <w:szCs w:val="24"/>
        </w:rPr>
        <w:t>实现对业务系统运行状态的全面监测，包括业务系统运行异常的及时发现和告警，业务系统部分故障的准确定位及快速处置等功能；同时，完成基础资源的统一化管理，维护任务自动分配与流程跟踪，为管理人员的维护决策提供重要支撑。</w:t>
      </w:r>
      <w:r>
        <w:rPr>
          <w:rFonts w:hint="eastAsia" w:ascii="仿宋" w:hAnsi="仿宋" w:eastAsia="仿宋" w:cs="仿宋"/>
          <w:sz w:val="24"/>
          <w:szCs w:val="24"/>
          <w:lang w:val="en-US"/>
        </w:rPr>
        <w:t>网络管理</w:t>
      </w:r>
      <w:r>
        <w:rPr>
          <w:rFonts w:hint="eastAsia" w:ascii="仿宋" w:hAnsi="仿宋" w:eastAsia="仿宋" w:cs="仿宋"/>
          <w:sz w:val="24"/>
          <w:szCs w:val="24"/>
        </w:rPr>
        <w:t>应包含数据采集、监测分析、日常维护管理、资源管理和综合展现等功能。</w:t>
      </w:r>
    </w:p>
    <w:p>
      <w:pPr>
        <w:pStyle w:val="9"/>
        <w:numPr>
          <w:ilvl w:val="0"/>
          <w:numId w:val="24"/>
        </w:numPr>
        <w:spacing w:beforeLines="0" w:afterLines="0" w:line="560" w:lineRule="exact"/>
        <w:ind w:firstLine="480" w:firstLineChars="200"/>
        <w:jc w:val="both"/>
        <w:rPr>
          <w:rFonts w:hint="eastAsia" w:ascii="仿宋" w:hAnsi="仿宋" w:eastAsia="仿宋" w:cs="仿宋"/>
          <w:color w:val="000000"/>
          <w:sz w:val="24"/>
          <w:szCs w:val="18"/>
          <w:lang w:val="zh-CN"/>
        </w:rPr>
      </w:pPr>
      <w:r>
        <w:rPr>
          <w:rFonts w:hint="eastAsia" w:ascii="仿宋" w:hAnsi="仿宋" w:eastAsia="仿宋" w:cs="仿宋"/>
          <w:color w:val="000000"/>
          <w:sz w:val="24"/>
          <w:szCs w:val="18"/>
          <w:lang w:val="zh-CN"/>
        </w:rPr>
        <w:t>数据采集：通过在网管服务器中部署数据采集模块，获取系统中各类设备的运行状态的相关信息和数据；</w:t>
      </w:r>
    </w:p>
    <w:p>
      <w:pPr>
        <w:pStyle w:val="9"/>
        <w:numPr>
          <w:ilvl w:val="0"/>
          <w:numId w:val="24"/>
        </w:numPr>
        <w:spacing w:beforeLines="0" w:afterLines="0" w:line="560" w:lineRule="exact"/>
        <w:ind w:firstLine="480" w:firstLineChars="200"/>
        <w:jc w:val="both"/>
        <w:rPr>
          <w:rFonts w:hint="eastAsia" w:ascii="仿宋" w:hAnsi="仿宋" w:eastAsia="仿宋" w:cs="仿宋"/>
          <w:color w:val="000000"/>
          <w:sz w:val="24"/>
          <w:szCs w:val="18"/>
          <w:lang w:val="zh-CN"/>
        </w:rPr>
      </w:pPr>
      <w:r>
        <w:rPr>
          <w:rFonts w:hint="eastAsia" w:ascii="仿宋" w:hAnsi="仿宋" w:eastAsia="仿宋" w:cs="仿宋"/>
          <w:color w:val="000000"/>
          <w:sz w:val="24"/>
          <w:szCs w:val="18"/>
          <w:lang w:val="zh-CN"/>
        </w:rPr>
        <w:t>监测分析：对运行设备的运行状态数据进行分析，并通过与日常维护管理数据、配置数据等的关联分析，对异常情况发出告警提示；</w:t>
      </w:r>
    </w:p>
    <w:p>
      <w:pPr>
        <w:pStyle w:val="9"/>
        <w:numPr>
          <w:ilvl w:val="0"/>
          <w:numId w:val="24"/>
        </w:numPr>
        <w:spacing w:beforeLines="0" w:afterLines="0" w:line="560" w:lineRule="exact"/>
        <w:ind w:firstLine="480" w:firstLineChars="200"/>
        <w:jc w:val="both"/>
        <w:rPr>
          <w:rFonts w:hint="eastAsia" w:ascii="仿宋" w:hAnsi="仿宋" w:eastAsia="仿宋" w:cs="仿宋"/>
          <w:color w:val="000000"/>
          <w:sz w:val="24"/>
          <w:szCs w:val="18"/>
          <w:lang w:val="zh-CN"/>
        </w:rPr>
      </w:pPr>
      <w:r>
        <w:rPr>
          <w:rFonts w:hint="eastAsia" w:ascii="仿宋" w:hAnsi="仿宋" w:eastAsia="仿宋" w:cs="仿宋"/>
          <w:color w:val="000000"/>
          <w:sz w:val="24"/>
          <w:szCs w:val="18"/>
          <w:lang w:val="zh-CN"/>
        </w:rPr>
        <w:t>日常维护管理：实现维护任务分配、跟踪及评价等一体的运维管理体系，并通过知识库积累运维经验，为维护人员开展日常值班、系统监测、故障处理和优化分析等工作提供支撑。</w:t>
      </w:r>
    </w:p>
    <w:p>
      <w:pPr>
        <w:pStyle w:val="9"/>
        <w:numPr>
          <w:ilvl w:val="0"/>
          <w:numId w:val="24"/>
        </w:numPr>
        <w:spacing w:beforeLines="0" w:afterLines="0" w:line="560" w:lineRule="exact"/>
        <w:ind w:firstLine="480" w:firstLineChars="200"/>
        <w:jc w:val="both"/>
        <w:rPr>
          <w:rFonts w:hint="eastAsia" w:ascii="仿宋" w:hAnsi="仿宋" w:eastAsia="仿宋" w:cs="仿宋"/>
          <w:color w:val="000000"/>
          <w:sz w:val="24"/>
          <w:szCs w:val="18"/>
          <w:lang w:val="zh-CN"/>
        </w:rPr>
      </w:pPr>
      <w:r>
        <w:rPr>
          <w:rFonts w:hint="eastAsia" w:ascii="仿宋" w:hAnsi="仿宋" w:eastAsia="仿宋" w:cs="仿宋"/>
          <w:color w:val="000000"/>
          <w:sz w:val="24"/>
          <w:szCs w:val="18"/>
          <w:lang w:val="zh-CN"/>
        </w:rPr>
        <w:t>资源管理：实现对系统、设备、机房（含库房）、线路等基础数据的全面管理；</w:t>
      </w:r>
    </w:p>
    <w:p>
      <w:pPr>
        <w:numPr>
          <w:ilvl w:val="0"/>
          <w:numId w:val="23"/>
        </w:numPr>
        <w:spacing w:beforeLines="0" w:afterLines="0" w:line="560" w:lineRule="exact"/>
        <w:ind w:firstLine="480" w:firstLineChars="200"/>
        <w:jc w:val="both"/>
        <w:rPr>
          <w:rFonts w:hint="eastAsia" w:ascii="仿宋" w:hAnsi="仿宋" w:eastAsia="仿宋" w:cs="仿宋"/>
          <w:color w:val="000000"/>
          <w:lang w:val="en-US"/>
        </w:rPr>
      </w:pPr>
      <w:r>
        <w:rPr>
          <w:rFonts w:hint="eastAsia" w:ascii="仿宋" w:hAnsi="仿宋" w:eastAsia="仿宋" w:cs="仿宋"/>
          <w:sz w:val="24"/>
          <w:szCs w:val="24"/>
        </w:rPr>
        <w:t>权限管理应为本系统提供安全、统一、高效的业务用户管理、资源管理和设备管理的认证、授权和审计功能，从权限管理策略、角色权限管理、账号管理、用户组分权分域管理等方面进行建设，实现对系统资源的访问控制，以及对业务用户、角色和用户组的有效管理。权限管理应包含权限策略管理、角色权限管理、帐号管理、分权分域管理等功能。</w:t>
      </w:r>
    </w:p>
    <w:p>
      <w:pPr>
        <w:pStyle w:val="9"/>
        <w:numPr>
          <w:ilvl w:val="0"/>
          <w:numId w:val="25"/>
        </w:numPr>
        <w:spacing w:beforeLines="0" w:afterLines="0" w:line="560" w:lineRule="exact"/>
        <w:jc w:val="both"/>
        <w:rPr>
          <w:rFonts w:hint="eastAsia" w:ascii="仿宋" w:hAnsi="仿宋" w:eastAsia="仿宋" w:cs="仿宋"/>
          <w:color w:val="000000"/>
          <w:sz w:val="24"/>
          <w:szCs w:val="18"/>
        </w:rPr>
      </w:pPr>
      <w:r>
        <w:rPr>
          <w:rFonts w:hint="eastAsia" w:ascii="仿宋" w:hAnsi="仿宋" w:eastAsia="仿宋" w:cs="仿宋"/>
          <w:color w:val="000000"/>
          <w:sz w:val="24"/>
          <w:szCs w:val="18"/>
          <w:lang w:val="zh-CN"/>
        </w:rPr>
        <w:t>权限策略管理：登录权限策略管理，提供设置非法登录系统的次数及锁定时间，提供设置系统管理用户的账号有效期，提供设置登录超时退出时间等。提供系统管理用户密码重置的功能。系统管理用户密码设置策略，提供限制系统管理用户设置的密码长度、密码组成等。支持系统管理用户登录的IP管理策略，将登录的系统管理用户与IP地址绑定，保证用户访问的安全。</w:t>
      </w:r>
    </w:p>
    <w:p>
      <w:pPr>
        <w:pStyle w:val="9"/>
        <w:numPr>
          <w:ilvl w:val="0"/>
          <w:numId w:val="25"/>
        </w:numPr>
        <w:spacing w:beforeLines="0" w:afterLines="0" w:line="560" w:lineRule="exact"/>
        <w:ind w:firstLine="480" w:firstLineChars="200"/>
        <w:jc w:val="both"/>
        <w:rPr>
          <w:rFonts w:hint="eastAsia" w:ascii="仿宋" w:hAnsi="仿宋" w:eastAsia="仿宋" w:cs="仿宋"/>
          <w:color w:val="000000"/>
          <w:sz w:val="24"/>
          <w:szCs w:val="18"/>
        </w:rPr>
      </w:pPr>
      <w:r>
        <w:rPr>
          <w:rFonts w:hint="eastAsia" w:ascii="仿宋" w:hAnsi="仿宋" w:eastAsia="仿宋" w:cs="仿宋"/>
          <w:color w:val="000000"/>
          <w:sz w:val="24"/>
          <w:szCs w:val="18"/>
        </w:rPr>
        <w:t>角色权限管理：不同角色用户可以登录的客户端IP地址范围不同，可以进行的操作不同，可以管理的资源不同。角色权限管理可以动态地创建、删除和修改角色，形成新的权限集合，以便分配给业务用户，达到控制业务用户权限的目的。</w:t>
      </w:r>
    </w:p>
    <w:p>
      <w:pPr>
        <w:pStyle w:val="9"/>
        <w:numPr>
          <w:ilvl w:val="0"/>
          <w:numId w:val="25"/>
        </w:numPr>
        <w:spacing w:beforeLines="0" w:afterLines="0" w:line="560" w:lineRule="exact"/>
        <w:ind w:firstLine="480" w:firstLineChars="200"/>
        <w:jc w:val="both"/>
        <w:rPr>
          <w:rFonts w:hint="eastAsia" w:ascii="仿宋" w:hAnsi="仿宋" w:eastAsia="仿宋" w:cs="仿宋"/>
          <w:color w:val="000000"/>
          <w:sz w:val="24"/>
          <w:szCs w:val="18"/>
        </w:rPr>
      </w:pPr>
      <w:r>
        <w:rPr>
          <w:rFonts w:hint="eastAsia" w:ascii="仿宋" w:hAnsi="仿宋" w:eastAsia="仿宋" w:cs="仿宋"/>
          <w:color w:val="000000"/>
          <w:sz w:val="24"/>
          <w:szCs w:val="18"/>
        </w:rPr>
        <w:t>能够进行管理维护，包括增加、删除、修改、查询用户信息。用户帐号信息包括但不限于：用户账号、用户密码、密码有效期、用户所属角色、附加说明等。系统管理员可以根据需要对用户进行分组，并为不同的用户或用户组分配角色。一个用户或用户组可以拥有多个角色。</w:t>
      </w:r>
    </w:p>
    <w:p>
      <w:pPr>
        <w:pStyle w:val="9"/>
        <w:numPr>
          <w:ilvl w:val="0"/>
          <w:numId w:val="25"/>
        </w:numPr>
        <w:spacing w:beforeLines="0" w:afterLines="0" w:line="560" w:lineRule="exact"/>
        <w:ind w:firstLine="480" w:firstLineChars="200"/>
        <w:jc w:val="both"/>
        <w:rPr>
          <w:rFonts w:hint="eastAsia" w:ascii="仿宋" w:hAnsi="仿宋" w:eastAsia="仿宋" w:cs="仿宋"/>
          <w:color w:val="000000"/>
          <w:sz w:val="24"/>
          <w:szCs w:val="18"/>
          <w:lang w:val="zh-CN"/>
        </w:rPr>
      </w:pPr>
      <w:r>
        <w:rPr>
          <w:rFonts w:hint="eastAsia" w:ascii="仿宋" w:hAnsi="仿宋" w:eastAsia="仿宋" w:cs="仿宋"/>
          <w:color w:val="000000"/>
          <w:sz w:val="24"/>
          <w:szCs w:val="18"/>
          <w:lang w:val="zh-CN"/>
        </w:rPr>
        <w:t>分权分域管理：将角色权限管理和设备的分组管理形成二维的组合管理，这些资源与操作权限的组合，形成二维的分权分域模型，形成新的权限集合，以便分配给系统管理用户，达到控制系统管理用户权限的目的。</w:t>
      </w:r>
    </w:p>
    <w:p>
      <w:pPr>
        <w:numPr>
          <w:numId w:val="0"/>
        </w:numPr>
        <w:spacing w:beforeLines="0" w:afterLines="0" w:line="560" w:lineRule="exact"/>
        <w:ind w:left="660"/>
        <w:jc w:val="both"/>
        <w:rPr>
          <w:rFonts w:hint="eastAsia" w:ascii="仿宋" w:hAnsi="仿宋" w:eastAsia="仿宋" w:cs="仿宋"/>
          <w:b/>
          <w:bCs/>
          <w:sz w:val="24"/>
          <w:szCs w:val="24"/>
          <w:lang w:val="en-US"/>
        </w:rPr>
      </w:pPr>
      <w:r>
        <w:rPr>
          <w:rFonts w:hint="eastAsia" w:ascii="仿宋" w:hAnsi="仿宋" w:eastAsia="仿宋" w:cs="仿宋"/>
          <w:b/>
          <w:bCs/>
          <w:sz w:val="24"/>
          <w:szCs w:val="24"/>
          <w:lang w:val="en-US"/>
        </w:rPr>
        <w:t>（2）</w:t>
      </w:r>
      <w:r>
        <w:rPr>
          <w:rFonts w:hint="eastAsia" w:ascii="仿宋" w:hAnsi="仿宋" w:eastAsia="仿宋" w:cs="仿宋"/>
          <w:sz w:val="24"/>
          <w:szCs w:val="24"/>
          <w:lang w:val="en-US"/>
        </w:rPr>
        <w:t>★</w:t>
      </w:r>
      <w:r>
        <w:rPr>
          <w:rFonts w:hint="eastAsia" w:ascii="仿宋" w:hAnsi="仿宋" w:eastAsia="仿宋" w:cs="仿宋"/>
          <w:b/>
          <w:bCs/>
          <w:sz w:val="24"/>
          <w:szCs w:val="24"/>
          <w:lang w:val="en-US"/>
        </w:rPr>
        <w:t>时钟同步</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部署时钟同步设备，使各设备的时间与时钟同步设备的时间误差控制在足够小的精度范围内。选用GPS/北斗双模时钟同步设备，作为全网的时钟源。</w:t>
      </w:r>
    </w:p>
    <w:p>
      <w:pPr>
        <w:spacing w:beforeLines="0" w:afterLines="0" w:line="560" w:lineRule="exact"/>
        <w:ind w:firstLine="420"/>
        <w:jc w:val="both"/>
        <w:outlineLvl w:val="4"/>
        <w:rPr>
          <w:rFonts w:hint="eastAsia" w:ascii="仿宋" w:hAnsi="仿宋" w:eastAsia="仿宋" w:cs="仿宋"/>
          <w:b/>
          <w:sz w:val="24"/>
          <w:szCs w:val="24"/>
          <w:lang w:val="en-US"/>
        </w:rPr>
      </w:pPr>
      <w:r>
        <w:rPr>
          <w:rFonts w:hint="eastAsia" w:ascii="仿宋" w:hAnsi="仿宋" w:eastAsia="仿宋" w:cs="仿宋"/>
          <w:b/>
          <w:sz w:val="24"/>
          <w:szCs w:val="24"/>
          <w:lang w:val="en-US"/>
        </w:rPr>
        <w:t>4</w:t>
      </w:r>
      <w:r>
        <w:rPr>
          <w:rFonts w:hint="eastAsia" w:ascii="仿宋" w:hAnsi="仿宋" w:eastAsia="仿宋" w:cs="仿宋"/>
          <w:b/>
          <w:sz w:val="24"/>
          <w:szCs w:val="24"/>
        </w:rPr>
        <w:t>.2.</w:t>
      </w:r>
      <w:r>
        <w:rPr>
          <w:rFonts w:hint="eastAsia" w:ascii="仿宋" w:hAnsi="仿宋" w:eastAsia="仿宋" w:cs="仿宋"/>
          <w:b/>
          <w:sz w:val="24"/>
          <w:szCs w:val="24"/>
          <w:lang w:val="en-US"/>
        </w:rPr>
        <w:t>7系统软件</w:t>
      </w:r>
    </w:p>
    <w:p>
      <w:pPr>
        <w:pStyle w:val="9"/>
        <w:numPr>
          <w:ilvl w:val="0"/>
          <w:numId w:val="26"/>
        </w:numPr>
        <w:spacing w:beforeLines="0" w:afterLines="0" w:line="560" w:lineRule="exact"/>
        <w:ind w:left="426" w:firstLine="61" w:firstLineChars="22"/>
        <w:jc w:val="both"/>
        <w:rPr>
          <w:rFonts w:hint="eastAsia" w:ascii="仿宋" w:hAnsi="仿宋" w:eastAsia="仿宋" w:cs="仿宋"/>
          <w:szCs w:val="21"/>
        </w:rPr>
      </w:pPr>
      <w:r>
        <w:rPr>
          <w:rFonts w:hint="eastAsia" w:ascii="仿宋" w:hAnsi="仿宋" w:eastAsia="仿宋" w:cs="仿宋"/>
          <w:szCs w:val="21"/>
        </w:rPr>
        <w:t>商用数据库软件</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符合GB/T30994-2014《关系型数据库管理系统检测规范》、GB/T28821-2012《关系型数据库管理系统技术要求》和基本通用产品集群版数据库管理系统测试规范的要求，具备数据存储、访问控制、身份鉴别、安全审计和数据备份恢复等功能。数据库管理员通过图形化管理工具或命令行可实现对数据对象（表、视图、约束、索引、触发器、存储过程等）的配置管理，可通过标准化数据库访问接口，开发基于数据库的应用系统和软件产品。</w:t>
      </w:r>
    </w:p>
    <w:p>
      <w:pPr>
        <w:pStyle w:val="9"/>
        <w:numPr>
          <w:ilvl w:val="0"/>
          <w:numId w:val="26"/>
        </w:numPr>
        <w:spacing w:beforeLines="0" w:afterLines="0" w:line="560" w:lineRule="exact"/>
        <w:ind w:left="426" w:firstLine="61" w:firstLineChars="22"/>
        <w:jc w:val="both"/>
        <w:rPr>
          <w:rFonts w:hint="eastAsia" w:ascii="仿宋" w:hAnsi="仿宋" w:eastAsia="仿宋" w:cs="仿宋"/>
          <w:szCs w:val="21"/>
        </w:rPr>
      </w:pPr>
      <w:r>
        <w:rPr>
          <w:rFonts w:hint="eastAsia" w:ascii="仿宋" w:hAnsi="仿宋" w:eastAsia="仿宋" w:cs="仿宋"/>
          <w:szCs w:val="21"/>
        </w:rPr>
        <w:t>防病毒软件</w:t>
      </w:r>
    </w:p>
    <w:p>
      <w:pPr>
        <w:spacing w:beforeLines="0" w:afterLines="0" w:line="560" w:lineRule="exact"/>
        <w:ind w:firstLine="480" w:firstLineChars="200"/>
        <w:jc w:val="both"/>
        <w:rPr>
          <w:rFonts w:hint="eastAsia" w:ascii="仿宋" w:hAnsi="仿宋" w:eastAsia="仿宋" w:cs="仿宋"/>
          <w:lang w:val="en-US"/>
        </w:rPr>
      </w:pPr>
      <w:r>
        <w:rPr>
          <w:rFonts w:hint="eastAsia" w:ascii="仿宋" w:hAnsi="仿宋" w:eastAsia="仿宋" w:cs="仿宋"/>
          <w:sz w:val="24"/>
          <w:szCs w:val="24"/>
        </w:rPr>
        <w:t>提供防病毒策略管理、下发以及病毒告警分析、报表等功能</w:t>
      </w:r>
      <w:r>
        <w:rPr>
          <w:rFonts w:hint="eastAsia" w:ascii="仿宋" w:hAnsi="仿宋" w:eastAsia="仿宋" w:cs="仿宋"/>
          <w:sz w:val="24"/>
          <w:szCs w:val="24"/>
          <w:lang w:val="en-US"/>
        </w:rPr>
        <w:t>，</w:t>
      </w:r>
      <w:r>
        <w:rPr>
          <w:rFonts w:hint="eastAsia" w:ascii="仿宋" w:hAnsi="仿宋" w:eastAsia="仿宋" w:cs="仿宋"/>
          <w:sz w:val="24"/>
          <w:szCs w:val="24"/>
        </w:rPr>
        <w:t>可管理</w:t>
      </w:r>
      <w:r>
        <w:rPr>
          <w:rFonts w:hint="eastAsia" w:ascii="仿宋" w:hAnsi="仿宋" w:eastAsia="仿宋" w:cs="仿宋"/>
          <w:sz w:val="24"/>
          <w:szCs w:val="24"/>
          <w:lang w:val="en-US"/>
        </w:rPr>
        <w:t>本项目相关的win</w:t>
      </w:r>
      <w:r>
        <w:rPr>
          <w:rFonts w:hint="eastAsia" w:ascii="仿宋" w:hAnsi="仿宋" w:eastAsia="仿宋" w:cs="仿宋"/>
          <w:sz w:val="24"/>
          <w:szCs w:val="24"/>
        </w:rPr>
        <w:t>系列客户端、</w:t>
      </w:r>
      <w:r>
        <w:rPr>
          <w:rFonts w:hint="eastAsia" w:ascii="仿宋" w:hAnsi="仿宋" w:eastAsia="仿宋" w:cs="仿宋"/>
          <w:sz w:val="24"/>
          <w:szCs w:val="24"/>
          <w:lang w:val="en-US"/>
        </w:rPr>
        <w:t>Linux</w:t>
      </w:r>
      <w:r>
        <w:rPr>
          <w:rFonts w:hint="eastAsia" w:ascii="仿宋" w:hAnsi="仿宋" w:eastAsia="仿宋" w:cs="仿宋"/>
          <w:sz w:val="24"/>
          <w:szCs w:val="24"/>
        </w:rPr>
        <w:t>系列客户端、麒麟系列客户端</w:t>
      </w:r>
      <w:r>
        <w:rPr>
          <w:rFonts w:hint="eastAsia" w:ascii="仿宋" w:hAnsi="仿宋" w:eastAsia="仿宋" w:cs="仿宋"/>
          <w:sz w:val="24"/>
          <w:szCs w:val="24"/>
          <w:lang w:val="en-US"/>
        </w:rPr>
        <w:t>，</w:t>
      </w:r>
      <w:r>
        <w:rPr>
          <w:rFonts w:hint="eastAsia" w:ascii="仿宋" w:hAnsi="仿宋" w:eastAsia="仿宋" w:cs="仿宋"/>
          <w:sz w:val="24"/>
          <w:szCs w:val="24"/>
        </w:rPr>
        <w:t>可安装在</w:t>
      </w:r>
      <w:r>
        <w:rPr>
          <w:rFonts w:hint="eastAsia" w:ascii="仿宋" w:hAnsi="仿宋" w:eastAsia="仿宋" w:cs="仿宋"/>
          <w:sz w:val="24"/>
          <w:szCs w:val="24"/>
          <w:lang w:val="en-US"/>
        </w:rPr>
        <w:t>Windows</w:t>
      </w:r>
      <w:r>
        <w:rPr>
          <w:rFonts w:hint="eastAsia" w:ascii="仿宋" w:hAnsi="仿宋" w:eastAsia="仿宋" w:cs="仿宋"/>
          <w:sz w:val="24"/>
          <w:szCs w:val="24"/>
        </w:rPr>
        <w:t>全平台操作系统</w:t>
      </w:r>
      <w:r>
        <w:rPr>
          <w:rFonts w:hint="eastAsia" w:ascii="仿宋" w:hAnsi="仿宋" w:eastAsia="仿宋" w:cs="仿宋"/>
          <w:sz w:val="24"/>
          <w:szCs w:val="24"/>
          <w:lang w:val="en-US"/>
        </w:rPr>
        <w:t>，</w:t>
      </w:r>
      <w:r>
        <w:rPr>
          <w:rFonts w:hint="eastAsia" w:ascii="仿宋" w:hAnsi="仿宋" w:eastAsia="仿宋" w:cs="仿宋"/>
          <w:sz w:val="24"/>
          <w:szCs w:val="24"/>
        </w:rPr>
        <w:t>支持</w:t>
      </w:r>
      <w:r>
        <w:rPr>
          <w:rFonts w:hint="eastAsia" w:ascii="仿宋" w:hAnsi="仿宋" w:eastAsia="仿宋" w:cs="仿宋"/>
          <w:sz w:val="24"/>
          <w:szCs w:val="24"/>
          <w:lang w:val="en-US"/>
        </w:rPr>
        <w:t>Linux</w:t>
      </w:r>
      <w:r>
        <w:rPr>
          <w:rFonts w:hint="eastAsia" w:ascii="仿宋" w:hAnsi="仿宋" w:eastAsia="仿宋" w:cs="仿宋"/>
          <w:sz w:val="24"/>
          <w:szCs w:val="24"/>
        </w:rPr>
        <w:t>环境</w:t>
      </w:r>
      <w:r>
        <w:rPr>
          <w:rFonts w:hint="eastAsia" w:ascii="仿宋" w:hAnsi="仿宋" w:eastAsia="仿宋" w:cs="仿宋"/>
          <w:sz w:val="24"/>
          <w:szCs w:val="24"/>
          <w:lang w:val="en-US"/>
        </w:rPr>
        <w:t>（CentOS 6.5 64</w:t>
      </w:r>
      <w:r>
        <w:rPr>
          <w:rFonts w:hint="eastAsia" w:ascii="仿宋" w:hAnsi="仿宋" w:eastAsia="仿宋" w:cs="仿宋"/>
          <w:sz w:val="24"/>
          <w:szCs w:val="24"/>
        </w:rPr>
        <w:t>位以上、</w:t>
      </w:r>
      <w:r>
        <w:rPr>
          <w:rFonts w:hint="eastAsia" w:ascii="仿宋" w:hAnsi="仿宋" w:eastAsia="仿宋" w:cs="仿宋"/>
          <w:sz w:val="24"/>
          <w:szCs w:val="24"/>
          <w:lang w:val="en-US"/>
        </w:rPr>
        <w:t>Redhat 6.7 64</w:t>
      </w:r>
      <w:r>
        <w:rPr>
          <w:rFonts w:hint="eastAsia" w:ascii="仿宋" w:hAnsi="仿宋" w:eastAsia="仿宋" w:cs="仿宋"/>
          <w:sz w:val="24"/>
          <w:szCs w:val="24"/>
        </w:rPr>
        <w:t>位以上、</w:t>
      </w:r>
      <w:r>
        <w:rPr>
          <w:rFonts w:hint="eastAsia" w:ascii="仿宋" w:hAnsi="仿宋" w:eastAsia="仿宋" w:cs="仿宋"/>
          <w:sz w:val="24"/>
          <w:szCs w:val="24"/>
          <w:lang w:val="en-US"/>
        </w:rPr>
        <w:t xml:space="preserve"> SUSE 13.2 64</w:t>
      </w:r>
      <w:r>
        <w:rPr>
          <w:rFonts w:hint="eastAsia" w:ascii="仿宋" w:hAnsi="仿宋" w:eastAsia="仿宋" w:cs="仿宋"/>
          <w:sz w:val="24"/>
          <w:szCs w:val="24"/>
        </w:rPr>
        <w:t>位以上、</w:t>
      </w:r>
      <w:r>
        <w:rPr>
          <w:rFonts w:hint="eastAsia" w:ascii="仿宋" w:hAnsi="仿宋" w:eastAsia="仿宋" w:cs="仿宋"/>
          <w:sz w:val="24"/>
          <w:szCs w:val="24"/>
          <w:lang w:val="en-US"/>
        </w:rPr>
        <w:t>ubuntu 14.04.4 64</w:t>
      </w:r>
      <w:r>
        <w:rPr>
          <w:rFonts w:hint="eastAsia" w:ascii="仿宋" w:hAnsi="仿宋" w:eastAsia="仿宋" w:cs="仿宋"/>
          <w:sz w:val="24"/>
          <w:szCs w:val="24"/>
        </w:rPr>
        <w:t>位以上、</w:t>
      </w:r>
      <w:r>
        <w:rPr>
          <w:rFonts w:hint="eastAsia" w:ascii="仿宋" w:hAnsi="仿宋" w:eastAsia="仿宋" w:cs="仿宋"/>
          <w:sz w:val="24"/>
          <w:szCs w:val="24"/>
          <w:lang w:val="en-US"/>
        </w:rPr>
        <w:t>Fedora release-23 64</w:t>
      </w:r>
      <w:r>
        <w:rPr>
          <w:rFonts w:hint="eastAsia" w:ascii="仿宋" w:hAnsi="仿宋" w:eastAsia="仿宋" w:cs="仿宋"/>
          <w:sz w:val="24"/>
          <w:szCs w:val="24"/>
        </w:rPr>
        <w:t>位以上</w:t>
      </w:r>
      <w:r>
        <w:rPr>
          <w:rFonts w:hint="eastAsia" w:ascii="仿宋" w:hAnsi="仿宋" w:eastAsia="仿宋" w:cs="仿宋"/>
          <w:sz w:val="24"/>
          <w:szCs w:val="24"/>
          <w:lang w:val="en-US"/>
        </w:rPr>
        <w:t>），</w:t>
      </w:r>
      <w:r>
        <w:rPr>
          <w:rFonts w:hint="eastAsia" w:ascii="仿宋" w:hAnsi="仿宋" w:eastAsia="仿宋" w:cs="仿宋"/>
          <w:sz w:val="24"/>
          <w:szCs w:val="24"/>
        </w:rPr>
        <w:t>含</w:t>
      </w:r>
      <w:r>
        <w:rPr>
          <w:rFonts w:hint="eastAsia" w:ascii="仿宋" w:hAnsi="仿宋" w:eastAsia="仿宋" w:cs="仿宋"/>
          <w:sz w:val="24"/>
          <w:szCs w:val="24"/>
          <w:lang w:val="en-US"/>
        </w:rPr>
        <w:t>3</w:t>
      </w:r>
      <w:r>
        <w:rPr>
          <w:rFonts w:hint="eastAsia" w:ascii="仿宋" w:hAnsi="仿宋" w:eastAsia="仿宋" w:cs="仿宋"/>
          <w:sz w:val="24"/>
          <w:szCs w:val="24"/>
        </w:rPr>
        <w:t>年终端升级维护服务。</w:t>
      </w:r>
    </w:p>
    <w:p>
      <w:pPr>
        <w:spacing w:beforeLines="0" w:afterLines="0" w:line="560" w:lineRule="exact"/>
        <w:ind w:firstLine="420"/>
        <w:jc w:val="both"/>
        <w:outlineLvl w:val="2"/>
        <w:rPr>
          <w:rFonts w:hint="eastAsia" w:ascii="仿宋" w:hAnsi="仿宋" w:eastAsia="仿宋" w:cs="仿宋"/>
          <w:b/>
          <w:sz w:val="24"/>
          <w:szCs w:val="24"/>
          <w:lang w:val="en-US"/>
        </w:rPr>
      </w:pPr>
      <w:r>
        <w:rPr>
          <w:rFonts w:hint="eastAsia" w:ascii="仿宋" w:hAnsi="仿宋" w:eastAsia="仿宋" w:cs="仿宋"/>
          <w:b/>
          <w:sz w:val="24"/>
          <w:szCs w:val="24"/>
          <w:lang w:val="en-US"/>
        </w:rPr>
        <w:t>5、硬件采购要求</w:t>
      </w:r>
    </w:p>
    <w:p>
      <w:pPr>
        <w:spacing w:beforeLines="0" w:afterLines="0" w:line="560" w:lineRule="exact"/>
        <w:ind w:firstLine="420"/>
        <w:jc w:val="both"/>
        <w:outlineLvl w:val="3"/>
        <w:rPr>
          <w:rFonts w:hint="eastAsia" w:ascii="仿宋" w:hAnsi="仿宋" w:eastAsia="仿宋" w:cs="仿宋"/>
          <w:b/>
          <w:sz w:val="24"/>
          <w:szCs w:val="24"/>
          <w:lang w:val="en-US"/>
        </w:rPr>
      </w:pPr>
      <w:r>
        <w:rPr>
          <w:rFonts w:hint="eastAsia" w:ascii="仿宋" w:hAnsi="仿宋" w:eastAsia="仿宋" w:cs="仿宋"/>
          <w:b/>
          <w:sz w:val="24"/>
          <w:szCs w:val="24"/>
          <w:lang w:val="en-US"/>
        </w:rPr>
        <w:t>5.1硬件设备的一般技术要求</w:t>
      </w:r>
    </w:p>
    <w:p>
      <w:pPr>
        <w:spacing w:beforeLines="0" w:afterLines="0" w:line="560" w:lineRule="exact"/>
        <w:ind w:firstLine="480" w:firstLineChars="200"/>
        <w:jc w:val="both"/>
        <w:rPr>
          <w:rFonts w:hint="eastAsia" w:ascii="仿宋" w:hAnsi="仿宋" w:eastAsia="仿宋" w:cs="仿宋"/>
          <w:sz w:val="24"/>
          <w:szCs w:val="24"/>
          <w:lang w:val="en-US"/>
        </w:rPr>
      </w:pPr>
      <w:r>
        <w:rPr>
          <w:rFonts w:hint="eastAsia" w:ascii="仿宋" w:hAnsi="仿宋" w:eastAsia="仿宋" w:cs="仿宋"/>
          <w:sz w:val="24"/>
          <w:szCs w:val="24"/>
          <w:lang w:val="en-US"/>
        </w:rPr>
        <w:t>本项目需向投标方采购设备的一般性技术要求如下：</w:t>
      </w:r>
    </w:p>
    <w:p>
      <w:pPr>
        <w:spacing w:beforeLines="0" w:afterLines="0" w:line="560" w:lineRule="exact"/>
        <w:ind w:firstLine="480" w:firstLineChars="200"/>
        <w:jc w:val="both"/>
        <w:rPr>
          <w:rFonts w:hint="eastAsia" w:ascii="仿宋" w:hAnsi="仿宋" w:eastAsia="仿宋" w:cs="仿宋"/>
          <w:sz w:val="24"/>
          <w:szCs w:val="24"/>
          <w:lang w:val="en-US"/>
        </w:rPr>
      </w:pPr>
      <w:r>
        <w:rPr>
          <w:rFonts w:hint="eastAsia" w:ascii="仿宋" w:hAnsi="仿宋" w:eastAsia="仿宋" w:cs="仿宋"/>
          <w:sz w:val="24"/>
          <w:szCs w:val="24"/>
          <w:lang w:val="en-US"/>
        </w:rPr>
        <w:t>(1) 所有设备必须是最新开发的产品并有过应用且性能稳定，并保证所提供产品的数量、质量，特别是接口的兼容性。</w:t>
      </w:r>
    </w:p>
    <w:p>
      <w:pPr>
        <w:spacing w:beforeLines="0" w:afterLines="0" w:line="560" w:lineRule="exact"/>
        <w:ind w:firstLine="480" w:firstLineChars="200"/>
        <w:jc w:val="both"/>
        <w:rPr>
          <w:rFonts w:hint="eastAsia" w:ascii="仿宋" w:hAnsi="仿宋" w:eastAsia="仿宋" w:cs="仿宋"/>
          <w:sz w:val="24"/>
          <w:szCs w:val="24"/>
          <w:lang w:val="en-US"/>
        </w:rPr>
      </w:pPr>
      <w:r>
        <w:rPr>
          <w:rFonts w:hint="eastAsia" w:ascii="仿宋" w:hAnsi="仿宋" w:eastAsia="仿宋" w:cs="仿宋"/>
          <w:sz w:val="24"/>
          <w:szCs w:val="24"/>
          <w:lang w:val="en-US"/>
        </w:rPr>
        <w:t>(2)所有设备要选用高质量元器件，生产过程中进行严格质量控制，出厂前要经过严格测试和检查，确保设备长期稳定、可靠地运行。</w:t>
      </w:r>
    </w:p>
    <w:p>
      <w:pPr>
        <w:spacing w:beforeLines="0" w:afterLines="0" w:line="560" w:lineRule="exact"/>
        <w:ind w:firstLine="480" w:firstLineChars="200"/>
        <w:jc w:val="both"/>
        <w:rPr>
          <w:rFonts w:hint="eastAsia" w:ascii="仿宋" w:hAnsi="仿宋" w:eastAsia="仿宋" w:cs="仿宋"/>
          <w:sz w:val="24"/>
          <w:szCs w:val="24"/>
          <w:lang w:val="en-US"/>
        </w:rPr>
      </w:pPr>
      <w:r>
        <w:rPr>
          <w:rFonts w:hint="eastAsia" w:ascii="仿宋" w:hAnsi="仿宋" w:eastAsia="仿宋" w:cs="仿宋"/>
          <w:sz w:val="24"/>
          <w:szCs w:val="24"/>
          <w:lang w:val="en-US"/>
        </w:rPr>
        <w:t xml:space="preserve"> (3)应采用模块式的硬件结构，便于扩充，并能容纳新业务和新技术。</w:t>
      </w:r>
    </w:p>
    <w:p>
      <w:pPr>
        <w:spacing w:beforeLines="0" w:afterLines="0" w:line="560" w:lineRule="exact"/>
        <w:ind w:firstLine="480" w:firstLineChars="200"/>
        <w:jc w:val="both"/>
        <w:rPr>
          <w:rFonts w:hint="eastAsia" w:ascii="仿宋" w:hAnsi="仿宋" w:eastAsia="仿宋" w:cs="仿宋"/>
          <w:sz w:val="24"/>
          <w:szCs w:val="24"/>
          <w:lang w:val="en-US"/>
        </w:rPr>
      </w:pPr>
      <w:r>
        <w:rPr>
          <w:rFonts w:hint="eastAsia" w:ascii="仿宋" w:hAnsi="仿宋" w:eastAsia="仿宋" w:cs="仿宋"/>
          <w:sz w:val="24"/>
          <w:szCs w:val="24"/>
          <w:lang w:val="en-US"/>
        </w:rPr>
        <w:t>(4)设备应采用功能分担、分布式多处理机结构主要模块冗余度为1+1，易于扩容和维护。</w:t>
      </w:r>
    </w:p>
    <w:p>
      <w:pPr>
        <w:spacing w:beforeLines="0" w:afterLines="0" w:line="560" w:lineRule="exact"/>
        <w:ind w:firstLine="480" w:firstLineChars="200"/>
        <w:jc w:val="both"/>
        <w:rPr>
          <w:rFonts w:hint="eastAsia" w:ascii="仿宋" w:hAnsi="仿宋" w:eastAsia="仿宋" w:cs="仿宋"/>
          <w:sz w:val="24"/>
          <w:szCs w:val="24"/>
          <w:lang w:val="en-US"/>
        </w:rPr>
      </w:pPr>
      <w:r>
        <w:rPr>
          <w:rFonts w:hint="eastAsia" w:ascii="仿宋" w:hAnsi="仿宋" w:eastAsia="仿宋" w:cs="仿宋"/>
          <w:sz w:val="24"/>
          <w:szCs w:val="24"/>
          <w:lang w:val="en-US"/>
        </w:rPr>
        <w:t>(5)当软件升级时，应不影响硬件结构。</w:t>
      </w:r>
    </w:p>
    <w:p>
      <w:pPr>
        <w:spacing w:beforeLines="0" w:afterLines="0" w:line="560" w:lineRule="exact"/>
        <w:ind w:firstLine="480" w:firstLineChars="200"/>
        <w:jc w:val="both"/>
        <w:rPr>
          <w:rFonts w:hint="eastAsia" w:ascii="仿宋" w:hAnsi="仿宋" w:eastAsia="仿宋" w:cs="仿宋"/>
          <w:sz w:val="24"/>
          <w:szCs w:val="24"/>
          <w:lang w:val="en-US"/>
        </w:rPr>
      </w:pPr>
      <w:r>
        <w:rPr>
          <w:rFonts w:hint="eastAsia" w:ascii="仿宋" w:hAnsi="仿宋" w:eastAsia="仿宋" w:cs="仿宋"/>
          <w:sz w:val="24"/>
          <w:szCs w:val="24"/>
          <w:lang w:val="en-US"/>
        </w:rPr>
        <w:t>(6)应具有网络故障和硬件故障告警功能。</w:t>
      </w:r>
    </w:p>
    <w:p>
      <w:pPr>
        <w:spacing w:beforeLines="0" w:afterLines="0" w:line="560" w:lineRule="exact"/>
        <w:ind w:firstLine="480" w:firstLineChars="200"/>
        <w:jc w:val="both"/>
        <w:rPr>
          <w:rFonts w:hint="eastAsia" w:ascii="仿宋" w:hAnsi="仿宋" w:eastAsia="仿宋" w:cs="仿宋"/>
          <w:sz w:val="24"/>
          <w:szCs w:val="24"/>
          <w:lang w:val="en-US"/>
        </w:rPr>
      </w:pPr>
      <w:r>
        <w:rPr>
          <w:rFonts w:hint="eastAsia" w:ascii="仿宋" w:hAnsi="仿宋" w:eastAsia="仿宋" w:cs="仿宋"/>
          <w:sz w:val="24"/>
          <w:szCs w:val="24"/>
          <w:lang w:val="en-US"/>
        </w:rPr>
        <w:t>(7) 主要设备能在不中断通信的情况下，可带电进行热插拨操作。</w:t>
      </w:r>
    </w:p>
    <w:p>
      <w:pPr>
        <w:spacing w:beforeLines="0" w:afterLines="0" w:line="560" w:lineRule="exact"/>
        <w:ind w:firstLine="480" w:firstLineChars="200"/>
        <w:jc w:val="both"/>
        <w:rPr>
          <w:rFonts w:hint="eastAsia" w:ascii="仿宋" w:hAnsi="仿宋" w:eastAsia="仿宋" w:cs="仿宋"/>
          <w:sz w:val="24"/>
          <w:szCs w:val="24"/>
          <w:lang w:val="en-US"/>
        </w:rPr>
      </w:pPr>
      <w:r>
        <w:rPr>
          <w:rFonts w:hint="eastAsia" w:ascii="仿宋" w:hAnsi="仿宋" w:eastAsia="仿宋" w:cs="仿宋"/>
          <w:sz w:val="24"/>
          <w:szCs w:val="24"/>
          <w:lang w:val="en-US"/>
        </w:rPr>
        <w:t>(8)设备厂商应提供设备的具体电磁兼容指标、测试方法和测试数据。</w:t>
      </w:r>
    </w:p>
    <w:p>
      <w:pPr>
        <w:spacing w:beforeLines="0" w:afterLines="0" w:line="560" w:lineRule="exact"/>
        <w:ind w:firstLine="420"/>
        <w:jc w:val="both"/>
        <w:outlineLvl w:val="3"/>
        <w:rPr>
          <w:rFonts w:hint="eastAsia" w:ascii="仿宋" w:hAnsi="仿宋" w:eastAsia="仿宋" w:cs="仿宋"/>
          <w:b/>
          <w:bCs/>
          <w:color w:val="000000"/>
        </w:rPr>
      </w:pPr>
      <w:r>
        <w:rPr>
          <w:rFonts w:hint="eastAsia" w:ascii="仿宋" w:hAnsi="仿宋" w:eastAsia="仿宋" w:cs="仿宋"/>
          <w:b/>
          <w:bCs/>
          <w:color w:val="000000"/>
          <w:lang w:val="en-US"/>
        </w:rPr>
        <w:t>5.2</w:t>
      </w:r>
      <w:r>
        <w:rPr>
          <w:rFonts w:hint="eastAsia" w:ascii="仿宋" w:hAnsi="仿宋" w:eastAsia="仿宋" w:cs="仿宋"/>
          <w:b/>
          <w:bCs/>
          <w:color w:val="000000"/>
        </w:rPr>
        <w:t>需向投标方采购的设备</w:t>
      </w:r>
    </w:p>
    <w:p>
      <w:pPr>
        <w:spacing w:beforeLines="0" w:afterLines="0" w:line="560" w:lineRule="exact"/>
        <w:ind w:firstLine="480" w:firstLineChars="200"/>
        <w:jc w:val="both"/>
        <w:rPr>
          <w:rFonts w:hint="eastAsia" w:ascii="仿宋" w:hAnsi="仿宋" w:eastAsia="仿宋" w:cs="仿宋"/>
          <w:sz w:val="24"/>
          <w:szCs w:val="24"/>
          <w:lang w:val="en-US"/>
        </w:rPr>
      </w:pPr>
      <w:r>
        <w:rPr>
          <w:rFonts w:hint="eastAsia" w:ascii="仿宋" w:hAnsi="仿宋" w:eastAsia="仿宋" w:cs="仿宋"/>
          <w:sz w:val="24"/>
          <w:szCs w:val="24"/>
          <w:lang w:val="en-US"/>
        </w:rPr>
        <w:t>投标人应提供其产品的各种物理参数，如设备尺寸（长、宽、高）、功耗（W）、额定输入电流（路×A）、重量等，参见下表。</w:t>
      </w:r>
    </w:p>
    <w:tbl>
      <w:tblPr>
        <w:tblStyle w:val="56"/>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03"/>
        <w:gridCol w:w="975"/>
        <w:gridCol w:w="1120"/>
        <w:gridCol w:w="1368"/>
        <w:gridCol w:w="1354"/>
        <w:gridCol w:w="901"/>
        <w:gridCol w:w="1053"/>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745"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b/>
                <w:bCs/>
                <w:color w:val="000000"/>
                <w:szCs w:val="21"/>
              </w:rPr>
            </w:pPr>
            <w:r>
              <w:rPr>
                <w:rFonts w:hint="eastAsia"/>
                <w:b/>
                <w:bCs/>
                <w:color w:val="000000"/>
                <w:szCs w:val="21"/>
              </w:rPr>
              <w:t>设备</w:t>
            </w:r>
          </w:p>
          <w:p>
            <w:pPr>
              <w:widowControl/>
              <w:jc w:val="center"/>
              <w:rPr>
                <w:b/>
                <w:bCs/>
                <w:color w:val="000000"/>
                <w:szCs w:val="21"/>
              </w:rPr>
            </w:pPr>
            <w:r>
              <w:rPr>
                <w:rFonts w:hint="eastAsia"/>
                <w:b/>
                <w:bCs/>
                <w:color w:val="000000"/>
                <w:szCs w:val="21"/>
              </w:rPr>
              <w:t>名称</w:t>
            </w:r>
          </w:p>
        </w:tc>
        <w:tc>
          <w:tcPr>
            <w:tcW w:w="903"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b/>
                <w:bCs/>
                <w:color w:val="000000"/>
                <w:szCs w:val="21"/>
              </w:rPr>
            </w:pPr>
            <w:r>
              <w:rPr>
                <w:rFonts w:hint="eastAsia"/>
                <w:b/>
                <w:bCs/>
                <w:color w:val="000000"/>
                <w:szCs w:val="21"/>
              </w:rPr>
              <w:t>设备</w:t>
            </w:r>
          </w:p>
          <w:p>
            <w:pPr>
              <w:widowControl/>
              <w:jc w:val="center"/>
              <w:rPr>
                <w:b/>
                <w:bCs/>
                <w:color w:val="000000"/>
                <w:szCs w:val="21"/>
              </w:rPr>
            </w:pPr>
            <w:r>
              <w:rPr>
                <w:rFonts w:hint="eastAsia"/>
                <w:b/>
                <w:bCs/>
                <w:color w:val="000000"/>
                <w:szCs w:val="21"/>
              </w:rPr>
              <w:t>厂家</w:t>
            </w:r>
          </w:p>
        </w:tc>
        <w:tc>
          <w:tcPr>
            <w:tcW w:w="975"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b/>
                <w:bCs/>
                <w:color w:val="000000"/>
                <w:szCs w:val="21"/>
              </w:rPr>
            </w:pPr>
            <w:r>
              <w:rPr>
                <w:rFonts w:hint="eastAsia"/>
                <w:b/>
                <w:bCs/>
                <w:color w:val="000000"/>
                <w:szCs w:val="21"/>
              </w:rPr>
              <w:t>设备型号</w:t>
            </w:r>
          </w:p>
        </w:tc>
        <w:tc>
          <w:tcPr>
            <w:tcW w:w="1120"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b/>
                <w:bCs/>
                <w:color w:val="000000"/>
                <w:szCs w:val="21"/>
              </w:rPr>
            </w:pPr>
            <w:r>
              <w:rPr>
                <w:rFonts w:hint="eastAsia"/>
                <w:b/>
                <w:bCs/>
                <w:color w:val="000000"/>
                <w:szCs w:val="21"/>
              </w:rPr>
              <w:t>额定功耗（W）</w:t>
            </w:r>
          </w:p>
        </w:tc>
        <w:tc>
          <w:tcPr>
            <w:tcW w:w="1368"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b/>
                <w:bCs/>
                <w:color w:val="000000"/>
                <w:szCs w:val="21"/>
              </w:rPr>
            </w:pPr>
            <w:r>
              <w:rPr>
                <w:rFonts w:hint="eastAsia"/>
                <w:b/>
                <w:bCs/>
                <w:color w:val="000000"/>
                <w:szCs w:val="21"/>
              </w:rPr>
              <w:t>实际运行功耗（W）</w:t>
            </w:r>
          </w:p>
        </w:tc>
        <w:tc>
          <w:tcPr>
            <w:tcW w:w="1354"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b/>
                <w:bCs/>
                <w:color w:val="000000"/>
                <w:szCs w:val="21"/>
              </w:rPr>
            </w:pPr>
            <w:r>
              <w:rPr>
                <w:rFonts w:hint="eastAsia"/>
                <w:b/>
                <w:bCs/>
                <w:color w:val="000000"/>
                <w:szCs w:val="21"/>
              </w:rPr>
              <w:t>设备尺寸</w:t>
            </w:r>
          </w:p>
          <w:p>
            <w:pPr>
              <w:widowControl/>
              <w:jc w:val="center"/>
              <w:rPr>
                <w:b/>
                <w:bCs/>
                <w:color w:val="000000"/>
                <w:szCs w:val="21"/>
              </w:rPr>
            </w:pPr>
            <w:r>
              <w:rPr>
                <w:rFonts w:hint="eastAsia"/>
                <w:b/>
                <w:bCs/>
                <w:color w:val="000000"/>
                <w:szCs w:val="21"/>
              </w:rPr>
              <w:t>（深*宽*高（mm）</w:t>
            </w:r>
          </w:p>
        </w:tc>
        <w:tc>
          <w:tcPr>
            <w:tcW w:w="901"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b/>
                <w:bCs/>
                <w:color w:val="000000"/>
                <w:szCs w:val="21"/>
              </w:rPr>
            </w:pPr>
            <w:r>
              <w:rPr>
                <w:rFonts w:hint="eastAsia"/>
                <w:b/>
                <w:bCs/>
                <w:color w:val="000000"/>
                <w:szCs w:val="21"/>
              </w:rPr>
              <w:t>重量</w:t>
            </w:r>
          </w:p>
          <w:p>
            <w:pPr>
              <w:widowControl/>
              <w:jc w:val="center"/>
              <w:rPr>
                <w:b/>
                <w:bCs/>
                <w:color w:val="000000"/>
                <w:szCs w:val="21"/>
              </w:rPr>
            </w:pPr>
            <w:r>
              <w:rPr>
                <w:rFonts w:hint="eastAsia"/>
                <w:b/>
                <w:bCs/>
                <w:color w:val="000000"/>
                <w:szCs w:val="21"/>
              </w:rPr>
              <w:t>（Kg）</w:t>
            </w:r>
          </w:p>
        </w:tc>
        <w:tc>
          <w:tcPr>
            <w:tcW w:w="1053"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b/>
                <w:bCs/>
                <w:color w:val="000000"/>
                <w:szCs w:val="21"/>
              </w:rPr>
            </w:pPr>
            <w:r>
              <w:rPr>
                <w:rFonts w:hint="eastAsia"/>
                <w:b/>
                <w:bCs/>
                <w:color w:val="000000"/>
                <w:szCs w:val="21"/>
              </w:rPr>
              <w:t>供电方式（路×A）</w:t>
            </w:r>
          </w:p>
        </w:tc>
        <w:tc>
          <w:tcPr>
            <w:tcW w:w="437"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b/>
                <w:bCs/>
                <w:color w:val="000000"/>
                <w:szCs w:val="21"/>
              </w:rPr>
            </w:pPr>
            <w:r>
              <w:rPr>
                <w:rFonts w:hint="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90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43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90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43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90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43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r>
    </w:tbl>
    <w:p>
      <w:pPr>
        <w:pStyle w:val="2"/>
        <w:ind w:left="440"/>
      </w:pPr>
    </w:p>
    <w:p>
      <w:pPr>
        <w:pStyle w:val="2"/>
        <w:spacing w:beforeLines="0" w:after="0" w:afterLines="0" w:line="560" w:lineRule="exact"/>
        <w:ind w:left="0" w:leftChars="0" w:firstLine="0"/>
        <w:jc w:val="both"/>
        <w:outlineLvl w:val="2"/>
        <w:rPr>
          <w:rFonts w:hint="eastAsia" w:ascii="仿宋" w:hAnsi="仿宋" w:eastAsia="仿宋" w:cs="仿宋"/>
          <w:b/>
          <w:bCs/>
          <w:sz w:val="24"/>
          <w:szCs w:val="24"/>
        </w:rPr>
      </w:pPr>
      <w:bookmarkStart w:id="8" w:name="_Toc43411113"/>
      <w:bookmarkEnd w:id="8"/>
      <w:bookmarkStart w:id="9" w:name="_Toc43406487"/>
      <w:bookmarkEnd w:id="9"/>
      <w:bookmarkStart w:id="10" w:name="_Toc43050652"/>
      <w:bookmarkEnd w:id="10"/>
      <w:bookmarkStart w:id="11" w:name="_Toc42766942"/>
      <w:bookmarkEnd w:id="11"/>
      <w:r>
        <w:rPr>
          <w:rFonts w:hint="eastAsia" w:ascii="仿宋" w:hAnsi="仿宋" w:eastAsia="仿宋" w:cs="仿宋"/>
          <w:b/>
          <w:bCs/>
          <w:sz w:val="24"/>
          <w:szCs w:val="24"/>
          <w:lang w:val="en-US"/>
        </w:rPr>
        <w:t>6、</w:t>
      </w:r>
      <w:r>
        <w:rPr>
          <w:rFonts w:hint="eastAsia" w:ascii="仿宋" w:hAnsi="仿宋" w:eastAsia="仿宋" w:cs="仿宋"/>
          <w:b/>
          <w:bCs/>
          <w:sz w:val="24"/>
          <w:szCs w:val="24"/>
        </w:rPr>
        <w:t>配套设施建设</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6</w:t>
      </w:r>
      <w:r>
        <w:rPr>
          <w:rFonts w:hint="eastAsia" w:ascii="仿宋" w:hAnsi="仿宋" w:eastAsia="仿宋" w:cs="仿宋"/>
          <w:b/>
          <w:sz w:val="24"/>
          <w:szCs w:val="24"/>
        </w:rPr>
        <w:t>.1建设内容</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投标人应完成本项目监控展示大厅的改造升级的配套建设，包括以下内容：</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1）利用管局现有房间部署维护办公区，配置11套办公工位，并配备运维监测大屏展示系统、投影设备以及其他相关运维实施；</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2）升级改造黑龙江省通信管理局4层应急指挥中心，粉刷墙面和顶棚，维修原有的DLP大屏和损坏的办公设施，升级大屏信号切换系统、音响系统和无纸化会议系统。</w:t>
      </w:r>
    </w:p>
    <w:p>
      <w:pPr>
        <w:spacing w:beforeLines="0" w:afterLines="0"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3）利用管局现有会议室，部署LED大屏系统，作为直联点监测系统指挥中心。</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6</w:t>
      </w:r>
      <w:r>
        <w:rPr>
          <w:rFonts w:hint="eastAsia" w:ascii="仿宋" w:hAnsi="仿宋" w:eastAsia="仿宋" w:cs="仿宋"/>
          <w:b/>
          <w:sz w:val="24"/>
          <w:szCs w:val="24"/>
        </w:rPr>
        <w:t>.</w:t>
      </w:r>
      <w:r>
        <w:rPr>
          <w:rFonts w:hint="eastAsia" w:ascii="仿宋" w:hAnsi="仿宋" w:eastAsia="仿宋" w:cs="仿宋"/>
          <w:b/>
          <w:sz w:val="24"/>
          <w:szCs w:val="24"/>
          <w:lang w:val="en-US"/>
        </w:rPr>
        <w:t>2</w:t>
      </w:r>
      <w:r>
        <w:rPr>
          <w:rFonts w:hint="eastAsia" w:ascii="仿宋" w:hAnsi="仿宋" w:eastAsia="仿宋" w:cs="仿宋"/>
          <w:b/>
          <w:sz w:val="24"/>
          <w:szCs w:val="24"/>
        </w:rPr>
        <w:t>装饰</w:t>
      </w:r>
      <w:r>
        <w:rPr>
          <w:rFonts w:hint="eastAsia" w:ascii="仿宋" w:hAnsi="仿宋" w:eastAsia="仿宋" w:cs="仿宋"/>
          <w:b/>
          <w:sz w:val="24"/>
          <w:szCs w:val="24"/>
          <w:lang w:val="en-US"/>
        </w:rPr>
        <w:t>建设需求</w:t>
      </w:r>
    </w:p>
    <w:p>
      <w:pPr>
        <w:widowControl/>
        <w:adjustRightInd w:val="0"/>
        <w:snapToGri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本次建设范围位于黑龙江省通信管理局四层展示大厅以及办公环境的改造，其中4层展示大厅265㎡，完成屋顶和墙面的重新粉刷。</w:t>
      </w:r>
    </w:p>
    <w:p>
      <w:pPr>
        <w:widowControl/>
        <w:adjustRightInd w:val="0"/>
        <w:snapToGrid w:val="0"/>
        <w:spacing w:line="300" w:lineRule="auto"/>
        <w:ind w:leftChars="-100" w:hanging="220" w:hangingChars="100"/>
        <w:textAlignment w:val="baseline"/>
      </w:pPr>
      <w:r>
        <w:rPr>
          <w:rFonts w:ascii="宋体" w:hAnsi="宋体" w:eastAsia="宋体" w:cs="宋体"/>
          <w:sz w:val="22"/>
          <w:szCs w:val="22"/>
          <w:lang w:val="en-US" w:eastAsia="zh-CN" w:bidi="ar-SA"/>
        </w:rPr>
        <w:pict>
          <v:shape id="图片 3" o:spid="_x0000_s1027" type="#_x0000_t75" style="height:336.6pt;width:453.45pt;rotation:0f;" o:ole="f" fillcolor="#FFFFFF" filled="f" o:preferrelative="t" stroked="f" coordorigin="0,0" coordsize="21600,21600">
            <v:fill on="f" color2="#FFFFFF" focus="0%"/>
            <v:imagedata cropleft="10870f" croptop="6091f" cropright="13491f" cropbottom="8119f" gain="65536f" blacklevel="0f" gamma="0" o:title="" r:id="rId7"/>
            <o:lock v:ext="edit" position="f" selection="f" grouping="f" rotation="f" cropping="f" text="f" aspectratio="t"/>
            <w10:wrap type="none"/>
            <w10:anchorlock/>
          </v:shape>
        </w:pict>
      </w:r>
    </w:p>
    <w:p>
      <w:pPr>
        <w:widowControl/>
        <w:adjustRightInd w:val="0"/>
        <w:snapToGrid w:val="0"/>
        <w:spacing w:line="300" w:lineRule="auto"/>
        <w:ind w:left="2" w:leftChars="-200" w:hanging="442" w:hangingChars="200"/>
        <w:jc w:val="center"/>
        <w:textAlignment w:val="baseline"/>
        <w:rPr>
          <w:b/>
          <w:bCs/>
          <w:lang w:val="en-US"/>
        </w:rPr>
      </w:pPr>
      <w:r>
        <w:rPr>
          <w:rFonts w:hint="eastAsia"/>
          <w:b/>
          <w:bCs/>
          <w:lang w:val="en-US"/>
        </w:rPr>
        <w:t>四层现有平面</w:t>
      </w:r>
    </w:p>
    <w:p>
      <w:pPr>
        <w:spacing w:beforeLines="0" w:afterLines="0" w:line="560" w:lineRule="exact"/>
        <w:ind w:firstLine="420"/>
        <w:jc w:val="both"/>
        <w:outlineLvl w:val="3"/>
        <w:rPr>
          <w:rFonts w:hint="eastAsia" w:ascii="仿宋" w:hAnsi="仿宋" w:eastAsia="仿宋" w:cs="仿宋"/>
          <w:b/>
          <w:sz w:val="24"/>
          <w:szCs w:val="24"/>
          <w:lang w:val="en-US"/>
        </w:rPr>
      </w:pPr>
      <w:r>
        <w:rPr>
          <w:rFonts w:hint="eastAsia" w:ascii="仿宋" w:hAnsi="仿宋" w:eastAsia="仿宋" w:cs="仿宋"/>
          <w:b/>
          <w:sz w:val="24"/>
          <w:szCs w:val="24"/>
          <w:lang w:val="en-US"/>
        </w:rPr>
        <w:t>6.3综合布线系统建设需求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需在办公室及休息室内设置综合布线系统。办公网包含语音网设计，设置原则：本项目采用六类非屏蔽的布线方式，每个办公工位设置2个点位，分别为语音、数据点位。</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综合布线系统采用的是模块化、开放性的布线方式，可用来传输语音、数据和监控等信号，在设计中应充分发挥其预布线的功能，提供一种统一、灵活、高 性能的管线系统，最大限度地提供通信协议的兼容性和设备连接的无关性，以方便系统维护、变更、扩容、以及技术升级的需要。</w:t>
      </w:r>
    </w:p>
    <w:p>
      <w:pPr>
        <w:spacing w:beforeLines="0" w:afterLines="0" w:line="560" w:lineRule="exact"/>
        <w:ind w:firstLine="420"/>
        <w:jc w:val="both"/>
        <w:outlineLvl w:val="3"/>
        <w:rPr>
          <w:rFonts w:hint="eastAsia" w:ascii="仿宋" w:hAnsi="仿宋" w:eastAsia="仿宋" w:cs="仿宋"/>
          <w:b/>
          <w:sz w:val="24"/>
          <w:szCs w:val="24"/>
          <w:lang w:val="en-US"/>
        </w:rPr>
      </w:pPr>
      <w:r>
        <w:rPr>
          <w:rFonts w:hint="eastAsia" w:ascii="仿宋" w:hAnsi="仿宋" w:eastAsia="仿宋" w:cs="仿宋"/>
          <w:b/>
          <w:sz w:val="24"/>
          <w:szCs w:val="24"/>
          <w:lang w:val="en-US"/>
        </w:rPr>
        <w:t>6.4展示系统建设需求</w:t>
      </w:r>
    </w:p>
    <w:p>
      <w:pPr>
        <w:spacing w:beforeLines="0" w:afterLines="0" w:line="560" w:lineRule="exact"/>
        <w:ind w:firstLine="420"/>
        <w:jc w:val="both"/>
        <w:outlineLvl w:val="4"/>
        <w:rPr>
          <w:rFonts w:hint="eastAsia" w:ascii="仿宋" w:hAnsi="仿宋" w:eastAsia="仿宋" w:cs="仿宋"/>
          <w:b/>
          <w:sz w:val="24"/>
          <w:szCs w:val="24"/>
          <w:lang w:val="en-US" w:bidi="ar-SA"/>
        </w:rPr>
      </w:pPr>
      <w:r>
        <w:rPr>
          <w:rFonts w:hint="eastAsia" w:ascii="仿宋" w:hAnsi="仿宋" w:eastAsia="仿宋" w:cs="仿宋"/>
          <w:b/>
          <w:sz w:val="24"/>
          <w:szCs w:val="24"/>
          <w:lang w:val="en-US" w:bidi="ar-SA"/>
        </w:rPr>
        <w:t>6.4.1</w:t>
      </w:r>
      <w:r>
        <w:rPr>
          <w:rFonts w:hint="eastAsia" w:ascii="仿宋" w:hAnsi="仿宋" w:eastAsia="仿宋" w:cs="仿宋"/>
          <w:szCs w:val="21"/>
        </w:rPr>
        <w:t>▲</w:t>
      </w:r>
      <w:r>
        <w:rPr>
          <w:rFonts w:hint="eastAsia" w:ascii="仿宋" w:hAnsi="仿宋" w:eastAsia="仿宋" w:cs="仿宋"/>
          <w:b/>
          <w:sz w:val="24"/>
          <w:szCs w:val="24"/>
          <w:lang w:val="en-US" w:bidi="ar-SA"/>
        </w:rPr>
        <w:t>指挥中心大屏系统</w:t>
      </w:r>
    </w:p>
    <w:p>
      <w:pPr>
        <w:adjustRightInd w:val="0"/>
        <w:spacing w:beforeLines="0" w:afterLines="0" w:line="560" w:lineRule="exact"/>
        <w:ind w:firstLine="480" w:firstLineChars="200"/>
        <w:jc w:val="both"/>
        <w:textAlignment w:val="baseline"/>
        <w:rPr>
          <w:rFonts w:hint="eastAsia" w:ascii="仿宋" w:hAnsi="仿宋" w:eastAsia="仿宋" w:cs="仿宋"/>
          <w:lang w:val="en-US"/>
        </w:rPr>
      </w:pPr>
      <w:r>
        <w:rPr>
          <w:rFonts w:hint="eastAsia" w:ascii="仿宋" w:hAnsi="仿宋" w:eastAsia="仿宋" w:cs="仿宋"/>
          <w:color w:val="000000"/>
          <w:sz w:val="24"/>
          <w:szCs w:val="20"/>
          <w:lang w:val="en-US" w:bidi="ar-SA"/>
        </w:rPr>
        <w:t>采用P1.2LED显示屏，屏体尺寸(宽x高)：5000mm x3000mm，分辨率达：2912pixels x1560pixels，为用户提供先进的大屏显示系统，各种相关信息经由高亮度、高分辨率和高清晰度的专业的数字化大屏幕投影系统直观地显示出来，快速汇集和显示大量经实时采集的视频信号、高分辨率计算机信号，甚至网络数据信号等，为用户进行信息共享、数据分析、图像显示等应用提供了重要的辅助作用，也为观看者提供了清晰直观的显示环境。</w:t>
      </w:r>
    </w:p>
    <w:p>
      <w:pPr>
        <w:spacing w:beforeLines="0" w:afterLines="0" w:line="560" w:lineRule="exact"/>
        <w:ind w:firstLine="420"/>
        <w:jc w:val="both"/>
        <w:outlineLvl w:val="4"/>
        <w:rPr>
          <w:rFonts w:hint="eastAsia" w:ascii="仿宋" w:hAnsi="仿宋" w:eastAsia="仿宋" w:cs="仿宋"/>
          <w:b/>
          <w:sz w:val="24"/>
          <w:szCs w:val="24"/>
          <w:lang w:val="en-US" w:bidi="ar-SA"/>
        </w:rPr>
      </w:pPr>
      <w:r>
        <w:rPr>
          <w:rFonts w:hint="eastAsia" w:ascii="仿宋" w:hAnsi="仿宋" w:eastAsia="仿宋" w:cs="仿宋"/>
          <w:b/>
          <w:sz w:val="24"/>
          <w:szCs w:val="24"/>
          <w:lang w:val="en-US" w:bidi="ar-SA"/>
        </w:rPr>
        <w:t>6.4.2</w:t>
      </w:r>
      <w:r>
        <w:rPr>
          <w:rFonts w:hint="eastAsia" w:ascii="仿宋" w:hAnsi="仿宋" w:eastAsia="仿宋" w:cs="仿宋"/>
          <w:szCs w:val="21"/>
        </w:rPr>
        <w:t>▲</w:t>
      </w:r>
      <w:r>
        <w:rPr>
          <w:rFonts w:hint="eastAsia" w:ascii="仿宋" w:hAnsi="仿宋" w:eastAsia="仿宋" w:cs="仿宋"/>
          <w:b/>
          <w:sz w:val="24"/>
          <w:szCs w:val="24"/>
          <w:lang w:val="en-US" w:bidi="ar-SA"/>
        </w:rPr>
        <w:t>4F展示大屏会议系统</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4F监控展示大厅统改造包括维修现有的DLP大屏，升级现有的信号切换系统、音箱扩声系统、无纸化会议系统</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（1）信号切换系统</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采用高清混合矩阵，通过混合矩阵实现电脑信号，会场高清摄像机信号，视频会议高清信号与会场大屏、电视信号的交互。同时也可将多媒体插座的电脑音频信号切换到音响系统。</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高清混合矩阵具有较高的可扩展性，可以通过简单扩容方式进行现场扩展，各类信号源可任意通过增加相应板卡的方式添加而不需要更换任何已采购设备。便于实际使用过程中的灵活扩展。</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可支持多种信号同时输入输出，包括3G-SDI、HD-SDI、SD-SDI、HDMI、DVI、VGA、YPbPr、CVBS、HDBT、光纤信号。</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（2）音箱扩声系统</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左右主扩声部分配置2只8寸全频音箱正大屏两侧，每边1只；用于该主要扩声；辅助扬声器配置5只吸顶音箱安装于会场中部，以满足全场扩声所需的声压级要求。同时根据音箱的数量和型号类型，配置相匹配的功率放大器及周边处理设备、音频处理器、调音台、电源时序器。</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(3）无纸化会议系统</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根据实际需求配置24台翻转无纸化会议单元，包含发言，投票表决，无纸化办公，文件管理、文件导读、会议记录、桌面共享、议程显示、拍照视频通话等功能。</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提供交互式会议控制和管理功能，如会议讨论，表决，同声传译。</w:t>
      </w:r>
    </w:p>
    <w:p>
      <w:pPr>
        <w:adjustRightInd w:val="0"/>
        <w:spacing w:beforeLines="0" w:afterLines="0" w:line="560" w:lineRule="exact"/>
        <w:ind w:firstLine="480" w:firstLineChars="200"/>
        <w:jc w:val="both"/>
        <w:textAlignment w:val="baseline"/>
        <w:rPr>
          <w:rFonts w:hint="eastAsia" w:ascii="仿宋" w:hAnsi="仿宋" w:eastAsia="仿宋" w:cs="仿宋"/>
          <w:color w:val="000000"/>
          <w:sz w:val="24"/>
          <w:szCs w:val="20"/>
          <w:lang w:val="en-US" w:bidi="ar-SA"/>
        </w:rPr>
      </w:pPr>
      <w:r>
        <w:rPr>
          <w:rFonts w:hint="eastAsia" w:ascii="仿宋" w:hAnsi="仿宋" w:eastAsia="仿宋" w:cs="仿宋"/>
          <w:color w:val="000000"/>
          <w:sz w:val="24"/>
          <w:szCs w:val="20"/>
          <w:lang w:val="en-US" w:bidi="ar-SA"/>
        </w:rPr>
        <w:t>实现无纸化会议功能，如文件管理、文件导读、会议记录、桌面共享、议程显示、拍照等功能。</w:t>
      </w:r>
    </w:p>
    <w:p>
      <w:pPr>
        <w:spacing w:beforeLines="0" w:afterLines="0" w:line="560" w:lineRule="exact"/>
        <w:ind w:firstLine="420"/>
        <w:jc w:val="both"/>
        <w:outlineLvl w:val="4"/>
        <w:rPr>
          <w:rFonts w:hint="eastAsia" w:ascii="仿宋" w:hAnsi="仿宋" w:eastAsia="仿宋" w:cs="仿宋"/>
          <w:b/>
          <w:sz w:val="24"/>
          <w:szCs w:val="24"/>
          <w:lang w:val="en-US"/>
        </w:rPr>
      </w:pPr>
      <w:r>
        <w:rPr>
          <w:rFonts w:hint="eastAsia" w:ascii="仿宋" w:hAnsi="仿宋" w:eastAsia="仿宋" w:cs="仿宋"/>
          <w:b/>
          <w:sz w:val="24"/>
          <w:szCs w:val="24"/>
          <w:lang w:val="en-US"/>
        </w:rPr>
        <w:t>6.4.3</w:t>
      </w:r>
      <w:r>
        <w:rPr>
          <w:rFonts w:hint="eastAsia" w:ascii="仿宋" w:hAnsi="仿宋" w:eastAsia="仿宋" w:cs="仿宋"/>
          <w:szCs w:val="21"/>
        </w:rPr>
        <w:t>▲</w:t>
      </w:r>
      <w:r>
        <w:rPr>
          <w:rFonts w:hint="eastAsia" w:ascii="仿宋" w:hAnsi="仿宋" w:eastAsia="仿宋" w:cs="仿宋"/>
          <w:b/>
          <w:sz w:val="24"/>
          <w:szCs w:val="24"/>
          <w:lang w:val="en-US"/>
        </w:rPr>
        <w:t>办公区显示系统</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本项目在办公</w:t>
      </w:r>
      <w:r>
        <w:rPr>
          <w:rFonts w:hint="eastAsia" w:ascii="仿宋" w:hAnsi="仿宋" w:eastAsia="仿宋" w:cs="仿宋"/>
          <w:sz w:val="24"/>
          <w:szCs w:val="24"/>
          <w:lang w:val="en-US"/>
        </w:rPr>
        <w:t>区</w:t>
      </w:r>
      <w:r>
        <w:rPr>
          <w:rFonts w:hint="eastAsia" w:ascii="仿宋" w:hAnsi="仿宋" w:eastAsia="仿宋" w:cs="仿宋"/>
          <w:sz w:val="24"/>
          <w:szCs w:val="24"/>
        </w:rPr>
        <w:t>设置一套大屏显示系统。采用物理拼接缝隙0.88mm的55寸拼接屏，采用</w:t>
      </w:r>
      <w:r>
        <w:rPr>
          <w:rFonts w:hint="eastAsia" w:ascii="仿宋" w:hAnsi="仿宋" w:eastAsia="仿宋" w:cs="仿宋"/>
          <w:sz w:val="24"/>
          <w:szCs w:val="24"/>
          <w:lang w:val="en-US"/>
        </w:rPr>
        <w:t>3</w:t>
      </w:r>
      <w:r>
        <w:rPr>
          <w:rFonts w:hint="eastAsia" w:ascii="仿宋" w:hAnsi="仿宋" w:eastAsia="仿宋" w:cs="仿宋"/>
          <w:sz w:val="24"/>
          <w:szCs w:val="24"/>
        </w:rPr>
        <w:t>*2拼接组成，为用户提供先进的大屏显示系统，各种相关信息经由高亮度、高分辨率和高清晰度的专业的数字化大屏幕直观地显示出来，快速汇集和显示大量经实时采集的视频信号、高分辨率计算机信号，甚至网络数据信号等，为用户进行信息共享、数据分析、图像显示等应用提供了重要的辅助作用，也为观看者提供了清晰直观的显示环境。</w:t>
      </w:r>
    </w:p>
    <w:p>
      <w:pPr>
        <w:pStyle w:val="2"/>
        <w:spacing w:beforeLines="0" w:after="0" w:afterLines="0" w:line="560" w:lineRule="exact"/>
        <w:ind w:left="440" w:firstLine="0"/>
        <w:jc w:val="both"/>
        <w:outlineLvl w:val="2"/>
        <w:rPr>
          <w:rFonts w:hint="eastAsia" w:ascii="仿宋" w:hAnsi="仿宋" w:eastAsia="仿宋" w:cs="仿宋"/>
          <w:b/>
          <w:bCs/>
          <w:sz w:val="24"/>
          <w:szCs w:val="24"/>
          <w:lang w:val="en-US"/>
        </w:rPr>
      </w:pPr>
      <w:r>
        <w:rPr>
          <w:rFonts w:hint="eastAsia" w:ascii="仿宋" w:hAnsi="仿宋" w:eastAsia="仿宋" w:cs="仿宋"/>
          <w:b/>
          <w:bCs/>
          <w:sz w:val="24"/>
          <w:szCs w:val="24"/>
          <w:lang w:val="en-US"/>
        </w:rPr>
        <w:t>7、项目建设非功能性要求</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7.1</w:t>
      </w:r>
      <w:r>
        <w:rPr>
          <w:rFonts w:hint="eastAsia" w:ascii="仿宋" w:hAnsi="仿宋" w:eastAsia="仿宋" w:cs="仿宋"/>
          <w:b/>
          <w:sz w:val="24"/>
          <w:szCs w:val="24"/>
        </w:rPr>
        <w:t>系统集成及验收服务</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1、</w:t>
      </w:r>
      <w:r>
        <w:rPr>
          <w:rFonts w:hint="eastAsia" w:ascii="仿宋" w:hAnsi="仿宋" w:eastAsia="仿宋" w:cs="仿宋"/>
          <w:sz w:val="24"/>
          <w:szCs w:val="24"/>
        </w:rPr>
        <w:t>系统集成范围</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 本项目向投标方采购的硬件、软件</w:t>
      </w:r>
      <w:r>
        <w:rPr>
          <w:rFonts w:hint="eastAsia" w:ascii="仿宋" w:hAnsi="仿宋" w:eastAsia="仿宋" w:cs="仿宋"/>
          <w:sz w:val="24"/>
          <w:szCs w:val="24"/>
          <w:lang w:val="en-US"/>
        </w:rPr>
        <w:t>及配套</w:t>
      </w:r>
      <w:r>
        <w:rPr>
          <w:rFonts w:hint="eastAsia" w:ascii="仿宋" w:hAnsi="仿宋" w:eastAsia="仿宋" w:cs="仿宋"/>
          <w:sz w:val="24"/>
          <w:szCs w:val="24"/>
        </w:rPr>
        <w:t>；</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(2) 原有的与本项目相关的计算机信息系统。</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系统集成工作内容</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投标方作为项目建设的总集成单位，负责项目的最终交付，确保项目的各项功能指标满足要求，主要负责完成以下工作：</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负责</w:t>
      </w:r>
      <w:r>
        <w:rPr>
          <w:rFonts w:hint="eastAsia" w:ascii="仿宋" w:hAnsi="仿宋" w:eastAsia="仿宋" w:cs="仿宋"/>
          <w:sz w:val="24"/>
          <w:szCs w:val="24"/>
          <w:lang w:val="en-US" w:eastAsia="zh-CN"/>
        </w:rPr>
        <w:t>编制</w:t>
      </w:r>
      <w:r>
        <w:rPr>
          <w:rFonts w:hint="eastAsia" w:ascii="仿宋" w:hAnsi="仿宋" w:eastAsia="仿宋" w:cs="仿宋"/>
          <w:sz w:val="24"/>
          <w:szCs w:val="24"/>
        </w:rPr>
        <w:t>项目的深化设计方案、需求方案、实施方案、测试方案、验收方案等，负责项目具体的工程实施、功能测试，协助招标方进行项目验收等。</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根据项目的总体时间进度制定详细的项目实施进度表计划和人员安排，并严格按照进度表总体实施计划组织项目的实施，建立项目日报、周报、月报等项目进展情况汇报制度，定时向招标方及监理单位汇报项目实施进展情况。</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负责在项目实施过程中协调货物供应商、数据对接单位、本项目其他中标单位等，确保按照合同中规定的项目进度要求和实施方案要求按时完成设备的供货、安装调试、软件开发及部署、系统测试、系统验收等工作，并提供货物及集成的相关服务。</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负责协助招标方完成最终系统的测试和验收工作，并提供详尽的验收报告，负责竣工资料和验收报告编制，提供工程验收所需的一切资料文件。</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履行售后服务承诺，确保为系统提供符合合同要求的售后服务；负责制定并组织实施与项目产品和技术相关的培训。</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招标方委托的其他工作内容。</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3、</w:t>
      </w:r>
      <w:r>
        <w:rPr>
          <w:rFonts w:hint="eastAsia" w:ascii="仿宋" w:hAnsi="仿宋" w:eastAsia="仿宋" w:cs="仿宋"/>
          <w:sz w:val="24"/>
          <w:szCs w:val="24"/>
        </w:rPr>
        <w:t>设备到货及加电验收</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向投标方采购的设备需进行到货点交和加电测试，测试合格的，双方签署到货验收合格证明（设备验收合格证明不免除投标方对设备隐蔽瑕疵的担保责任）。</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安装和调试</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投标方负责本项目全部相关设备的安装和调测，包括设备上架、加固、模块安装、加电、网络调测、相关软件调测等，直至与该工程相关的信息系统可以正常运行。</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投标方负责对施工地点进行现场勘察，提供工程施工和相关安装资料。</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投标方负责提供安装调测时所需使用的各类仪器、工具、设备和安装材料，安装材料应包括设备机柜、走线架、尾纤槽、电力电缆、通信电缆、光纤及相关的接头等。</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投标方调试前应提出完整的调试计划并经招标方确认，投标方有责任对招标方提出的问题做出解答。</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投标方负责施工时的现场安全管理。</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投标方每一步施工都应符合行业规范和招标方或相应业主的工程管理规范，并提供符合招标方或相应业主的工程管理规范文档。</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5、</w:t>
      </w:r>
      <w:r>
        <w:rPr>
          <w:rFonts w:hint="eastAsia" w:ascii="仿宋" w:hAnsi="仿宋" w:eastAsia="仿宋" w:cs="仿宋"/>
          <w:sz w:val="24"/>
          <w:szCs w:val="24"/>
        </w:rPr>
        <w:t>系统测试</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方负责提供测试方案，测试方案须经招标方评审后作为系统验收依据之一。测试方案应在系统初验前提交给招标方，招标方可根据合同及技术要求和招标方的有关规定进行修改和补充，测试合格后，设备进入试运行阶段。</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系统测试主要对系统的软硬件进行连通性、功能性和完整性测试，具体应包括系统性能、系统各项功能、业务流程、数据交互、与外部系统的互通测试、安全保障等方面内容。对于测试过程中出现的问题，投标方应进行整改，并重新进行相关测试。</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rPr>
        <w:t>6、</w:t>
      </w:r>
      <w:r>
        <w:rPr>
          <w:rFonts w:hint="eastAsia" w:ascii="仿宋" w:hAnsi="仿宋" w:eastAsia="仿宋" w:cs="仿宋"/>
          <w:sz w:val="24"/>
          <w:szCs w:val="24"/>
        </w:rPr>
        <w:t>系统验收</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系统验收具体分为初验、试运行期、终验等三个环节，具体要求如下：</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初验，系统集成工作完成并通过系统测试后，进行系统初验。初验阶段投标方应准备验收报告模板，制定验收进度计划，编制初验所需文档资料，并提供操作和维护资料。若验收中出现问题，投标方应按照招标方要求进行期限整改。</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试运行，试运行期为3个月。投标方负责系统（含全部软硬件设备）的维护工作，所集成系统内设备、软件为招标方自行采购或利旧招标方现有设备的，投标方也应统一受理招标方的申告或及时向招标方报告在维护过程中发现的可能影响系统正常运行的软硬件故障，并协调设备供货单位、软件开发单位共同解决系统故障。投标方应提供系统试运行报告，试运行期间内系统若出现问题，投标方应及时进行修复，待问题解决后招标方有权将试运行期顺延3个月。系统试运行期若发生重大故障，造成严重影响的，投标方应付相应责任。</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终验，系统试运行期满，并且系统具备终验条件后，双方共同对系统进行终验。终验将对系统运行情况进行总结，并对初验时遗留的问题进行补测，全部达到要求时,双方签署终验文件。终验阶段投标方应提供系统相关的全部、完整的技术资料文档。</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7.2</w:t>
      </w:r>
      <w:r>
        <w:rPr>
          <w:rFonts w:hint="eastAsia" w:ascii="仿宋" w:hAnsi="仿宋" w:eastAsia="仿宋" w:cs="仿宋"/>
          <w:b/>
          <w:sz w:val="24"/>
          <w:szCs w:val="24"/>
        </w:rPr>
        <w:t>安全</w:t>
      </w:r>
      <w:r>
        <w:rPr>
          <w:rFonts w:hint="eastAsia" w:ascii="仿宋" w:hAnsi="仿宋" w:eastAsia="仿宋" w:cs="仿宋"/>
          <w:b/>
          <w:sz w:val="24"/>
          <w:szCs w:val="24"/>
          <w:lang w:val="en-US"/>
        </w:rPr>
        <w:t>测评</w:t>
      </w:r>
      <w:r>
        <w:rPr>
          <w:rFonts w:hint="eastAsia" w:ascii="仿宋" w:hAnsi="仿宋" w:eastAsia="仿宋" w:cs="仿宋"/>
          <w:b/>
          <w:sz w:val="24"/>
          <w:szCs w:val="24"/>
        </w:rPr>
        <w:t>服务要求</w:t>
      </w:r>
    </w:p>
    <w:p>
      <w:pPr>
        <w:spacing w:beforeLines="0" w:afterLines="0" w:line="560" w:lineRule="exact"/>
        <w:ind w:firstLine="361" w:firstLineChars="150"/>
        <w:jc w:val="both"/>
        <w:rPr>
          <w:rFonts w:hint="eastAsia" w:ascii="仿宋" w:hAnsi="仿宋" w:eastAsia="仿宋" w:cs="仿宋"/>
          <w:b/>
          <w:sz w:val="24"/>
          <w:szCs w:val="24"/>
        </w:rPr>
      </w:pPr>
      <w:r>
        <w:rPr>
          <w:rFonts w:hint="eastAsia" w:ascii="仿宋" w:hAnsi="仿宋" w:eastAsia="仿宋" w:cs="仿宋"/>
          <w:b/>
          <w:sz w:val="24"/>
          <w:szCs w:val="24"/>
        </w:rPr>
        <w:t>（1）安全风险测评服务</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按照GB/T 20984-2007《信息安全技术信息安全风险评估规范》相关要求对本工程进行风险评估，明确提出测评方法手段，测评过程中使用到的工具等，以及需要用户配合和提供的内容。本项目中可能需要的硬件平台（如笔记本电脑、PC终端、工作站等）均由投标人提供，招标人将按照相关要求对设备进行必要的处理。在实施过程中所使用到的各种工具软件由投标人推荐，经招标人确认后由投标人提供并在服务过程中使用。投标人必须保证所使用的所有工具和软件不具有所有权和知识产权纠纷，并保证工具和软件可用性和可靠性。</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本工程风险测评时间为投标人中标后至工程验收，具体的时间由招标人根据实际情况统一安排。</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投标人需提供本系统安全风险测评报告和安全整改建议。</w:t>
      </w:r>
    </w:p>
    <w:p>
      <w:pPr>
        <w:spacing w:beforeLines="0" w:afterLines="0" w:line="560" w:lineRule="exact"/>
        <w:ind w:firstLine="361" w:firstLineChars="150"/>
        <w:jc w:val="both"/>
        <w:rPr>
          <w:rFonts w:hint="eastAsia" w:ascii="仿宋" w:hAnsi="仿宋" w:eastAsia="仿宋" w:cs="仿宋"/>
          <w:b/>
          <w:sz w:val="24"/>
          <w:szCs w:val="24"/>
        </w:rPr>
      </w:pPr>
      <w:r>
        <w:rPr>
          <w:rFonts w:hint="eastAsia" w:ascii="仿宋" w:hAnsi="仿宋" w:eastAsia="仿宋" w:cs="仿宋"/>
          <w:b/>
          <w:sz w:val="24"/>
          <w:szCs w:val="24"/>
        </w:rPr>
        <w:t>（2）密码应用安全性评估服务</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投标人提供的密码应用安全建设服务需遵循《信息系统密码应用设计技术要求》，编制本系统的密码应用建设方案和实施方案，并协助招标人和第三方密码应用测评单位开展相关测评工作和备案工作。</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投标人应为本系统提供合规、正确、有效的密码应用及部署方案，包括但不限于以下方面建设服务内容：物理和环境方面、网络和通信方面、设备和计算方面、应用和数据方面。</w:t>
      </w:r>
    </w:p>
    <w:p>
      <w:pPr>
        <w:spacing w:beforeLines="0" w:afterLines="0" w:line="560" w:lineRule="exact"/>
        <w:ind w:firstLine="361" w:firstLineChars="150"/>
        <w:jc w:val="both"/>
        <w:rPr>
          <w:rFonts w:hint="eastAsia" w:ascii="仿宋" w:hAnsi="仿宋" w:eastAsia="仿宋" w:cs="仿宋"/>
          <w:b/>
          <w:sz w:val="24"/>
          <w:szCs w:val="24"/>
        </w:rPr>
      </w:pPr>
      <w:r>
        <w:rPr>
          <w:rFonts w:hint="eastAsia" w:ascii="仿宋" w:hAnsi="仿宋" w:eastAsia="仿宋" w:cs="仿宋"/>
          <w:b/>
          <w:sz w:val="24"/>
          <w:szCs w:val="24"/>
        </w:rPr>
        <w:t>（3）第三方密码应用机构测评</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投标人提供的第三方密码应用机构测评服务需要在系统建设完成后以及运行阶段对本项目采用的商用密码技术、产品和服务集成建设的网络和信息系统密码应用的合规性、正确性、有效性进行测评。</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第三方密码应用机构测评服务应按照《信息系统密码应用基本要求》《信息系统密码测评要求》等标准，及《商用密码应用安全性评估测评过程指南（试行）》《商用密码应用安全性评估测评作业指导书（试行）》等指导性文件规范有序开展评估工作。</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投标人应提交《密码应用测评报告》，协助招标人上报主管部门及所在地区（部门）密码管理部门备案。</w:t>
      </w:r>
    </w:p>
    <w:p>
      <w:pPr>
        <w:spacing w:beforeLines="0" w:afterLines="0" w:line="560" w:lineRule="exact"/>
        <w:ind w:firstLine="361" w:firstLineChars="150"/>
        <w:jc w:val="both"/>
        <w:rPr>
          <w:rFonts w:hint="eastAsia" w:ascii="仿宋" w:hAnsi="仿宋" w:eastAsia="仿宋" w:cs="仿宋"/>
          <w:b/>
          <w:sz w:val="24"/>
          <w:szCs w:val="24"/>
        </w:rPr>
      </w:pPr>
      <w:r>
        <w:rPr>
          <w:rFonts w:hint="eastAsia" w:ascii="仿宋" w:hAnsi="仿宋" w:eastAsia="仿宋" w:cs="仿宋"/>
          <w:b/>
          <w:sz w:val="24"/>
          <w:szCs w:val="24"/>
        </w:rPr>
        <w:t>（4）网络安全等级保护建设服务</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投标人应针对本项目信息系统按照网络安全等级保护二级开展等级保护建设服务工作。投标人工作阶段、流程、内容、及成果交付严格遵循《信息安全技术网络安全等级保护基本要求》GB/T 22239-2019和《信息安全技术网络安全等级保护安全设计技术要求》GB/T 25070-2019，确保本项目信息系统顺利通过网络安全等级保护二级测试评估，获取《信息安全等级保护等级测评报告》。</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投标人交付成果（包括但不限于）：《等级保护安全建设方案》（方案可根据整改和规划内容的重要性和复杂程度编写），《等级保护安全现状评估报告》、《系统建设方案安全评估报告》等。</w:t>
      </w:r>
    </w:p>
    <w:p>
      <w:pPr>
        <w:spacing w:beforeLines="0" w:afterLines="0" w:line="560" w:lineRule="exact"/>
        <w:ind w:firstLine="361" w:firstLineChars="150"/>
        <w:jc w:val="both"/>
        <w:rPr>
          <w:rFonts w:hint="eastAsia" w:ascii="仿宋" w:hAnsi="仿宋" w:eastAsia="仿宋" w:cs="仿宋"/>
          <w:b/>
          <w:sz w:val="24"/>
          <w:szCs w:val="24"/>
        </w:rPr>
      </w:pPr>
      <w:r>
        <w:rPr>
          <w:rFonts w:hint="eastAsia" w:ascii="仿宋" w:hAnsi="仿宋" w:eastAsia="仿宋" w:cs="仿宋"/>
          <w:b/>
          <w:sz w:val="24"/>
          <w:szCs w:val="24"/>
        </w:rPr>
        <w:t>（5）第三方网络安全等级保护测评服务</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投标人应针对本项目信息系统按照网络安全等级保护二级进行等级保护测评工作。投标人工作阶段、流程、内容、及成果交付严格遵循《信息安全技术 网络安全等级保护测评机构能力要求和评估规范》GB/T 36959-2018、《信息安全技术网络安全等级保护测评要求》GB/T 28448-2019和《信息安全技术 网络安全等级保护测评过程指南》GB/T 28449-2018等文件，根据系统等级开展相应级别的单项测评和整体测评，测评报告内容及格式严格遵照《信息安全等级保护测评报告模版》。</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投标人需根据测评实际情况编制最终的《信息安全等级保护等级测评报告》，及安全整改建议。</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上述安全服务应由具备相应资质的专业机构并经采购人同意后实施。</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7.</w:t>
      </w:r>
      <w:r>
        <w:rPr>
          <w:rFonts w:hint="eastAsia" w:ascii="仿宋" w:hAnsi="仿宋" w:eastAsia="仿宋" w:cs="仿宋"/>
          <w:b/>
          <w:sz w:val="24"/>
          <w:szCs w:val="24"/>
        </w:rPr>
        <w:t>3</w:t>
      </w:r>
      <w:r>
        <w:rPr>
          <w:rFonts w:hint="eastAsia" w:ascii="仿宋" w:hAnsi="仿宋" w:eastAsia="仿宋" w:cs="仿宋"/>
          <w:sz w:val="24"/>
          <w:szCs w:val="24"/>
          <w:lang w:val="en-US"/>
        </w:rPr>
        <w:t>★</w:t>
      </w:r>
      <w:r>
        <w:rPr>
          <w:rFonts w:hint="eastAsia" w:ascii="仿宋" w:hAnsi="仿宋" w:eastAsia="仿宋" w:cs="仿宋"/>
          <w:b/>
          <w:sz w:val="24"/>
          <w:szCs w:val="24"/>
        </w:rPr>
        <w:t>项目管理及实施要求</w:t>
      </w:r>
    </w:p>
    <w:p>
      <w:pPr>
        <w:adjustRightInd w:val="0"/>
        <w:spacing w:beforeLines="0" w:afterLines="0" w:line="560" w:lineRule="exact"/>
        <w:ind w:right="45" w:firstLine="482" w:firstLineChars="200"/>
        <w:jc w:val="both"/>
        <w:rPr>
          <w:rFonts w:hint="eastAsia" w:ascii="仿宋" w:hAnsi="仿宋" w:eastAsia="仿宋" w:cs="仿宋"/>
          <w:b/>
          <w:sz w:val="24"/>
          <w:szCs w:val="24"/>
        </w:rPr>
      </w:pPr>
      <w:r>
        <w:rPr>
          <w:rFonts w:hint="eastAsia" w:ascii="仿宋" w:hAnsi="仿宋" w:eastAsia="仿宋" w:cs="仿宋"/>
          <w:b/>
          <w:sz w:val="24"/>
          <w:szCs w:val="24"/>
        </w:rPr>
        <w:t>（1）项目管理要求</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投标人需根据项目建设需要，设立相关组织机构，进行项目管理，包括但不限于项目的质量、进度、费用、安全、环保等过程的管理。</w:t>
      </w:r>
    </w:p>
    <w:p>
      <w:pPr>
        <w:adjustRightInd w:val="0"/>
        <w:spacing w:beforeLines="0" w:afterLines="0" w:line="560" w:lineRule="exact"/>
        <w:ind w:right="45" w:firstLine="482" w:firstLineChars="200"/>
        <w:jc w:val="both"/>
        <w:rPr>
          <w:rFonts w:hint="eastAsia" w:ascii="仿宋" w:hAnsi="仿宋" w:eastAsia="仿宋" w:cs="仿宋"/>
          <w:b/>
          <w:sz w:val="24"/>
          <w:szCs w:val="24"/>
        </w:rPr>
      </w:pPr>
      <w:r>
        <w:rPr>
          <w:rFonts w:hint="eastAsia" w:ascii="仿宋" w:hAnsi="仿宋" w:eastAsia="仿宋" w:cs="仿宋"/>
          <w:b/>
          <w:sz w:val="24"/>
          <w:szCs w:val="24"/>
        </w:rPr>
        <w:t>（2）项目实施要求</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投标人应按照“项目服务期”的时间要求制定详细的项目计划，计划中应包括主要里程碑，提交的文档名称及要求，阶段性验收条件等内容。</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中标人实施团队核心成员（项目经理、技术负责人等）应按照项目计划实施项目。</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7</w:t>
      </w:r>
      <w:r>
        <w:rPr>
          <w:rFonts w:hint="eastAsia" w:ascii="仿宋" w:hAnsi="仿宋" w:eastAsia="仿宋" w:cs="仿宋"/>
          <w:b/>
          <w:sz w:val="24"/>
          <w:szCs w:val="24"/>
        </w:rPr>
        <w:t>.4</w:t>
      </w:r>
      <w:r>
        <w:rPr>
          <w:rFonts w:hint="eastAsia" w:ascii="仿宋" w:hAnsi="仿宋" w:eastAsia="仿宋" w:cs="仿宋"/>
          <w:sz w:val="24"/>
          <w:szCs w:val="24"/>
          <w:lang w:val="en-US"/>
        </w:rPr>
        <w:t>★</w:t>
      </w:r>
      <w:r>
        <w:rPr>
          <w:rFonts w:hint="eastAsia" w:ascii="仿宋" w:hAnsi="仿宋" w:eastAsia="仿宋" w:cs="仿宋"/>
          <w:b/>
          <w:sz w:val="24"/>
          <w:szCs w:val="24"/>
        </w:rPr>
        <w:t>项目实施进度要求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中标人应在2022年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rPr>
        <w:t>30</w:t>
      </w:r>
      <w:r>
        <w:rPr>
          <w:rFonts w:hint="eastAsia" w:ascii="仿宋" w:hAnsi="仿宋" w:eastAsia="仿宋" w:cs="仿宋"/>
          <w:sz w:val="24"/>
          <w:szCs w:val="24"/>
        </w:rPr>
        <w:t>日前完成系统软硬件安装、联调联试并开通试运行。</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7.5</w:t>
      </w:r>
      <w:r>
        <w:rPr>
          <w:rFonts w:hint="eastAsia" w:ascii="仿宋" w:hAnsi="仿宋" w:eastAsia="仿宋" w:cs="仿宋"/>
          <w:b/>
          <w:sz w:val="24"/>
          <w:szCs w:val="24"/>
        </w:rPr>
        <w:t>技术</w:t>
      </w:r>
      <w:r>
        <w:rPr>
          <w:rFonts w:hint="eastAsia" w:ascii="仿宋" w:hAnsi="仿宋" w:eastAsia="仿宋" w:cs="仿宋"/>
          <w:b/>
          <w:sz w:val="24"/>
          <w:szCs w:val="24"/>
          <w:lang w:val="en-US"/>
        </w:rPr>
        <w:t>服务</w:t>
      </w:r>
      <w:r>
        <w:rPr>
          <w:rFonts w:hint="eastAsia" w:ascii="仿宋" w:hAnsi="仿宋" w:eastAsia="仿宋" w:cs="仿宋"/>
          <w:b/>
          <w:sz w:val="24"/>
          <w:szCs w:val="24"/>
        </w:rPr>
        <w:t>要求</w:t>
      </w:r>
    </w:p>
    <w:p>
      <w:pPr>
        <w:pStyle w:val="8"/>
        <w:numPr>
          <w:ilvl w:val="4"/>
          <w:numId w:val="27"/>
        </w:numPr>
        <w:spacing w:beforeLines="0" w:afterLines="0" w:line="560" w:lineRule="exact"/>
        <w:ind w:firstLine="316" w:firstLineChars="150"/>
        <w:jc w:val="both"/>
        <w:rPr>
          <w:rFonts w:hint="eastAsia" w:ascii="仿宋" w:hAnsi="仿宋" w:eastAsia="仿宋" w:cs="仿宋"/>
        </w:rPr>
      </w:pPr>
      <w:r>
        <w:rPr>
          <w:rFonts w:hint="eastAsia" w:ascii="仿宋" w:hAnsi="仿宋" w:eastAsia="仿宋" w:cs="仿宋"/>
          <w:lang w:val="en-US"/>
        </w:rPr>
        <w:t>7.5.1</w:t>
      </w:r>
      <w:r>
        <w:rPr>
          <w:rFonts w:hint="eastAsia" w:ascii="仿宋" w:hAnsi="仿宋" w:eastAsia="仿宋" w:cs="仿宋"/>
          <w:szCs w:val="21"/>
        </w:rPr>
        <w:t>▲</w:t>
      </w:r>
      <w:r>
        <w:rPr>
          <w:rFonts w:hint="eastAsia" w:ascii="仿宋" w:hAnsi="仿宋" w:eastAsia="仿宋" w:cs="仿宋"/>
        </w:rPr>
        <w:t>技术服务要求</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投标方应提供设备安装调试时所需的工程资料，投标方有责任在保证安全和质量的前提下提供技术服务，包括：技术咨询、技术资料等。</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在安装和调试期，招标方有权派出技术人员参加，投标方有义务对其进行指导。</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投标方应派有经验的专业人员进行项目实施的项目管理。投标方应详细描述其提供的项目管理内容。</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在系统试运行期间，根据需要投标方有责任派技术人员到现场指导维护工作。如因招标方提供的硬件设备、软件等原因或其他非投标方原因，导致系统在试运行期间出现故障或问题，投标方应作为该类故障的第一响应方，及时受理故障申告、进行应急处置以及协调相应供货厂商共同排除故障或处理问题。</w:t>
      </w:r>
    </w:p>
    <w:p>
      <w:pPr>
        <w:pStyle w:val="8"/>
        <w:numPr>
          <w:ilvl w:val="4"/>
          <w:numId w:val="27"/>
        </w:numPr>
        <w:spacing w:beforeLines="0" w:afterLines="0" w:line="560" w:lineRule="exact"/>
        <w:ind w:firstLine="315" w:firstLineChars="150"/>
        <w:jc w:val="both"/>
        <w:rPr>
          <w:rFonts w:hint="eastAsia" w:ascii="仿宋" w:hAnsi="仿宋" w:eastAsia="仿宋" w:cs="仿宋"/>
        </w:rPr>
      </w:pPr>
      <w:r>
        <w:rPr>
          <w:rFonts w:hint="eastAsia" w:ascii="仿宋" w:hAnsi="仿宋" w:eastAsia="仿宋" w:cs="仿宋"/>
        </w:rPr>
        <w:t>7.5.2</w:t>
      </w:r>
      <w:r>
        <w:rPr>
          <w:rFonts w:hint="eastAsia" w:ascii="仿宋" w:hAnsi="仿宋" w:eastAsia="仿宋" w:cs="仿宋"/>
          <w:szCs w:val="21"/>
        </w:rPr>
        <w:t>▲</w:t>
      </w:r>
      <w:r>
        <w:rPr>
          <w:rFonts w:hint="eastAsia" w:ascii="仿宋" w:hAnsi="仿宋" w:eastAsia="仿宋" w:cs="仿宋"/>
        </w:rPr>
        <w:t>售后服务及维保要求</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投标方应说明在项目所在地的工程技术维护机构、人员规模及服务模式等，并提供本地化技术支持及设备提供商原厂本地服务。</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投标方必须向招标方提供不少于6个月的免费运维期。免费运维期时间自双方代表在产品终验验收单上签字之日起计算。</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投标方必须向招标方提供设备硬件及软件不少于3年的免费质量保修期，质量保修期自双方代表在系统终验验收单上签字之日起计算。质量保修期内投标方需免费为用户提供软硬件（免费赠送设备及所有配件）、耗材更新、维修和更换服务，合同货物的原厂技术指导和维修服务，其中存储介质应提供免收回服务，软件应提供免费的软件升级服务和特征库升级服务。</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质量保修期内的服务时间要求7×24小时，自接到招标方报修电话后0.5小时电话响应，2小时到达现场，并在到达现场后4小时内排除故障或采用备品备件替代。</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质量保修期外的服务响应时间应满足7×24小时，自接到招标方报修电话后0.5小时电话响应，2小时到达现场，并在到达现场后4小时内排除故障或采用备品备件替代。质保期外的费用另行计取。</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本项目采购的软件应在使用寿命期内长期有效。</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rPr>
        <w:tab/>
      </w:r>
      <w:r>
        <w:rPr>
          <w:rFonts w:hint="eastAsia" w:ascii="仿宋" w:hAnsi="仿宋" w:eastAsia="仿宋" w:cs="仿宋"/>
          <w:sz w:val="24"/>
          <w:szCs w:val="24"/>
        </w:rPr>
        <w:t>投标方应提供备品备件服务，包括但不限于可供本项目使用的备品备件种类、数量等信息。提供招标方的备品备件应不低于损坏部件的性能、质量和数量。备品备件日常储备数量不低于本项目采购数量的10%。当部件需要返修时，应保证不影响招标方业务的正常运行，质量保修期内由投标方承担运费。</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rPr>
        <w:tab/>
      </w:r>
      <w:r>
        <w:rPr>
          <w:rFonts w:hint="eastAsia" w:ascii="仿宋" w:hAnsi="仿宋" w:eastAsia="仿宋" w:cs="仿宋"/>
          <w:sz w:val="24"/>
          <w:szCs w:val="24"/>
        </w:rPr>
        <w:t>投标方保证在质量保修期结束后，应向招标方提供备品、备件及维修服务，价格不高于投标书中货物、相关配件及服务的价格，并且不高于任何第三方的优惠价格。</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z w:val="24"/>
          <w:szCs w:val="24"/>
        </w:rPr>
        <w:tab/>
      </w:r>
      <w:r>
        <w:rPr>
          <w:rFonts w:hint="eastAsia" w:ascii="仿宋" w:hAnsi="仿宋" w:eastAsia="仿宋" w:cs="仿宋"/>
          <w:sz w:val="24"/>
          <w:szCs w:val="24"/>
        </w:rPr>
        <w:t>如遇重大网络安全事件，投标方应派遣足够数量的有经验的技术人员提供全程现场技术支撑。</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(10)</w:t>
      </w:r>
      <w:r>
        <w:rPr>
          <w:rFonts w:hint="eastAsia" w:ascii="仿宋" w:hAnsi="仿宋" w:eastAsia="仿宋" w:cs="仿宋"/>
          <w:sz w:val="24"/>
          <w:szCs w:val="24"/>
        </w:rPr>
        <w:tab/>
      </w:r>
      <w:r>
        <w:rPr>
          <w:rFonts w:hint="eastAsia" w:ascii="仿宋" w:hAnsi="仿宋" w:eastAsia="仿宋" w:cs="仿宋"/>
          <w:sz w:val="24"/>
          <w:szCs w:val="24"/>
        </w:rPr>
        <w:t>投标方应提供7×24小时的技术支持。投标方应说明提供技术服务的方式以及设备出现故障后的处理流程、响应时间、解决时间。在技术支持服务期间，投标方应承诺在系统发生故障的情况下，派技术人员赶赴现场。在技术支持服务期间，投标方是系统故障（包括投标方集成范围内的硬件设备、系统软件、应用软件等所有可能影响系统正常运行的故障）的第一响应方，向招标方提供一揽子的保修与维护服务。一旦系统发生故障，无论该故障是否因投标方原因引起，投标方均有义务第一时间响应招标方的故障申告，组织硬件设备厂商、应用软件开发单位等共同解决故障。</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rPr>
        <w:tab/>
      </w:r>
      <w:r>
        <w:rPr>
          <w:rFonts w:hint="eastAsia" w:ascii="仿宋" w:hAnsi="仿宋" w:eastAsia="仿宋" w:cs="仿宋"/>
          <w:sz w:val="24"/>
          <w:szCs w:val="24"/>
        </w:rPr>
        <w:t>投标方应视招标方需要提供系统运维服务。</w:t>
      </w:r>
    </w:p>
    <w:p>
      <w:pPr>
        <w:adjustRightInd w:val="0"/>
        <w:spacing w:beforeLines="0" w:afterLines="0" w:line="560" w:lineRule="exact"/>
        <w:ind w:right="45" w:firstLine="480" w:firstLineChars="200"/>
        <w:jc w:val="both"/>
        <w:rPr>
          <w:rFonts w:hint="eastAsia" w:ascii="仿宋" w:hAnsi="仿宋" w:eastAsia="仿宋" w:cs="仿宋"/>
          <w:sz w:val="24"/>
          <w:szCs w:val="24"/>
        </w:rPr>
      </w:pPr>
      <w:r>
        <w:rPr>
          <w:rFonts w:hint="eastAsia" w:ascii="仿宋" w:hAnsi="仿宋" w:eastAsia="仿宋" w:cs="仿宋"/>
          <w:sz w:val="24"/>
          <w:szCs w:val="24"/>
        </w:rPr>
        <w:t>(12)</w:t>
      </w:r>
      <w:r>
        <w:rPr>
          <w:rFonts w:hint="eastAsia" w:ascii="仿宋" w:hAnsi="仿宋" w:eastAsia="仿宋" w:cs="仿宋"/>
          <w:sz w:val="24"/>
          <w:szCs w:val="24"/>
        </w:rPr>
        <w:tab/>
      </w:r>
      <w:r>
        <w:rPr>
          <w:rFonts w:hint="eastAsia" w:ascii="仿宋" w:hAnsi="仿宋" w:eastAsia="仿宋" w:cs="仿宋"/>
          <w:sz w:val="24"/>
          <w:szCs w:val="24"/>
        </w:rPr>
        <w:t>投标方应根据本项目需求以及以往项目经验，提出售后服务保障方案，方案内容包含但不限于服务响应模式、服务方式支持情况、故障响应保障方式等等。</w:t>
      </w:r>
    </w:p>
    <w:p>
      <w:pPr>
        <w:spacing w:beforeLines="0" w:afterLines="0" w:line="560" w:lineRule="exact"/>
        <w:ind w:firstLine="420"/>
        <w:jc w:val="both"/>
        <w:outlineLvl w:val="3"/>
        <w:rPr>
          <w:rFonts w:hint="eastAsia" w:ascii="仿宋" w:hAnsi="仿宋" w:eastAsia="仿宋" w:cs="仿宋"/>
          <w:b/>
          <w:sz w:val="24"/>
          <w:szCs w:val="24"/>
          <w:lang w:val="en-US"/>
        </w:rPr>
      </w:pPr>
      <w:r>
        <w:rPr>
          <w:rFonts w:hint="eastAsia" w:ascii="仿宋" w:hAnsi="仿宋" w:eastAsia="仿宋" w:cs="仿宋"/>
          <w:b/>
          <w:sz w:val="24"/>
          <w:szCs w:val="24"/>
          <w:lang w:val="en-US"/>
        </w:rPr>
        <w:t>7.6</w:t>
      </w:r>
      <w:r>
        <w:rPr>
          <w:rFonts w:hint="eastAsia" w:ascii="仿宋" w:hAnsi="仿宋" w:eastAsia="仿宋" w:cs="仿宋"/>
          <w:bCs/>
          <w:szCs w:val="21"/>
          <w:lang w:val="en-US"/>
        </w:rPr>
        <w:t>▲</w:t>
      </w:r>
      <w:r>
        <w:rPr>
          <w:rFonts w:hint="eastAsia" w:ascii="仿宋" w:hAnsi="仿宋" w:eastAsia="仿宋" w:cs="仿宋"/>
          <w:b/>
          <w:sz w:val="24"/>
          <w:szCs w:val="24"/>
          <w:lang w:val="en-US"/>
        </w:rPr>
        <w:t>投标单位其他能力要求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（1）互联网互联互通理解要求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投标供应商应对我国互联网互联互通基础设施有深入理解，近三年承接过部省级互联网互联互通基础设施（互联网骨干直联点或新型互联网交换中心）研究项目。</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rPr>
        <w:t>2</w:t>
      </w:r>
      <w:r>
        <w:rPr>
          <w:rFonts w:hint="eastAsia" w:ascii="仿宋" w:hAnsi="仿宋" w:eastAsia="仿宋" w:cs="仿宋"/>
          <w:sz w:val="24"/>
          <w:szCs w:val="24"/>
        </w:rPr>
        <w:t>）参与起草已发布标准中互联网网间监测或质量测量相关标准规范，以起草单位参与标准制定，提供行业标准机构官网（http://www.ccsa.org.cn/bzcx）截图；</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rPr>
        <w:t>3</w:t>
      </w:r>
      <w:r>
        <w:rPr>
          <w:rFonts w:hint="eastAsia" w:ascii="仿宋" w:hAnsi="仿宋" w:eastAsia="仿宋" w:cs="仿宋"/>
          <w:sz w:val="24"/>
          <w:szCs w:val="24"/>
        </w:rPr>
        <w:t>）参与起草已发布标准中网络安全相关行业标准编制，以起草单位参与标准制定，提供行业标准机构官网（http://www.ccsa.org.cn/bzcx）截图。</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7.7</w:t>
      </w:r>
      <w:r>
        <w:rPr>
          <w:rFonts w:hint="eastAsia" w:ascii="仿宋" w:hAnsi="仿宋" w:eastAsia="仿宋" w:cs="仿宋"/>
          <w:b/>
          <w:sz w:val="24"/>
          <w:szCs w:val="24"/>
        </w:rPr>
        <w:t>组织管理要求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（1）投标人需根据本项目实际需求，合理配置领导管理、组织实施、项目运维等方面的人员，保障项目的高效、高标准组织实施，确保项目按期完成。</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2）投标人需为本项目建立一个完善和稳定的管理组织机构，投入本项目的管理开发团队应具有较强项目管理能力、技术研发实力和行业实施经验，具有优秀的服务意识，具备制定数据接口规范等技术标准规范的能力。</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7.8</w:t>
      </w:r>
      <w:r>
        <w:rPr>
          <w:rFonts w:hint="eastAsia" w:ascii="仿宋" w:hAnsi="仿宋" w:eastAsia="仿宋" w:cs="仿宋"/>
          <w:szCs w:val="21"/>
        </w:rPr>
        <w:t>▲</w:t>
      </w:r>
      <w:r>
        <w:rPr>
          <w:rFonts w:hint="eastAsia" w:ascii="仿宋" w:hAnsi="仿宋" w:eastAsia="仿宋" w:cs="仿宋"/>
          <w:b/>
          <w:sz w:val="24"/>
          <w:szCs w:val="24"/>
        </w:rPr>
        <w:t>培训要求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投标方应提供现场技术培训或技术讲座。培训具体内容应至少包括基础理论培训和实践技能培训两种。培训目标是使招标方受培训人员能够了解集成施工的相关情况，掌握采购的软硬件设备及有关系统维护的相关知识，解决日常的配置、使用、维护等工作需要，保障系统正常运行和相关业务的顺利开展。</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投标方需针对用户需求，按照领导、系统管理员、技术员、普通用户等不同角色安排不同的培训课程。投标方面向系统管理员的课程必须包括但不限于应用软件系统结构和设计。</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提供的培训次数不少于5期，每期培训时间不少于1天。</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对于提供的培训，投标方必须保证师资力量，主要培训教员应有相应的专业资格和实际工作经历。所有培训必须使用中文教学，否则投标方必须免费提供相应的翻译。</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投标方应根据实际情况，详细制定人员培训方案，培训方案应包括培训目的、培训时间安排、人数、次数、教材（列出培训教材基本内容）、培训课程（包括课程介绍）、培训师资情况（包括教师简历、培训组织方式等）。</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招标方有权对投标方的培训形式、培训内容进行选择。</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rPr>
        <w:tab/>
      </w:r>
      <w:r>
        <w:rPr>
          <w:rFonts w:hint="eastAsia" w:ascii="仿宋" w:hAnsi="仿宋" w:eastAsia="仿宋" w:cs="仿宋"/>
          <w:sz w:val="24"/>
          <w:szCs w:val="24"/>
        </w:rPr>
        <w:t>所有培训均应免费提供且须在本项目最终验收前完成。</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7.9</w:t>
      </w:r>
      <w:r>
        <w:rPr>
          <w:rFonts w:hint="eastAsia" w:ascii="仿宋" w:hAnsi="仿宋" w:eastAsia="仿宋" w:cs="仿宋"/>
          <w:szCs w:val="21"/>
        </w:rPr>
        <w:t>▲</w:t>
      </w:r>
      <w:r>
        <w:rPr>
          <w:rFonts w:hint="eastAsia" w:ascii="仿宋" w:hAnsi="仿宋" w:eastAsia="仿宋" w:cs="仿宋"/>
          <w:b/>
          <w:sz w:val="24"/>
          <w:szCs w:val="24"/>
        </w:rPr>
        <w:t>测试方案、进度控制计划</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供应商应提供项目实施计划、测试方案等，方案应完整、符合质量管理体系规范要求，可行性高。</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7.10</w:t>
      </w:r>
      <w:r>
        <w:rPr>
          <w:rFonts w:hint="eastAsia" w:ascii="仿宋" w:hAnsi="仿宋" w:eastAsia="仿宋" w:cs="仿宋"/>
          <w:szCs w:val="21"/>
        </w:rPr>
        <w:t>▲</w:t>
      </w:r>
      <w:r>
        <w:rPr>
          <w:rFonts w:hint="eastAsia" w:ascii="仿宋" w:hAnsi="仿宋" w:eastAsia="仿宋" w:cs="仿宋"/>
          <w:b/>
          <w:sz w:val="24"/>
          <w:szCs w:val="24"/>
        </w:rPr>
        <w:t>技术</w:t>
      </w:r>
      <w:r>
        <w:rPr>
          <w:rFonts w:hint="eastAsia" w:ascii="仿宋" w:hAnsi="仿宋" w:eastAsia="仿宋" w:cs="仿宋"/>
          <w:b/>
          <w:sz w:val="24"/>
          <w:szCs w:val="24"/>
          <w:lang w:val="en-US"/>
        </w:rPr>
        <w:t>资料</w:t>
      </w:r>
      <w:r>
        <w:rPr>
          <w:rFonts w:hint="eastAsia" w:ascii="仿宋" w:hAnsi="仿宋" w:eastAsia="仿宋" w:cs="仿宋"/>
          <w:b/>
          <w:sz w:val="24"/>
          <w:szCs w:val="24"/>
        </w:rPr>
        <w:t>要求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投标方提供的技术资料应能满足确保系统正常运行所需的管理、运营及维护有关的全套文件。投标方提供的技术文件至少应包括（但不限于）：</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技术建议书。必须包括建设方案、设备配置方案、系统集成方案、项目实施方案、测试方案、验收方案等内容。</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工程进度计划表。根据项目建设的流程、各工序的先后关系和各工序所需时间，制定详细的工程进度计划表。</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(3) 培训、维修和服务计划。培训计划中必须给出培训的人数、内容、时间、地点、方式、达到的目标等。技术服务计划必须包括技术承诺、工程技术服务、保修服务、维修服务、技术支持服务方案等。</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(4) 投标软硬件设备的产品手册、技术文件等。</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(5) 其他业主工程管理规范所包含的文档。</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(6) 投标方应在投标文件/应答文件中列出提供的技术资料详细清单。</w:t>
      </w:r>
    </w:p>
    <w:p>
      <w:pPr>
        <w:spacing w:beforeLines="0" w:afterLines="0" w:line="560" w:lineRule="exact"/>
        <w:ind w:firstLine="420"/>
        <w:jc w:val="both"/>
        <w:outlineLvl w:val="3"/>
        <w:rPr>
          <w:rFonts w:hint="eastAsia" w:ascii="仿宋" w:hAnsi="仿宋" w:eastAsia="仿宋" w:cs="仿宋"/>
          <w:b/>
          <w:sz w:val="24"/>
          <w:szCs w:val="24"/>
        </w:rPr>
      </w:pPr>
      <w:r>
        <w:rPr>
          <w:rFonts w:hint="eastAsia" w:ascii="仿宋" w:hAnsi="仿宋" w:eastAsia="仿宋" w:cs="仿宋"/>
          <w:b/>
          <w:sz w:val="24"/>
          <w:szCs w:val="24"/>
          <w:lang w:val="en-US"/>
        </w:rPr>
        <w:t>7.11</w:t>
      </w:r>
      <w:r>
        <w:rPr>
          <w:rFonts w:hint="eastAsia" w:ascii="仿宋" w:hAnsi="仿宋" w:eastAsia="仿宋" w:cs="仿宋"/>
          <w:b/>
          <w:sz w:val="24"/>
          <w:szCs w:val="24"/>
        </w:rPr>
        <w:t>协作要求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本项目对投标方与相关单位及监理的协作配合提出如下要求：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本项目将实行全过程监理，投标方需要配合监理方工作。</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投标方在中标后，应允许招标方指定相应人员参与本项目的软件系统研发、硬件安装部署等工作，并在实施方案中提出协同工作计划。</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完成与本项目有关的招标方单位提出的其他任务。</w:t>
      </w:r>
    </w:p>
    <w:p>
      <w:pPr>
        <w:spacing w:beforeLines="0" w:afterLines="0" w:line="560" w:lineRule="exact"/>
        <w:ind w:firstLine="482" w:firstLineChars="200"/>
        <w:jc w:val="both"/>
        <w:outlineLvl w:val="2"/>
        <w:rPr>
          <w:rFonts w:hint="eastAsia" w:ascii="仿宋" w:hAnsi="仿宋" w:eastAsia="仿宋" w:cs="仿宋"/>
          <w:b/>
          <w:bCs/>
          <w:color w:val="000000"/>
          <w:sz w:val="24"/>
          <w:szCs w:val="24"/>
        </w:rPr>
      </w:pPr>
      <w:bookmarkStart w:id="12" w:name="_Toc80710131"/>
      <w:bookmarkStart w:id="13" w:name="_Toc81143992"/>
      <w:r>
        <w:rPr>
          <w:rFonts w:hint="eastAsia" w:ascii="仿宋" w:hAnsi="仿宋" w:eastAsia="仿宋" w:cs="仿宋"/>
          <w:b/>
          <w:bCs/>
          <w:sz w:val="24"/>
          <w:szCs w:val="24"/>
          <w:lang w:val="en-US"/>
        </w:rPr>
        <w:t>8、</w:t>
      </w:r>
      <w:r>
        <w:rPr>
          <w:rFonts w:hint="eastAsia" w:ascii="仿宋" w:hAnsi="仿宋" w:eastAsia="仿宋" w:cs="仿宋"/>
          <w:b/>
          <w:bCs/>
          <w:color w:val="000000"/>
          <w:sz w:val="24"/>
          <w:szCs w:val="24"/>
        </w:rPr>
        <w:t>设备、软件</w:t>
      </w:r>
      <w:r>
        <w:rPr>
          <w:rFonts w:hint="eastAsia" w:ascii="仿宋" w:hAnsi="仿宋" w:eastAsia="仿宋" w:cs="仿宋"/>
          <w:b/>
          <w:bCs/>
          <w:sz w:val="24"/>
          <w:szCs w:val="24"/>
        </w:rPr>
        <w:t>、</w:t>
      </w:r>
      <w:r>
        <w:rPr>
          <w:rFonts w:hint="eastAsia" w:ascii="仿宋" w:hAnsi="仿宋" w:eastAsia="仿宋" w:cs="仿宋"/>
          <w:b/>
          <w:bCs/>
          <w:sz w:val="24"/>
          <w:szCs w:val="24"/>
          <w:lang w:val="en-US"/>
        </w:rPr>
        <w:t>配套</w:t>
      </w:r>
      <w:r>
        <w:rPr>
          <w:rFonts w:hint="eastAsia" w:ascii="仿宋" w:hAnsi="仿宋" w:eastAsia="仿宋" w:cs="仿宋"/>
          <w:b/>
          <w:bCs/>
          <w:color w:val="000000"/>
          <w:sz w:val="24"/>
          <w:szCs w:val="24"/>
        </w:rPr>
        <w:t>及服务</w:t>
      </w:r>
      <w:r>
        <w:rPr>
          <w:rFonts w:hint="eastAsia" w:ascii="仿宋" w:hAnsi="仿宋" w:eastAsia="仿宋" w:cs="仿宋"/>
          <w:b/>
          <w:bCs/>
          <w:color w:val="000000"/>
          <w:sz w:val="24"/>
          <w:szCs w:val="24"/>
          <w:lang w:val="en-US"/>
        </w:rPr>
        <w:t>采购</w:t>
      </w:r>
      <w:r>
        <w:rPr>
          <w:rFonts w:hint="eastAsia" w:ascii="仿宋" w:hAnsi="仿宋" w:eastAsia="仿宋" w:cs="仿宋"/>
          <w:b/>
          <w:bCs/>
          <w:color w:val="000000"/>
          <w:sz w:val="24"/>
          <w:szCs w:val="24"/>
        </w:rPr>
        <w:t>需求</w:t>
      </w:r>
      <w:bookmarkEnd w:id="12"/>
      <w:bookmarkEnd w:id="13"/>
    </w:p>
    <w:p>
      <w:pPr>
        <w:spacing w:beforeLines="0" w:afterLines="0" w:line="560" w:lineRule="exact"/>
        <w:ind w:firstLine="482" w:firstLineChars="200"/>
        <w:jc w:val="both"/>
        <w:outlineLvl w:val="3"/>
        <w:rPr>
          <w:rFonts w:hint="eastAsia" w:ascii="仿宋" w:hAnsi="仿宋" w:eastAsia="仿宋" w:cs="仿宋"/>
          <w:b/>
          <w:bCs/>
          <w:sz w:val="24"/>
          <w:szCs w:val="24"/>
        </w:rPr>
      </w:pPr>
      <w:r>
        <w:rPr>
          <w:rFonts w:hint="eastAsia" w:ascii="仿宋" w:hAnsi="仿宋" w:eastAsia="仿宋" w:cs="仿宋"/>
          <w:b/>
          <w:bCs/>
          <w:sz w:val="24"/>
          <w:szCs w:val="24"/>
          <w:lang w:val="en-US"/>
        </w:rPr>
        <w:t>8.1</w:t>
      </w:r>
      <w:r>
        <w:rPr>
          <w:rFonts w:hint="eastAsia" w:ascii="仿宋" w:hAnsi="仿宋" w:eastAsia="仿宋" w:cs="仿宋"/>
          <w:b/>
          <w:bCs/>
          <w:sz w:val="24"/>
          <w:szCs w:val="24"/>
        </w:rPr>
        <w:t>硬件设备需求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本项目需向投标人采购设备的一般性技术要求如下：</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（1）能支持本期工程业务功能，并符合国家相关技术规范。</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（2）与国内各通信基础电信企业现网所采用的设备具有良好的兼容性。</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（3）业务处理能力强，并且安全可靠。</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（4）系统便于以后的扩充和发展，可实现平滑升级扩容。</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（5）设备的硬件维护管理方便。</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（6）良好的性能价格比。</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（7）满足本期工程进度需求。</w:t>
      </w:r>
    </w:p>
    <w:p>
      <w:pPr>
        <w:adjustRightInd w:val="0"/>
        <w:spacing w:beforeLines="0" w:afterLines="0" w:line="560" w:lineRule="exact"/>
        <w:ind w:right="47" w:firstLine="480" w:firstLineChars="200"/>
        <w:jc w:val="both"/>
        <w:rPr>
          <w:rFonts w:hint="eastAsia" w:ascii="仿宋" w:hAnsi="仿宋" w:eastAsia="仿宋" w:cs="仿宋"/>
          <w:sz w:val="24"/>
          <w:szCs w:val="24"/>
        </w:rPr>
      </w:pPr>
      <w:r>
        <w:rPr>
          <w:rFonts w:hint="eastAsia" w:ascii="仿宋" w:hAnsi="仿宋" w:eastAsia="仿宋" w:cs="仿宋"/>
          <w:sz w:val="24"/>
          <w:szCs w:val="24"/>
        </w:rPr>
        <w:t>（8）凡是国产设备和国产芯片能够满足需要的则全部采用国产设备和国产芯片。</w:t>
      </w:r>
    </w:p>
    <w:p>
      <w:pPr>
        <w:adjustRightInd w:val="0"/>
        <w:spacing w:beforeLines="0" w:afterLines="0" w:line="560" w:lineRule="exact"/>
        <w:ind w:right="47" w:firstLine="440" w:firstLineChars="200"/>
        <w:jc w:val="both"/>
        <w:rPr>
          <w:rFonts w:hint="eastAsia" w:ascii="仿宋" w:hAnsi="仿宋" w:eastAsia="仿宋" w:cs="仿宋"/>
          <w:lang w:val="en-US"/>
        </w:rPr>
      </w:pPr>
      <w:r>
        <w:rPr>
          <w:rFonts w:hint="eastAsia" w:ascii="仿宋" w:hAnsi="仿宋" w:eastAsia="仿宋" w:cs="仿宋"/>
        </w:rPr>
        <w:t>（</w:t>
      </w:r>
      <w:r>
        <w:rPr>
          <w:rFonts w:hint="eastAsia" w:ascii="仿宋" w:hAnsi="仿宋" w:eastAsia="仿宋" w:cs="仿宋"/>
          <w:lang w:val="en-US"/>
        </w:rPr>
        <w:t>9</w:t>
      </w:r>
      <w:r>
        <w:rPr>
          <w:rFonts w:hint="eastAsia" w:ascii="仿宋" w:hAnsi="仿宋" w:eastAsia="仿宋" w:cs="仿宋"/>
        </w:rPr>
        <w:t>）</w:t>
      </w:r>
      <w:r>
        <w:rPr>
          <w:rFonts w:hint="eastAsia" w:ascii="仿宋" w:hAnsi="仿宋" w:eastAsia="仿宋" w:cs="仿宋"/>
          <w:sz w:val="24"/>
          <w:szCs w:val="24"/>
        </w:rPr>
        <w:t>本项目设备部署机房配置机柜均采用IEC C13(10A)和IEC C19(16A）PDU，各设备均需配置对应的IEC对插头。</w:t>
      </w:r>
    </w:p>
    <w:p>
      <w:pPr>
        <w:adjustRightInd w:val="0"/>
        <w:ind w:right="47" w:firstLine="480" w:firstLineChars="200"/>
        <w:jc w:val="center"/>
        <w:rPr>
          <w:sz w:val="24"/>
          <w:szCs w:val="24"/>
        </w:rPr>
      </w:pPr>
      <w:r>
        <w:rPr>
          <w:rFonts w:hint="eastAsia"/>
          <w:sz w:val="24"/>
          <w:szCs w:val="24"/>
        </w:rPr>
        <w:t>硬件采购产品一览表</w:t>
      </w:r>
    </w:p>
    <w:tbl>
      <w:tblPr>
        <w:tblStyle w:val="56"/>
        <w:tblW w:w="885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79"/>
        <w:gridCol w:w="2923"/>
        <w:gridCol w:w="2923"/>
        <w:gridCol w:w="980"/>
        <w:gridCol w:w="105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blHeader/>
          <w:jc w:val="center"/>
        </w:trPr>
        <w:tc>
          <w:tcPr>
            <w:tcW w:w="979"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序号</w:t>
            </w:r>
          </w:p>
        </w:tc>
        <w:tc>
          <w:tcPr>
            <w:tcW w:w="2923"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类型</w:t>
            </w:r>
          </w:p>
        </w:tc>
        <w:tc>
          <w:tcPr>
            <w:tcW w:w="2923"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名称</w:t>
            </w:r>
          </w:p>
        </w:tc>
        <w:tc>
          <w:tcPr>
            <w:tcW w:w="980"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单位</w:t>
            </w:r>
          </w:p>
        </w:tc>
        <w:tc>
          <w:tcPr>
            <w:tcW w:w="1051"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数量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979"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2923" w:type="dxa"/>
            <w:vMerge w:val="restart"/>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服务器和计算设备</w:t>
            </w:r>
          </w:p>
        </w:tc>
        <w:tc>
          <w:tcPr>
            <w:tcW w:w="2923"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服务器1</w:t>
            </w:r>
          </w:p>
        </w:tc>
        <w:tc>
          <w:tcPr>
            <w:tcW w:w="980"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shd w:val="clear" w:color="auto" w:fill="FFFFFF"/>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 xml:space="preserve">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2923" w:type="dxa"/>
            <w:vMerge w:val="continue"/>
            <w:shd w:val="clear" w:color="auto" w:fill="auto"/>
            <w:vAlign w:val="center"/>
          </w:tcPr>
          <w:p>
            <w:pPr>
              <w:widowControl/>
              <w:rPr>
                <w:rFonts w:ascii="Times New Roman" w:hAnsi="Times New Roman" w:cs="Times New Roman"/>
                <w:color w:val="000000"/>
                <w:sz w:val="24"/>
                <w:szCs w:val="24"/>
                <w:lang w:val="en-US" w:bidi="ar-SA"/>
              </w:rPr>
            </w:pPr>
          </w:p>
        </w:tc>
        <w:tc>
          <w:tcPr>
            <w:tcW w:w="2923"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服务器2</w:t>
            </w:r>
          </w:p>
        </w:tc>
        <w:tc>
          <w:tcPr>
            <w:tcW w:w="980"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shd w:val="clear" w:color="auto" w:fill="FFFFFF"/>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 xml:space="preserve">19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p>
        </w:tc>
        <w:tc>
          <w:tcPr>
            <w:tcW w:w="2923" w:type="dxa"/>
            <w:vMerge w:val="continue"/>
            <w:shd w:val="clear" w:color="auto" w:fill="auto"/>
            <w:vAlign w:val="center"/>
          </w:tcPr>
          <w:p>
            <w:pPr>
              <w:widowControl/>
              <w:rPr>
                <w:rFonts w:ascii="Times New Roman" w:hAnsi="Times New Roman" w:cs="Times New Roman"/>
                <w:color w:val="000000"/>
                <w:sz w:val="24"/>
                <w:szCs w:val="24"/>
                <w:lang w:val="en-US" w:bidi="ar-SA"/>
              </w:rPr>
            </w:pPr>
          </w:p>
        </w:tc>
        <w:tc>
          <w:tcPr>
            <w:tcW w:w="2923"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服务器3</w:t>
            </w:r>
          </w:p>
        </w:tc>
        <w:tc>
          <w:tcPr>
            <w:tcW w:w="980"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shd w:val="clear" w:color="auto" w:fill="FFFFFF"/>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 xml:space="preserve">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w:t>
            </w:r>
          </w:p>
        </w:tc>
        <w:tc>
          <w:tcPr>
            <w:tcW w:w="2923" w:type="dxa"/>
            <w:vMerge w:val="continue"/>
            <w:shd w:val="clear" w:color="auto" w:fill="auto"/>
            <w:vAlign w:val="center"/>
          </w:tcPr>
          <w:p>
            <w:pPr>
              <w:widowControl/>
              <w:rPr>
                <w:rFonts w:ascii="Times New Roman" w:hAnsi="Times New Roman" w:cs="Times New Roman"/>
                <w:color w:val="000000"/>
                <w:sz w:val="24"/>
                <w:szCs w:val="24"/>
                <w:lang w:val="en-US" w:bidi="ar-SA"/>
              </w:rPr>
            </w:pPr>
          </w:p>
        </w:tc>
        <w:tc>
          <w:tcPr>
            <w:tcW w:w="2923"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服务器4</w:t>
            </w:r>
          </w:p>
        </w:tc>
        <w:tc>
          <w:tcPr>
            <w:tcW w:w="980"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shd w:val="clear" w:color="auto" w:fill="FFFFFF"/>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5</w:t>
            </w:r>
          </w:p>
        </w:tc>
        <w:tc>
          <w:tcPr>
            <w:tcW w:w="2923" w:type="dxa"/>
            <w:vMerge w:val="continue"/>
            <w:shd w:val="clear" w:color="auto" w:fill="auto"/>
            <w:vAlign w:val="center"/>
          </w:tcPr>
          <w:p>
            <w:pPr>
              <w:widowControl/>
              <w:rPr>
                <w:rFonts w:ascii="Times New Roman" w:hAnsi="Times New Roman" w:cs="Times New Roman"/>
                <w:color w:val="000000"/>
                <w:sz w:val="24"/>
                <w:szCs w:val="24"/>
                <w:lang w:val="en-US" w:bidi="ar-SA"/>
              </w:rPr>
            </w:pPr>
          </w:p>
        </w:tc>
        <w:tc>
          <w:tcPr>
            <w:tcW w:w="2923"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服务器5</w:t>
            </w:r>
          </w:p>
        </w:tc>
        <w:tc>
          <w:tcPr>
            <w:tcW w:w="980"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shd w:val="clear" w:color="auto" w:fill="FFFFFF"/>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6</w:t>
            </w:r>
          </w:p>
        </w:tc>
        <w:tc>
          <w:tcPr>
            <w:tcW w:w="2923" w:type="dxa"/>
            <w:vMerge w:val="continue"/>
            <w:shd w:val="clear" w:color="auto" w:fill="auto"/>
            <w:vAlign w:val="center"/>
          </w:tcPr>
          <w:p>
            <w:pPr>
              <w:widowControl/>
              <w:rPr>
                <w:rFonts w:ascii="Times New Roman" w:hAnsi="Times New Roman" w:cs="Times New Roman"/>
                <w:color w:val="000000"/>
                <w:sz w:val="24"/>
                <w:szCs w:val="24"/>
                <w:lang w:val="en-US" w:bidi="ar-SA"/>
              </w:rPr>
            </w:pPr>
          </w:p>
        </w:tc>
        <w:tc>
          <w:tcPr>
            <w:tcW w:w="2923"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服务器6</w:t>
            </w:r>
          </w:p>
        </w:tc>
        <w:tc>
          <w:tcPr>
            <w:tcW w:w="980"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shd w:val="clear" w:color="auto" w:fill="FFFFFF"/>
            <w:vAlign w:val="center"/>
          </w:tcPr>
          <w:p>
            <w:pPr>
              <w:widowControl/>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bidi="ar-SA"/>
              </w:rPr>
              <w:t>3</w:t>
            </w:r>
            <w:r>
              <w:rPr>
                <w:rFonts w:hint="eastAsia" w:ascii="Times New Roman" w:hAnsi="Times New Roman" w:cs="Times New Roman"/>
                <w:color w:val="000000"/>
                <w:sz w:val="24"/>
                <w:szCs w:val="24"/>
                <w:lang w:val="en-US" w:eastAsia="zh-CN" w:bidi="ar-SA"/>
              </w:rPr>
              <w:t>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7</w:t>
            </w:r>
          </w:p>
        </w:tc>
        <w:tc>
          <w:tcPr>
            <w:tcW w:w="2923" w:type="dxa"/>
            <w:vMerge w:val="continue"/>
            <w:shd w:val="clear" w:color="auto" w:fill="auto"/>
            <w:vAlign w:val="center"/>
          </w:tcPr>
          <w:p>
            <w:pPr>
              <w:widowControl/>
              <w:rPr>
                <w:rFonts w:ascii="Times New Roman" w:hAnsi="Times New Roman" w:cs="Times New Roman"/>
                <w:color w:val="000000"/>
                <w:sz w:val="24"/>
                <w:szCs w:val="24"/>
                <w:lang w:val="en-US" w:bidi="ar-SA"/>
              </w:rPr>
            </w:pPr>
          </w:p>
        </w:tc>
        <w:tc>
          <w:tcPr>
            <w:tcW w:w="2923"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服务器7</w:t>
            </w:r>
          </w:p>
        </w:tc>
        <w:tc>
          <w:tcPr>
            <w:tcW w:w="980"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shd w:val="clear" w:color="auto" w:fill="FFFFFF"/>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8</w:t>
            </w:r>
          </w:p>
        </w:tc>
        <w:tc>
          <w:tcPr>
            <w:tcW w:w="2923" w:type="dxa"/>
            <w:vMerge w:val="continue"/>
            <w:shd w:val="clear" w:color="auto" w:fill="auto"/>
            <w:vAlign w:val="center"/>
          </w:tcPr>
          <w:p>
            <w:pPr>
              <w:widowControl/>
              <w:rPr>
                <w:rFonts w:ascii="Times New Roman" w:hAnsi="Times New Roman" w:cs="Times New Roman"/>
                <w:color w:val="000000"/>
                <w:sz w:val="24"/>
                <w:szCs w:val="24"/>
                <w:lang w:val="en-US" w:bidi="ar-SA"/>
              </w:rPr>
            </w:pPr>
          </w:p>
        </w:tc>
        <w:tc>
          <w:tcPr>
            <w:tcW w:w="2923"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服务器8</w:t>
            </w:r>
          </w:p>
        </w:tc>
        <w:tc>
          <w:tcPr>
            <w:tcW w:w="980" w:type="dxa"/>
            <w:shd w:val="clear" w:color="auto" w:fill="auto"/>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shd w:val="clear" w:color="auto" w:fill="FFFFFF"/>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9</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操作终端PC机</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47"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10</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操作终端笔记本</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11</w:t>
            </w:r>
          </w:p>
        </w:tc>
        <w:tc>
          <w:tcPr>
            <w:tcW w:w="2923"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网络设备</w:t>
            </w: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路由器</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12</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交换机1</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13</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交换机2</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14</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交换机3</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15</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交换机4</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16</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交换机5</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r>
              <w:rPr>
                <w:rFonts w:hint="eastAsia" w:ascii="Times New Roman" w:hAnsi="Times New Roman" w:cs="Times New Roman"/>
                <w:color w:val="000000"/>
                <w:sz w:val="24"/>
                <w:szCs w:val="24"/>
                <w:lang w:val="en-US" w:bidi="ar-SA"/>
              </w:rPr>
              <w:t>7</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w:t>
            </w:r>
            <w:r>
              <w:rPr>
                <w:rFonts w:hint="eastAsia" w:ascii="Times New Roman" w:hAnsi="Times New Roman" w:cs="Times New Roman"/>
                <w:color w:val="000000"/>
                <w:sz w:val="24"/>
                <w:szCs w:val="24"/>
                <w:lang w:val="en-US" w:bidi="ar-SA"/>
              </w:rPr>
              <w:t>6</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18</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w:t>
            </w:r>
            <w:r>
              <w:rPr>
                <w:rFonts w:hint="eastAsia" w:ascii="Times New Roman" w:hAnsi="Times New Roman" w:cs="Times New Roman"/>
                <w:color w:val="000000"/>
                <w:sz w:val="24"/>
                <w:szCs w:val="24"/>
                <w:lang w:val="en-US" w:bidi="ar-SA"/>
              </w:rPr>
              <w:t>7</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0"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w:t>
            </w:r>
          </w:p>
        </w:tc>
        <w:tc>
          <w:tcPr>
            <w:tcW w:w="2923"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存储设备</w:t>
            </w: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光纤交换机</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21</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存储阵列</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4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22</w:t>
            </w:r>
          </w:p>
        </w:tc>
        <w:tc>
          <w:tcPr>
            <w:tcW w:w="2923"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专用设备</w:t>
            </w: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汇聚分流设备</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23</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被动监测设备</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26</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时间同步设备</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27</w:t>
            </w:r>
          </w:p>
        </w:tc>
        <w:tc>
          <w:tcPr>
            <w:tcW w:w="2923"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安全设备</w:t>
            </w: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防火墙</w:t>
            </w:r>
            <w:r>
              <w:rPr>
                <w:rFonts w:hint="eastAsia" w:ascii="Times New Roman" w:hAnsi="Times New Roman" w:cs="Times New Roman"/>
                <w:color w:val="000000"/>
                <w:sz w:val="24"/>
                <w:szCs w:val="24"/>
                <w:lang w:val="en-US" w:bidi="ar-SA"/>
              </w:rPr>
              <w:t>1</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3"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28</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防火墙</w:t>
            </w:r>
            <w:r>
              <w:rPr>
                <w:rFonts w:hint="eastAsia" w:ascii="Times New Roman" w:hAnsi="Times New Roman" w:cs="Times New Roman"/>
                <w:color w:val="000000"/>
                <w:sz w:val="24"/>
                <w:szCs w:val="24"/>
                <w:lang w:val="en-US" w:bidi="ar-SA"/>
              </w:rPr>
              <w:t>2</w:t>
            </w:r>
          </w:p>
        </w:tc>
        <w:tc>
          <w:tcPr>
            <w:tcW w:w="980"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3"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29</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网络入侵防御设备</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98"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30</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数据库审计系统</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59"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31</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日志审计系统</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32</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堡垒机</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33</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VPN设备</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87"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r>
              <w:rPr>
                <w:rFonts w:hint="eastAsia" w:ascii="Times New Roman" w:hAnsi="Times New Roman" w:cs="Times New Roman"/>
                <w:color w:val="000000"/>
                <w:sz w:val="24"/>
                <w:szCs w:val="24"/>
                <w:lang w:val="en-US" w:bidi="ar-SA"/>
              </w:rPr>
              <w:t>4</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数字证书认证系统</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3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r>
              <w:rPr>
                <w:rFonts w:hint="eastAsia" w:ascii="Times New Roman" w:hAnsi="Times New Roman" w:cs="Times New Roman"/>
                <w:color w:val="000000"/>
                <w:sz w:val="24"/>
                <w:szCs w:val="24"/>
                <w:lang w:val="en-US" w:bidi="ar-SA"/>
              </w:rPr>
              <w:t>5</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WEB应用防火墙</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r>
              <w:rPr>
                <w:rFonts w:hint="eastAsia" w:ascii="Times New Roman" w:hAnsi="Times New Roman" w:cs="Times New Roman"/>
                <w:color w:val="000000"/>
                <w:sz w:val="24"/>
                <w:szCs w:val="24"/>
                <w:lang w:val="en-US" w:bidi="ar-SA"/>
              </w:rPr>
              <w:t>6</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数据加密系统</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r>
              <w:rPr>
                <w:rFonts w:hint="eastAsia" w:ascii="Times New Roman" w:hAnsi="Times New Roman" w:cs="Times New Roman"/>
                <w:color w:val="000000"/>
                <w:sz w:val="24"/>
                <w:szCs w:val="24"/>
                <w:lang w:val="en-US" w:bidi="ar-SA"/>
              </w:rPr>
              <w:t>7</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漏洞扫描系统</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6"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r>
              <w:rPr>
                <w:rFonts w:hint="eastAsia" w:ascii="Times New Roman" w:hAnsi="Times New Roman" w:cs="Times New Roman"/>
                <w:color w:val="000000"/>
                <w:sz w:val="24"/>
                <w:szCs w:val="24"/>
                <w:lang w:val="en-US" w:bidi="ar-SA"/>
              </w:rPr>
              <w:t>8</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数字签名服务器</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r>
              <w:rPr>
                <w:rFonts w:hint="eastAsia" w:ascii="Times New Roman" w:hAnsi="Times New Roman" w:cs="Times New Roman"/>
                <w:color w:val="000000"/>
                <w:sz w:val="24"/>
                <w:szCs w:val="24"/>
                <w:lang w:val="en-US" w:bidi="ar-SA"/>
              </w:rPr>
              <w:t>9</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智能密码钥匙</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40</w:t>
            </w:r>
          </w:p>
        </w:tc>
        <w:tc>
          <w:tcPr>
            <w:tcW w:w="2923"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其他设备</w:t>
            </w: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宽带测速终端</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2340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41</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移动测速终端</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42</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移动操作平台</w:t>
            </w:r>
          </w:p>
        </w:tc>
        <w:tc>
          <w:tcPr>
            <w:tcW w:w="980"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套</w:t>
            </w:r>
          </w:p>
        </w:tc>
        <w:tc>
          <w:tcPr>
            <w:tcW w:w="1051" w:type="dxa"/>
            <w:vAlign w:val="center"/>
          </w:tcPr>
          <w:p>
            <w:pPr>
              <w:widowControl/>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43</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打印机</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979"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w:t>
            </w:r>
            <w:r>
              <w:rPr>
                <w:rFonts w:hint="eastAsia" w:ascii="Times New Roman" w:hAnsi="Times New Roman" w:cs="Times New Roman"/>
                <w:color w:val="000000"/>
                <w:sz w:val="24"/>
                <w:szCs w:val="24"/>
                <w:lang w:val="en-US" w:bidi="ar-SA"/>
              </w:rPr>
              <w:t>4</w:t>
            </w:r>
          </w:p>
        </w:tc>
        <w:tc>
          <w:tcPr>
            <w:tcW w:w="2923" w:type="dxa"/>
            <w:vMerge w:val="continue"/>
            <w:vAlign w:val="center"/>
          </w:tcPr>
          <w:p>
            <w:pPr>
              <w:widowControl/>
              <w:rPr>
                <w:rFonts w:ascii="Times New Roman" w:hAnsi="Times New Roman" w:cs="Times New Roman"/>
                <w:color w:val="000000"/>
                <w:sz w:val="24"/>
                <w:szCs w:val="24"/>
                <w:lang w:val="en-US" w:bidi="ar-SA"/>
              </w:rPr>
            </w:pPr>
          </w:p>
        </w:tc>
        <w:tc>
          <w:tcPr>
            <w:tcW w:w="2923"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碎纸机</w:t>
            </w:r>
          </w:p>
        </w:tc>
        <w:tc>
          <w:tcPr>
            <w:tcW w:w="980"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台</w:t>
            </w:r>
          </w:p>
        </w:tc>
        <w:tc>
          <w:tcPr>
            <w:tcW w:w="1051" w:type="dxa"/>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r>
    </w:tbl>
    <w:p>
      <w:pPr>
        <w:adjustRightInd w:val="0"/>
        <w:ind w:right="47" w:firstLine="480" w:firstLineChars="200"/>
        <w:jc w:val="center"/>
        <w:rPr>
          <w:sz w:val="24"/>
          <w:szCs w:val="24"/>
        </w:rPr>
      </w:pPr>
    </w:p>
    <w:p>
      <w:pPr>
        <w:adjustRightInd w:val="0"/>
        <w:ind w:right="47" w:firstLine="480" w:firstLineChars="200"/>
        <w:rPr>
          <w:sz w:val="24"/>
          <w:szCs w:val="24"/>
        </w:rPr>
      </w:pPr>
      <w:r>
        <w:rPr>
          <w:rFonts w:hint="eastAsia"/>
          <w:sz w:val="24"/>
          <w:szCs w:val="24"/>
        </w:rPr>
        <w:t>硬件配置、性能、要求及数量需求如下：</w:t>
      </w:r>
    </w:p>
    <w:tbl>
      <w:tblPr>
        <w:tblStyle w:val="56"/>
        <w:tblW w:w="9420" w:type="dxa"/>
        <w:tblInd w:w="-311"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45"/>
        <w:gridCol w:w="586"/>
        <w:gridCol w:w="696"/>
        <w:gridCol w:w="6645"/>
        <w:gridCol w:w="74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60" w:hRule="atLeast"/>
          <w:tblHeader/>
        </w:trPr>
        <w:tc>
          <w:tcPr>
            <w:tcW w:w="745"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序号</w:t>
            </w:r>
          </w:p>
        </w:tc>
        <w:tc>
          <w:tcPr>
            <w:tcW w:w="586"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名称</w:t>
            </w:r>
          </w:p>
        </w:tc>
        <w:tc>
          <w:tcPr>
            <w:tcW w:w="696"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数量</w:t>
            </w:r>
          </w:p>
        </w:tc>
        <w:tc>
          <w:tcPr>
            <w:tcW w:w="6645"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性能指标要求</w:t>
            </w:r>
          </w:p>
        </w:tc>
        <w:tc>
          <w:tcPr>
            <w:tcW w:w="748" w:type="dxa"/>
            <w:vAlign w:val="center"/>
          </w:tcPr>
          <w:p>
            <w:pPr>
              <w:widowControl/>
              <w:jc w:val="center"/>
              <w:rPr>
                <w:rFonts w:ascii="Times New Roman" w:hAnsi="Times New Roman" w:cs="Times New Roman"/>
                <w:b/>
                <w:bCs/>
                <w:color w:val="000000"/>
                <w:sz w:val="24"/>
                <w:szCs w:val="24"/>
                <w:lang w:val="en-US" w:bidi="ar-SA"/>
              </w:rPr>
            </w:pPr>
            <w:r>
              <w:rPr>
                <w:rFonts w:hint="eastAsia" w:ascii="Times New Roman" w:hAnsi="Times New Roman" w:cs="Times New Roman"/>
                <w:b/>
                <w:bCs/>
                <w:color w:val="000000"/>
                <w:sz w:val="24"/>
                <w:szCs w:val="24"/>
                <w:lang w:val="en-US" w:bidi="ar-SA"/>
              </w:rPr>
              <w:t>重要性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(一)</w:t>
            </w:r>
          </w:p>
        </w:tc>
        <w:tc>
          <w:tcPr>
            <w:tcW w:w="7927" w:type="dxa"/>
            <w:gridSpan w:val="3"/>
            <w:vAlign w:val="center"/>
          </w:tcPr>
          <w:p>
            <w:pPr>
              <w:widowControl/>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服务器和计算机设备</w:t>
            </w:r>
          </w:p>
        </w:tc>
        <w:tc>
          <w:tcPr>
            <w:tcW w:w="748" w:type="dxa"/>
            <w:vAlign w:val="center"/>
          </w:tcPr>
          <w:p>
            <w:pPr>
              <w:widowControl/>
              <w:rPr>
                <w:rFonts w:ascii="Times New Roman" w:hAnsi="Times New Roman" w:cs="Times New Roman"/>
                <w:b/>
                <w:bCs/>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服务器1</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9</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CPU</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2路处理器，</w:t>
            </w:r>
            <w:r>
              <w:rPr>
                <w:rFonts w:hint="eastAsia" w:ascii="Times New Roman" w:hAnsi="Times New Roman" w:cs="Times New Roman"/>
                <w:color w:val="000000"/>
                <w:sz w:val="24"/>
                <w:szCs w:val="24"/>
                <w:lang w:val="en-US" w:bidi="ar-SA"/>
              </w:rPr>
              <w:t>单处理器须不低于海光</w:t>
            </w:r>
            <w:r>
              <w:rPr>
                <w:rFonts w:ascii="Times New Roman" w:hAnsi="Times New Roman" w:cs="Times New Roman"/>
                <w:color w:val="000000"/>
                <w:sz w:val="24"/>
                <w:szCs w:val="24"/>
                <w:lang w:val="en-US" w:bidi="ar-SA"/>
              </w:rPr>
              <w:t>处理器16核2.1GHZ或以上</w:t>
            </w:r>
            <w:r>
              <w:rPr>
                <w:rFonts w:hint="eastAsia" w:ascii="Times New Roman" w:hAnsi="Times New Roman" w:cs="Times New Roman"/>
                <w:color w:val="000000"/>
                <w:sz w:val="24"/>
                <w:szCs w:val="24"/>
                <w:lang w:val="en-US" w:bidi="ar-SA"/>
              </w:rPr>
              <w:t>，或者鲲鹏处理器24核2.6</w:t>
            </w:r>
            <w:r>
              <w:rPr>
                <w:rFonts w:ascii="Times New Roman" w:hAnsi="Times New Roman" w:cs="Times New Roman"/>
                <w:color w:val="000000"/>
                <w:sz w:val="24"/>
                <w:szCs w:val="24"/>
                <w:lang w:val="en-US" w:bidi="ar-SA"/>
              </w:rPr>
              <w:t>GHZ或以上</w:t>
            </w:r>
            <w:r>
              <w:rPr>
                <w:rFonts w:hint="eastAsia" w:ascii="Times New Roman" w:hAnsi="Times New Roman" w:cs="Times New Roman"/>
                <w:color w:val="000000"/>
                <w:sz w:val="24"/>
                <w:szCs w:val="24"/>
                <w:lang w:val="en-US" w:bidi="ar-SA"/>
              </w:rPr>
              <w:t>性能的国产化芯片</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内存：</w:t>
            </w:r>
            <w:r>
              <w:rPr>
                <w:rFonts w:hint="eastAsia" w:ascii="Times New Roman" w:hAnsi="Times New Roman" w:cs="Times New Roman"/>
                <w:color w:val="000000"/>
                <w:sz w:val="24"/>
                <w:szCs w:val="24"/>
                <w:lang w:val="en-US" w:bidi="ar-SA"/>
              </w:rPr>
              <w:t>不低于</w:t>
            </w:r>
            <w:r>
              <w:rPr>
                <w:rFonts w:ascii="Times New Roman" w:hAnsi="Times New Roman" w:cs="Times New Roman"/>
                <w:color w:val="000000"/>
                <w:sz w:val="24"/>
                <w:szCs w:val="24"/>
                <w:lang w:val="en-US" w:bidi="ar-SA"/>
              </w:rPr>
              <w:t xml:space="preserve">128GB DDR4 </w:t>
            </w:r>
            <w:r>
              <w:rPr>
                <w:rFonts w:hint="eastAsia" w:ascii="Times New Roman" w:hAnsi="Times New Roman" w:cs="Times New Roman"/>
                <w:color w:val="000000"/>
                <w:sz w:val="24"/>
                <w:szCs w:val="24"/>
                <w:lang w:val="en-US" w:bidi="ar-SA"/>
              </w:rPr>
              <w:t>2933MHz</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磁盘：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10Krpm 600GB SAS*4；</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配置RAID卡，</w:t>
            </w:r>
            <w:r>
              <w:rPr>
                <w:rFonts w:hint="eastAsia" w:ascii="Times New Roman" w:hAnsi="Times New Roman" w:cs="Times New Roman"/>
                <w:color w:val="000000"/>
                <w:sz w:val="24"/>
                <w:szCs w:val="24"/>
                <w:lang w:val="en-US" w:bidi="ar-SA"/>
              </w:rPr>
              <w:t>至少支持RAID0和1</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w:t>
            </w:r>
            <w:r>
              <w:rPr>
                <w:rFonts w:hint="eastAsia" w:ascii="Times New Roman" w:hAnsi="Times New Roman" w:cs="Times New Roman"/>
                <w:color w:val="000000"/>
                <w:sz w:val="24"/>
                <w:szCs w:val="24"/>
                <w:lang w:val="en-US" w:bidi="ar-SA"/>
              </w:rPr>
              <w:t>不少于4</w:t>
            </w:r>
            <w:r>
              <w:rPr>
                <w:rFonts w:ascii="Times New Roman" w:hAnsi="Times New Roman" w:cs="Times New Roman"/>
                <w:color w:val="000000"/>
                <w:sz w:val="24"/>
                <w:szCs w:val="24"/>
                <w:lang w:val="en-US" w:bidi="ar-SA"/>
              </w:rPr>
              <w:t>个千兆电口；</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支持IPMI管理；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服务器2</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19</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CPU</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2路处理器，</w:t>
            </w:r>
            <w:r>
              <w:rPr>
                <w:rFonts w:hint="eastAsia" w:ascii="Times New Roman" w:hAnsi="Times New Roman" w:cs="Times New Roman"/>
                <w:color w:val="000000"/>
                <w:sz w:val="24"/>
                <w:szCs w:val="24"/>
                <w:lang w:val="en-US" w:bidi="ar-SA"/>
              </w:rPr>
              <w:t>单处理器须不低于海光</w:t>
            </w:r>
            <w:r>
              <w:rPr>
                <w:rFonts w:ascii="Times New Roman" w:hAnsi="Times New Roman" w:cs="Times New Roman"/>
                <w:color w:val="000000"/>
                <w:sz w:val="24"/>
                <w:szCs w:val="24"/>
                <w:lang w:val="en-US" w:bidi="ar-SA"/>
              </w:rPr>
              <w:t>处理器16核2.1GHZ或以上</w:t>
            </w:r>
            <w:r>
              <w:rPr>
                <w:rFonts w:hint="eastAsia" w:ascii="Times New Roman" w:hAnsi="Times New Roman" w:cs="Times New Roman"/>
                <w:color w:val="000000"/>
                <w:sz w:val="24"/>
                <w:szCs w:val="24"/>
                <w:lang w:val="en-US" w:bidi="ar-SA"/>
              </w:rPr>
              <w:t>，或者鲲鹏处理器24核2.6</w:t>
            </w:r>
            <w:r>
              <w:rPr>
                <w:rFonts w:ascii="Times New Roman" w:hAnsi="Times New Roman" w:cs="Times New Roman"/>
                <w:color w:val="000000"/>
                <w:sz w:val="24"/>
                <w:szCs w:val="24"/>
                <w:lang w:val="en-US" w:bidi="ar-SA"/>
              </w:rPr>
              <w:t>GHZ或以上</w:t>
            </w:r>
            <w:r>
              <w:rPr>
                <w:rFonts w:hint="eastAsia" w:ascii="Times New Roman" w:hAnsi="Times New Roman" w:cs="Times New Roman"/>
                <w:color w:val="000000"/>
                <w:sz w:val="24"/>
                <w:szCs w:val="24"/>
                <w:lang w:val="en-US" w:bidi="ar-SA"/>
              </w:rPr>
              <w:t>性能的国产化芯片</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内存：</w:t>
            </w:r>
            <w:r>
              <w:rPr>
                <w:rFonts w:hint="eastAsia" w:ascii="Times New Roman" w:hAnsi="Times New Roman" w:cs="Times New Roman"/>
                <w:color w:val="000000"/>
                <w:sz w:val="24"/>
                <w:szCs w:val="24"/>
                <w:lang w:val="en-US" w:bidi="ar-SA"/>
              </w:rPr>
              <w:t>不低于256GB DDR4</w:t>
            </w:r>
            <w:r>
              <w:rPr>
                <w:rFonts w:ascii="Times New Roman" w:hAnsi="Times New Roman" w:cs="Times New Roman"/>
                <w:color w:val="000000"/>
                <w:sz w:val="24"/>
                <w:szCs w:val="24"/>
                <w:lang w:val="en-US" w:bidi="ar-SA"/>
              </w:rPr>
              <w:t xml:space="preserve"> </w:t>
            </w:r>
            <w:r>
              <w:rPr>
                <w:rFonts w:hint="eastAsia" w:ascii="Times New Roman" w:hAnsi="Times New Roman" w:cs="Times New Roman"/>
                <w:color w:val="000000"/>
                <w:sz w:val="24"/>
                <w:szCs w:val="24"/>
                <w:lang w:val="en-US" w:bidi="ar-SA"/>
              </w:rPr>
              <w:t>2933MHz</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磁盘：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10Krpm 600GB SAS*2+10Krpm 1.8TB SAS*2；</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配置RAID卡，</w:t>
            </w:r>
            <w:r>
              <w:rPr>
                <w:rFonts w:hint="eastAsia" w:ascii="Times New Roman" w:hAnsi="Times New Roman" w:cs="Times New Roman"/>
                <w:color w:val="000000"/>
                <w:sz w:val="24"/>
                <w:szCs w:val="24"/>
                <w:lang w:val="en-US" w:bidi="ar-SA"/>
              </w:rPr>
              <w:t>至少支持RAID0和1</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w:t>
            </w:r>
            <w:r>
              <w:rPr>
                <w:rFonts w:hint="eastAsia" w:ascii="Times New Roman" w:hAnsi="Times New Roman" w:cs="Times New Roman"/>
                <w:color w:val="000000"/>
                <w:sz w:val="24"/>
                <w:szCs w:val="24"/>
                <w:lang w:val="en-US" w:bidi="ar-SA"/>
              </w:rPr>
              <w:t>不少于4</w:t>
            </w:r>
            <w:r>
              <w:rPr>
                <w:rFonts w:ascii="Times New Roman" w:hAnsi="Times New Roman" w:cs="Times New Roman"/>
                <w:color w:val="000000"/>
                <w:sz w:val="24"/>
                <w:szCs w:val="24"/>
                <w:lang w:val="en-US" w:bidi="ar-SA"/>
              </w:rPr>
              <w:t>个千兆电口；</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支持IPMI管理；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服务器3</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6</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CPU</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2路处理器，</w:t>
            </w:r>
            <w:r>
              <w:rPr>
                <w:rFonts w:hint="eastAsia" w:ascii="Times New Roman" w:hAnsi="Times New Roman" w:cs="Times New Roman"/>
                <w:color w:val="000000"/>
                <w:sz w:val="24"/>
                <w:szCs w:val="24"/>
                <w:lang w:val="en-US" w:bidi="ar-SA"/>
              </w:rPr>
              <w:t>单处理器须不低于海光</w:t>
            </w:r>
            <w:r>
              <w:rPr>
                <w:rFonts w:ascii="Times New Roman" w:hAnsi="Times New Roman" w:cs="Times New Roman"/>
                <w:color w:val="000000"/>
                <w:sz w:val="24"/>
                <w:szCs w:val="24"/>
                <w:lang w:val="en-US" w:bidi="ar-SA"/>
              </w:rPr>
              <w:t>处理器16核2.1GHZ或以上</w:t>
            </w:r>
            <w:r>
              <w:rPr>
                <w:rFonts w:hint="eastAsia" w:ascii="Times New Roman" w:hAnsi="Times New Roman" w:cs="Times New Roman"/>
                <w:color w:val="000000"/>
                <w:sz w:val="24"/>
                <w:szCs w:val="24"/>
                <w:lang w:val="en-US" w:bidi="ar-SA"/>
              </w:rPr>
              <w:t>，或者鲲鹏处理器24核2.6</w:t>
            </w:r>
            <w:r>
              <w:rPr>
                <w:rFonts w:ascii="Times New Roman" w:hAnsi="Times New Roman" w:cs="Times New Roman"/>
                <w:color w:val="000000"/>
                <w:sz w:val="24"/>
                <w:szCs w:val="24"/>
                <w:lang w:val="en-US" w:bidi="ar-SA"/>
              </w:rPr>
              <w:t>GHZ或以上</w:t>
            </w:r>
            <w:r>
              <w:rPr>
                <w:rFonts w:hint="eastAsia" w:ascii="Times New Roman" w:hAnsi="Times New Roman" w:cs="Times New Roman"/>
                <w:color w:val="000000"/>
                <w:sz w:val="24"/>
                <w:szCs w:val="24"/>
                <w:lang w:val="en-US" w:bidi="ar-SA"/>
              </w:rPr>
              <w:t>性能的国产化芯片</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内存：</w:t>
            </w:r>
            <w:r>
              <w:rPr>
                <w:rFonts w:hint="eastAsia" w:ascii="Times New Roman" w:hAnsi="Times New Roman" w:cs="Times New Roman"/>
                <w:color w:val="000000"/>
                <w:sz w:val="24"/>
                <w:szCs w:val="24"/>
                <w:lang w:val="en-US" w:bidi="ar-SA"/>
              </w:rPr>
              <w:t>不低于</w:t>
            </w:r>
            <w:r>
              <w:rPr>
                <w:rFonts w:ascii="Times New Roman" w:hAnsi="Times New Roman" w:cs="Times New Roman"/>
                <w:color w:val="000000"/>
                <w:sz w:val="24"/>
                <w:szCs w:val="24"/>
                <w:lang w:val="en-US" w:bidi="ar-SA"/>
              </w:rPr>
              <w:t xml:space="preserve">128GB DDR4 </w:t>
            </w:r>
            <w:r>
              <w:rPr>
                <w:rFonts w:hint="eastAsia" w:ascii="Times New Roman" w:hAnsi="Times New Roman" w:cs="Times New Roman"/>
                <w:color w:val="000000"/>
                <w:sz w:val="24"/>
                <w:szCs w:val="24"/>
                <w:lang w:val="en-US" w:bidi="ar-SA"/>
              </w:rPr>
              <w:t>2933MHz</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磁盘：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10Krpm 600GB SAS*4；</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配置RAID卡，</w:t>
            </w:r>
            <w:r>
              <w:rPr>
                <w:rFonts w:hint="eastAsia" w:ascii="Times New Roman" w:hAnsi="Times New Roman" w:cs="Times New Roman"/>
                <w:color w:val="000000"/>
                <w:sz w:val="24"/>
                <w:szCs w:val="24"/>
                <w:lang w:val="en-US" w:bidi="ar-SA"/>
              </w:rPr>
              <w:t>至少支持RAID0和1</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w:t>
            </w:r>
            <w:r>
              <w:rPr>
                <w:rFonts w:hint="eastAsia" w:ascii="Times New Roman" w:hAnsi="Times New Roman" w:cs="Times New Roman"/>
                <w:color w:val="000000"/>
                <w:sz w:val="24"/>
                <w:szCs w:val="24"/>
                <w:lang w:val="en-US" w:bidi="ar-SA"/>
              </w:rPr>
              <w:t>不少于4</w:t>
            </w:r>
            <w:r>
              <w:rPr>
                <w:rFonts w:ascii="Times New Roman" w:hAnsi="Times New Roman" w:cs="Times New Roman"/>
                <w:color w:val="000000"/>
                <w:sz w:val="24"/>
                <w:szCs w:val="24"/>
                <w:lang w:val="en-US" w:bidi="ar-SA"/>
              </w:rPr>
              <w:t>个千兆电口；</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加配</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2块16Gbps HBA卡；</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支持IPMI管理；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服务器4</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5</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CPU</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2路处理器，</w:t>
            </w:r>
            <w:r>
              <w:rPr>
                <w:rFonts w:hint="eastAsia" w:ascii="Times New Roman" w:hAnsi="Times New Roman" w:cs="Times New Roman"/>
                <w:color w:val="000000"/>
                <w:sz w:val="24"/>
                <w:szCs w:val="24"/>
                <w:lang w:val="en-US" w:bidi="ar-SA"/>
              </w:rPr>
              <w:t>单处理器须不低于海光</w:t>
            </w:r>
            <w:r>
              <w:rPr>
                <w:rFonts w:ascii="Times New Roman" w:hAnsi="Times New Roman" w:cs="Times New Roman"/>
                <w:color w:val="000000"/>
                <w:sz w:val="24"/>
                <w:szCs w:val="24"/>
                <w:lang w:val="en-US" w:bidi="ar-SA"/>
              </w:rPr>
              <w:t>处理器16核2.1GHZ或以上</w:t>
            </w:r>
            <w:r>
              <w:rPr>
                <w:rFonts w:hint="eastAsia" w:ascii="Times New Roman" w:hAnsi="Times New Roman" w:cs="Times New Roman"/>
                <w:color w:val="000000"/>
                <w:sz w:val="24"/>
                <w:szCs w:val="24"/>
                <w:lang w:val="en-US" w:bidi="ar-SA"/>
              </w:rPr>
              <w:t>，或者鲲鹏处理器24核2.6</w:t>
            </w:r>
            <w:r>
              <w:rPr>
                <w:rFonts w:ascii="Times New Roman" w:hAnsi="Times New Roman" w:cs="Times New Roman"/>
                <w:color w:val="000000"/>
                <w:sz w:val="24"/>
                <w:szCs w:val="24"/>
                <w:lang w:val="en-US" w:bidi="ar-SA"/>
              </w:rPr>
              <w:t>GHZ或以上</w:t>
            </w:r>
            <w:r>
              <w:rPr>
                <w:rFonts w:hint="eastAsia" w:ascii="Times New Roman" w:hAnsi="Times New Roman" w:cs="Times New Roman"/>
                <w:color w:val="000000"/>
                <w:sz w:val="24"/>
                <w:szCs w:val="24"/>
                <w:lang w:val="en-US" w:bidi="ar-SA"/>
              </w:rPr>
              <w:t>性能的国产化芯片</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内存：</w:t>
            </w:r>
            <w:r>
              <w:rPr>
                <w:rFonts w:hint="eastAsia" w:ascii="Times New Roman" w:hAnsi="Times New Roman" w:cs="Times New Roman"/>
                <w:color w:val="000000"/>
                <w:sz w:val="24"/>
                <w:szCs w:val="24"/>
                <w:lang w:val="en-US" w:bidi="ar-SA"/>
              </w:rPr>
              <w:t>不低于</w:t>
            </w:r>
            <w:r>
              <w:rPr>
                <w:rFonts w:ascii="Times New Roman" w:hAnsi="Times New Roman" w:cs="Times New Roman"/>
                <w:color w:val="000000"/>
                <w:sz w:val="24"/>
                <w:szCs w:val="24"/>
                <w:lang w:val="en-US" w:bidi="ar-SA"/>
              </w:rPr>
              <w:t xml:space="preserve">64GB DDR4 </w:t>
            </w:r>
            <w:r>
              <w:rPr>
                <w:rFonts w:hint="eastAsia" w:ascii="Times New Roman" w:hAnsi="Times New Roman" w:cs="Times New Roman"/>
                <w:color w:val="000000"/>
                <w:sz w:val="24"/>
                <w:szCs w:val="24"/>
                <w:lang w:val="en-US" w:bidi="ar-SA"/>
              </w:rPr>
              <w:t>2933MHz</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磁盘：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10Krpm 600GB SAS*2；</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配置RAID卡，</w:t>
            </w:r>
            <w:r>
              <w:rPr>
                <w:rFonts w:hint="eastAsia" w:ascii="Times New Roman" w:hAnsi="Times New Roman" w:cs="Times New Roman"/>
                <w:color w:val="000000"/>
                <w:sz w:val="24"/>
                <w:szCs w:val="24"/>
                <w:lang w:val="en-US" w:bidi="ar-SA"/>
              </w:rPr>
              <w:t>至少支持RAID0和1</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配置端口不少于2</w:t>
            </w:r>
            <w:r>
              <w:rPr>
                <w:rFonts w:ascii="Times New Roman" w:hAnsi="Times New Roman" w:cs="Times New Roman"/>
                <w:color w:val="000000"/>
                <w:sz w:val="24"/>
                <w:szCs w:val="24"/>
                <w:lang w:val="en-US" w:bidi="ar-SA"/>
              </w:rPr>
              <w:t>个千兆电口，2个万兆光口，满配多模光模块；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支持IPMI管理；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5</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服务器5</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CPU</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2路处理器，</w:t>
            </w:r>
            <w:r>
              <w:rPr>
                <w:rFonts w:hint="eastAsia" w:ascii="Times New Roman" w:hAnsi="Times New Roman" w:cs="Times New Roman"/>
                <w:color w:val="000000"/>
                <w:sz w:val="24"/>
                <w:szCs w:val="24"/>
                <w:lang w:val="en-US" w:bidi="ar-SA"/>
              </w:rPr>
              <w:t>单处理器须不低于海光</w:t>
            </w:r>
            <w:r>
              <w:rPr>
                <w:rFonts w:ascii="Times New Roman" w:hAnsi="Times New Roman" w:cs="Times New Roman"/>
                <w:color w:val="000000"/>
                <w:sz w:val="24"/>
                <w:szCs w:val="24"/>
                <w:lang w:val="en-US" w:bidi="ar-SA"/>
              </w:rPr>
              <w:t>处理器16核2.1GHZ或以上</w:t>
            </w:r>
            <w:r>
              <w:rPr>
                <w:rFonts w:hint="eastAsia" w:ascii="Times New Roman" w:hAnsi="Times New Roman" w:cs="Times New Roman"/>
                <w:color w:val="000000"/>
                <w:sz w:val="24"/>
                <w:szCs w:val="24"/>
                <w:lang w:val="en-US" w:bidi="ar-SA"/>
              </w:rPr>
              <w:t>，或者鲲鹏处理器24核2.6</w:t>
            </w:r>
            <w:r>
              <w:rPr>
                <w:rFonts w:ascii="Times New Roman" w:hAnsi="Times New Roman" w:cs="Times New Roman"/>
                <w:color w:val="000000"/>
                <w:sz w:val="24"/>
                <w:szCs w:val="24"/>
                <w:lang w:val="en-US" w:bidi="ar-SA"/>
              </w:rPr>
              <w:t>GHZ或以上</w:t>
            </w:r>
            <w:r>
              <w:rPr>
                <w:rFonts w:hint="eastAsia" w:ascii="Times New Roman" w:hAnsi="Times New Roman" w:cs="Times New Roman"/>
                <w:color w:val="000000"/>
                <w:sz w:val="24"/>
                <w:szCs w:val="24"/>
                <w:lang w:val="en-US" w:bidi="ar-SA"/>
              </w:rPr>
              <w:t>性能的国产化芯片</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内存：</w:t>
            </w:r>
            <w:r>
              <w:rPr>
                <w:rFonts w:hint="eastAsia" w:ascii="Times New Roman" w:hAnsi="Times New Roman" w:cs="Times New Roman"/>
                <w:color w:val="000000"/>
                <w:sz w:val="24"/>
                <w:szCs w:val="24"/>
                <w:lang w:val="en-US" w:bidi="ar-SA"/>
              </w:rPr>
              <w:t>不低于</w:t>
            </w:r>
            <w:r>
              <w:rPr>
                <w:rFonts w:ascii="Times New Roman" w:hAnsi="Times New Roman" w:cs="Times New Roman"/>
                <w:color w:val="000000"/>
                <w:sz w:val="24"/>
                <w:szCs w:val="24"/>
                <w:lang w:val="en-US" w:bidi="ar-SA"/>
              </w:rPr>
              <w:t xml:space="preserve">128GB DDR4 </w:t>
            </w:r>
            <w:r>
              <w:rPr>
                <w:rFonts w:hint="eastAsia" w:ascii="Times New Roman" w:hAnsi="Times New Roman" w:cs="Times New Roman"/>
                <w:color w:val="000000"/>
                <w:sz w:val="24"/>
                <w:szCs w:val="24"/>
                <w:lang w:val="en-US" w:bidi="ar-SA"/>
              </w:rPr>
              <w:t>2933MHz</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磁盘：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10Krpm 600GB SAS*2+10Krpm 900GB SAS*2；</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配置RAID卡，</w:t>
            </w:r>
            <w:r>
              <w:rPr>
                <w:rFonts w:hint="eastAsia" w:ascii="Times New Roman" w:hAnsi="Times New Roman" w:cs="Times New Roman"/>
                <w:color w:val="000000"/>
                <w:sz w:val="24"/>
                <w:szCs w:val="24"/>
                <w:lang w:val="en-US" w:bidi="ar-SA"/>
              </w:rPr>
              <w:t>至少支持RAID0和1</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4个千兆电口；</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支持IPMI管理；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6</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服务器6</w:t>
            </w:r>
          </w:p>
        </w:tc>
        <w:tc>
          <w:tcPr>
            <w:tcW w:w="696" w:type="dxa"/>
            <w:vMerge w:val="restart"/>
            <w:vAlign w:val="center"/>
          </w:tcPr>
          <w:p>
            <w:pPr>
              <w:widowControl/>
              <w:jc w:val="center"/>
              <w:rPr>
                <w:rFonts w:hint="eastAsia" w:ascii="Times New Roman" w:hAnsi="Times New Roman" w:eastAsia="宋体" w:cs="Times New Roman"/>
                <w:color w:val="000000"/>
                <w:sz w:val="24"/>
                <w:szCs w:val="24"/>
                <w:lang w:val="en-US" w:eastAsia="zh-CN" w:bidi="ar-SA"/>
              </w:rPr>
            </w:pPr>
            <w:r>
              <w:rPr>
                <w:rFonts w:ascii="Times New Roman" w:hAnsi="Times New Roman" w:cs="Times New Roman"/>
                <w:color w:val="000000"/>
                <w:sz w:val="24"/>
                <w:szCs w:val="24"/>
                <w:lang w:val="en-US" w:bidi="ar-SA"/>
              </w:rPr>
              <w:t>3</w:t>
            </w:r>
            <w:r>
              <w:rPr>
                <w:rFonts w:hint="eastAsia" w:ascii="Times New Roman" w:hAnsi="Times New Roman" w:cs="Times New Roman"/>
                <w:color w:val="000000"/>
                <w:sz w:val="24"/>
                <w:szCs w:val="24"/>
                <w:lang w:val="en-US" w:eastAsia="zh-CN" w:bidi="ar-SA"/>
              </w:rPr>
              <w:t>8</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CPU</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2路处理器，</w:t>
            </w:r>
            <w:r>
              <w:rPr>
                <w:rFonts w:hint="eastAsia" w:ascii="Times New Roman" w:hAnsi="Times New Roman" w:cs="Times New Roman"/>
                <w:color w:val="000000"/>
                <w:sz w:val="24"/>
                <w:szCs w:val="24"/>
                <w:lang w:val="en-US" w:bidi="ar-SA"/>
              </w:rPr>
              <w:t>单处理器须不低于海光</w:t>
            </w:r>
            <w:r>
              <w:rPr>
                <w:rFonts w:ascii="Times New Roman" w:hAnsi="Times New Roman" w:cs="Times New Roman"/>
                <w:color w:val="000000"/>
                <w:sz w:val="24"/>
                <w:szCs w:val="24"/>
                <w:lang w:val="en-US" w:bidi="ar-SA"/>
              </w:rPr>
              <w:t>处理器16核2.1GHZ或以上</w:t>
            </w:r>
            <w:r>
              <w:rPr>
                <w:rFonts w:hint="eastAsia" w:ascii="Times New Roman" w:hAnsi="Times New Roman" w:cs="Times New Roman"/>
                <w:color w:val="000000"/>
                <w:sz w:val="24"/>
                <w:szCs w:val="24"/>
                <w:lang w:val="en-US" w:bidi="ar-SA"/>
              </w:rPr>
              <w:t>，或者鲲鹏处理器24核2.6</w:t>
            </w:r>
            <w:r>
              <w:rPr>
                <w:rFonts w:ascii="Times New Roman" w:hAnsi="Times New Roman" w:cs="Times New Roman"/>
                <w:color w:val="000000"/>
                <w:sz w:val="24"/>
                <w:szCs w:val="24"/>
                <w:lang w:val="en-US" w:bidi="ar-SA"/>
              </w:rPr>
              <w:t>GHZ或以上</w:t>
            </w:r>
            <w:r>
              <w:rPr>
                <w:rFonts w:hint="eastAsia" w:ascii="Times New Roman" w:hAnsi="Times New Roman" w:cs="Times New Roman"/>
                <w:color w:val="000000"/>
                <w:sz w:val="24"/>
                <w:szCs w:val="24"/>
                <w:lang w:val="en-US" w:bidi="ar-SA"/>
              </w:rPr>
              <w:t>性能的国产化芯片</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内存：</w:t>
            </w:r>
            <w:r>
              <w:rPr>
                <w:rFonts w:hint="eastAsia" w:ascii="Times New Roman" w:hAnsi="Times New Roman" w:cs="Times New Roman"/>
                <w:color w:val="000000"/>
                <w:sz w:val="24"/>
                <w:szCs w:val="24"/>
                <w:lang w:val="en-US" w:bidi="ar-SA"/>
              </w:rPr>
              <w:t>不低于256GB DDR4</w:t>
            </w:r>
            <w:r>
              <w:rPr>
                <w:rFonts w:ascii="Times New Roman" w:hAnsi="Times New Roman" w:cs="Times New Roman"/>
                <w:color w:val="000000"/>
                <w:sz w:val="24"/>
                <w:szCs w:val="24"/>
                <w:lang w:val="en-US" w:bidi="ar-SA"/>
              </w:rPr>
              <w:t xml:space="preserve"> </w:t>
            </w:r>
            <w:r>
              <w:rPr>
                <w:rFonts w:hint="eastAsia" w:ascii="Times New Roman" w:hAnsi="Times New Roman" w:cs="Times New Roman"/>
                <w:color w:val="000000"/>
                <w:sz w:val="24"/>
                <w:szCs w:val="24"/>
                <w:lang w:val="en-US" w:bidi="ar-SA"/>
              </w:rPr>
              <w:t>2933MHz</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磁盘：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10Krpm 600GB SAS*2+10Krpm 1.8TB SAS*2；</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配置RAID卡，</w:t>
            </w:r>
            <w:r>
              <w:rPr>
                <w:rFonts w:hint="eastAsia" w:ascii="Times New Roman" w:hAnsi="Times New Roman" w:cs="Times New Roman"/>
                <w:color w:val="000000"/>
                <w:sz w:val="24"/>
                <w:szCs w:val="24"/>
                <w:lang w:val="en-US" w:bidi="ar-SA"/>
              </w:rPr>
              <w:t>至少支持RAID0和1</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w:t>
            </w:r>
            <w:r>
              <w:rPr>
                <w:rFonts w:hint="eastAsia" w:ascii="Times New Roman" w:hAnsi="Times New Roman" w:cs="Times New Roman"/>
                <w:color w:val="000000"/>
                <w:sz w:val="24"/>
                <w:szCs w:val="24"/>
                <w:lang w:val="en-US" w:bidi="ar-SA"/>
              </w:rPr>
              <w:t>不少于2</w:t>
            </w:r>
            <w:r>
              <w:rPr>
                <w:rFonts w:ascii="Times New Roman" w:hAnsi="Times New Roman" w:cs="Times New Roman"/>
                <w:color w:val="000000"/>
                <w:sz w:val="24"/>
                <w:szCs w:val="24"/>
                <w:lang w:val="en-US" w:bidi="ar-SA"/>
              </w:rPr>
              <w:t>个千兆电口，2个万兆光口，满配多模光模块；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支持IPMI管理；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7</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服务器7</w:t>
            </w:r>
          </w:p>
        </w:tc>
        <w:tc>
          <w:tcPr>
            <w:tcW w:w="696" w:type="dxa"/>
            <w:vMerge w:val="restart"/>
            <w:vAlign w:val="center"/>
          </w:tcPr>
          <w:p>
            <w:pPr>
              <w:widowControl/>
              <w:jc w:val="center"/>
              <w:rPr>
                <w:rFonts w:hint="default"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10</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CPU</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2路处理器，</w:t>
            </w:r>
            <w:r>
              <w:rPr>
                <w:rFonts w:hint="eastAsia" w:ascii="Times New Roman" w:hAnsi="Times New Roman" w:cs="Times New Roman"/>
                <w:color w:val="000000"/>
                <w:sz w:val="24"/>
                <w:szCs w:val="24"/>
                <w:lang w:val="en-US" w:bidi="ar-SA"/>
              </w:rPr>
              <w:t>单处理器须不低于海光</w:t>
            </w:r>
            <w:r>
              <w:rPr>
                <w:rFonts w:ascii="Times New Roman" w:hAnsi="Times New Roman" w:cs="Times New Roman"/>
                <w:color w:val="000000"/>
                <w:sz w:val="24"/>
                <w:szCs w:val="24"/>
                <w:lang w:val="en-US" w:bidi="ar-SA"/>
              </w:rPr>
              <w:t>处理器16核2.1GHZ或以上</w:t>
            </w:r>
            <w:r>
              <w:rPr>
                <w:rFonts w:hint="eastAsia" w:ascii="Times New Roman" w:hAnsi="Times New Roman" w:cs="Times New Roman"/>
                <w:color w:val="000000"/>
                <w:sz w:val="24"/>
                <w:szCs w:val="24"/>
                <w:lang w:val="en-US" w:bidi="ar-SA"/>
              </w:rPr>
              <w:t>，或者鲲鹏处理器24核2.6</w:t>
            </w:r>
            <w:r>
              <w:rPr>
                <w:rFonts w:ascii="Times New Roman" w:hAnsi="Times New Roman" w:cs="Times New Roman"/>
                <w:color w:val="000000"/>
                <w:sz w:val="24"/>
                <w:szCs w:val="24"/>
                <w:lang w:val="en-US" w:bidi="ar-SA"/>
              </w:rPr>
              <w:t>GHZ或以上</w:t>
            </w:r>
            <w:r>
              <w:rPr>
                <w:rFonts w:hint="eastAsia" w:ascii="Times New Roman" w:hAnsi="Times New Roman" w:cs="Times New Roman"/>
                <w:color w:val="000000"/>
                <w:sz w:val="24"/>
                <w:szCs w:val="24"/>
                <w:lang w:val="en-US" w:bidi="ar-SA"/>
              </w:rPr>
              <w:t>性能的国产化芯片</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内存：</w:t>
            </w:r>
            <w:r>
              <w:rPr>
                <w:rFonts w:hint="eastAsia" w:ascii="Times New Roman" w:hAnsi="Times New Roman" w:cs="Times New Roman"/>
                <w:color w:val="000000"/>
                <w:sz w:val="24"/>
                <w:szCs w:val="24"/>
                <w:lang w:val="en-US" w:bidi="ar-SA"/>
              </w:rPr>
              <w:t>不低于256GB DDR4</w:t>
            </w:r>
            <w:r>
              <w:rPr>
                <w:rFonts w:ascii="Times New Roman" w:hAnsi="Times New Roman" w:cs="Times New Roman"/>
                <w:color w:val="000000"/>
                <w:sz w:val="24"/>
                <w:szCs w:val="24"/>
                <w:lang w:val="en-US" w:bidi="ar-SA"/>
              </w:rPr>
              <w:t xml:space="preserve"> </w:t>
            </w:r>
            <w:r>
              <w:rPr>
                <w:rFonts w:hint="eastAsia" w:ascii="Times New Roman" w:hAnsi="Times New Roman" w:cs="Times New Roman"/>
                <w:color w:val="000000"/>
                <w:sz w:val="24"/>
                <w:szCs w:val="24"/>
                <w:lang w:val="en-US" w:bidi="ar-SA"/>
              </w:rPr>
              <w:t>2933MHz</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磁盘：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10Krpm 600GB SAS*2+7.2Krpm 4TB SATA*12；</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配置RAID卡，</w:t>
            </w:r>
            <w:r>
              <w:rPr>
                <w:rFonts w:hint="eastAsia" w:ascii="Times New Roman" w:hAnsi="Times New Roman" w:cs="Times New Roman"/>
                <w:color w:val="000000"/>
                <w:sz w:val="24"/>
                <w:szCs w:val="24"/>
                <w:lang w:val="en-US" w:bidi="ar-SA"/>
              </w:rPr>
              <w:t>至少</w:t>
            </w:r>
            <w:r>
              <w:rPr>
                <w:rFonts w:ascii="Times New Roman" w:hAnsi="Times New Roman" w:cs="Times New Roman"/>
                <w:color w:val="000000"/>
                <w:sz w:val="24"/>
                <w:szCs w:val="24"/>
                <w:lang w:val="en-US" w:bidi="ar-SA"/>
              </w:rPr>
              <w:t>支持RAID0</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1</w:t>
            </w:r>
            <w:r>
              <w:rPr>
                <w:rFonts w:hint="eastAsia" w:ascii="Times New Roman" w:hAnsi="Times New Roman" w:cs="Times New Roman"/>
                <w:color w:val="000000"/>
                <w:sz w:val="24"/>
                <w:szCs w:val="24"/>
                <w:lang w:val="en-US" w:bidi="ar-SA"/>
              </w:rPr>
              <w:t>、10</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w:t>
            </w:r>
            <w:r>
              <w:rPr>
                <w:rFonts w:hint="eastAsia" w:ascii="Times New Roman" w:hAnsi="Times New Roman" w:cs="Times New Roman"/>
                <w:color w:val="000000"/>
                <w:sz w:val="24"/>
                <w:szCs w:val="24"/>
                <w:lang w:val="en-US" w:bidi="ar-SA"/>
              </w:rPr>
              <w:t>不少于2</w:t>
            </w:r>
            <w:r>
              <w:rPr>
                <w:rFonts w:ascii="Times New Roman" w:hAnsi="Times New Roman" w:cs="Times New Roman"/>
                <w:color w:val="000000"/>
                <w:sz w:val="24"/>
                <w:szCs w:val="24"/>
                <w:lang w:val="en-US" w:bidi="ar-SA"/>
              </w:rPr>
              <w:t>个千兆电口，2个万兆光口，满配多模光模块；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支持IPMI管理；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8</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服务器8</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7</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CPU</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2路处理器，</w:t>
            </w:r>
            <w:r>
              <w:rPr>
                <w:rFonts w:hint="eastAsia" w:ascii="Times New Roman" w:hAnsi="Times New Roman" w:cs="Times New Roman"/>
                <w:color w:val="000000"/>
                <w:sz w:val="24"/>
                <w:szCs w:val="24"/>
                <w:lang w:val="en-US" w:bidi="ar-SA"/>
              </w:rPr>
              <w:t>单处理器须不低于海光</w:t>
            </w:r>
            <w:r>
              <w:rPr>
                <w:rFonts w:ascii="Times New Roman" w:hAnsi="Times New Roman" w:cs="Times New Roman"/>
                <w:color w:val="000000"/>
                <w:sz w:val="24"/>
                <w:szCs w:val="24"/>
                <w:lang w:val="en-US" w:bidi="ar-SA"/>
              </w:rPr>
              <w:t>处理器16核2.1GHZ或以上</w:t>
            </w:r>
            <w:r>
              <w:rPr>
                <w:rFonts w:hint="eastAsia" w:ascii="Times New Roman" w:hAnsi="Times New Roman" w:cs="Times New Roman"/>
                <w:color w:val="000000"/>
                <w:sz w:val="24"/>
                <w:szCs w:val="24"/>
                <w:lang w:val="en-US" w:bidi="ar-SA"/>
              </w:rPr>
              <w:t>性能的X86国产化芯片</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内存：</w:t>
            </w:r>
            <w:r>
              <w:rPr>
                <w:rFonts w:hint="eastAsia" w:ascii="Times New Roman" w:hAnsi="Times New Roman" w:cs="Times New Roman"/>
                <w:color w:val="000000"/>
                <w:sz w:val="24"/>
                <w:szCs w:val="24"/>
                <w:lang w:val="en-US" w:bidi="ar-SA"/>
              </w:rPr>
              <w:t>不低于256GB DDR4</w:t>
            </w:r>
            <w:r>
              <w:rPr>
                <w:rFonts w:ascii="Times New Roman" w:hAnsi="Times New Roman" w:cs="Times New Roman"/>
                <w:color w:val="000000"/>
                <w:sz w:val="24"/>
                <w:szCs w:val="24"/>
                <w:lang w:val="en-US" w:bidi="ar-SA"/>
              </w:rPr>
              <w:t xml:space="preserve"> </w:t>
            </w:r>
            <w:r>
              <w:rPr>
                <w:rFonts w:hint="eastAsia" w:ascii="Times New Roman" w:hAnsi="Times New Roman" w:cs="Times New Roman"/>
                <w:color w:val="000000"/>
                <w:sz w:val="24"/>
                <w:szCs w:val="24"/>
                <w:lang w:val="en-US" w:bidi="ar-SA"/>
              </w:rPr>
              <w:t>2933MHz</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磁盘：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10Krpm 600GB SAS*2+10Krpm 900GB SAS*2；</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配置RAID卡，</w:t>
            </w:r>
            <w:r>
              <w:rPr>
                <w:rFonts w:hint="eastAsia" w:ascii="Times New Roman" w:hAnsi="Times New Roman" w:cs="Times New Roman"/>
                <w:color w:val="000000"/>
                <w:sz w:val="24"/>
                <w:szCs w:val="24"/>
                <w:lang w:val="en-US" w:bidi="ar-SA"/>
              </w:rPr>
              <w:t>至少</w:t>
            </w:r>
            <w:r>
              <w:rPr>
                <w:rFonts w:ascii="Times New Roman" w:hAnsi="Times New Roman" w:cs="Times New Roman"/>
                <w:color w:val="000000"/>
                <w:sz w:val="24"/>
                <w:szCs w:val="24"/>
                <w:lang w:val="en-US" w:bidi="ar-SA"/>
              </w:rPr>
              <w:t>支持RAID0、1、5、10、50；</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4个千兆电口，2个万兆光口，满配多模光模块；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加配</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2块16Gbps HBA卡；</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支持IPMI管理；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9</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操作终端PC机</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10</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CPU</w:t>
            </w:r>
            <w:r>
              <w:rPr>
                <w:rFonts w:hint="eastAsia" w:ascii="Times New Roman" w:hAnsi="Times New Roman" w:cs="Times New Roman"/>
                <w:color w:val="000000"/>
                <w:sz w:val="24"/>
                <w:szCs w:val="24"/>
                <w:lang w:val="en-US" w:bidi="ar-SA"/>
              </w:rPr>
              <w:t xml:space="preserve">：不低于Intel </w:t>
            </w:r>
            <w:r>
              <w:rPr>
                <w:rFonts w:ascii="Times New Roman" w:hAnsi="Times New Roman" w:cs="Times New Roman"/>
                <w:color w:val="000000"/>
                <w:sz w:val="24"/>
                <w:szCs w:val="24"/>
                <w:lang w:val="en-US" w:bidi="ar-SA"/>
              </w:rPr>
              <w:t>I7；</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内存：不低于8GB DDR4</w:t>
            </w:r>
            <w:r>
              <w:rPr>
                <w:rFonts w:ascii="Times New Roman" w:hAnsi="Times New Roman" w:cs="Times New Roman"/>
                <w:color w:val="000000"/>
                <w:sz w:val="24"/>
                <w:szCs w:val="24"/>
                <w:lang w:val="en-US" w:bidi="ar-SA"/>
              </w:rPr>
              <w:t xml:space="preserve"> </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硬盘：不少于1T机械硬盘</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显卡：独立显卡，不低于2GB；</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显示器</w:t>
            </w:r>
            <w:r>
              <w:rPr>
                <w:rFonts w:hint="eastAsia" w:ascii="Times New Roman" w:hAnsi="Times New Roman" w:cs="Times New Roman"/>
                <w:color w:val="000000"/>
                <w:sz w:val="24"/>
                <w:szCs w:val="24"/>
                <w:lang w:val="en-US" w:bidi="ar-SA"/>
              </w:rPr>
              <w:t>：不小于</w:t>
            </w:r>
            <w:r>
              <w:rPr>
                <w:rFonts w:ascii="Times New Roman" w:hAnsi="Times New Roman" w:cs="Times New Roman"/>
                <w:color w:val="000000"/>
                <w:sz w:val="24"/>
                <w:szCs w:val="24"/>
                <w:lang w:val="en-US" w:bidi="ar-SA"/>
              </w:rPr>
              <w:t>27寸</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操作系统</w:t>
            </w:r>
            <w:r>
              <w:rPr>
                <w:rFonts w:hint="eastAsia" w:ascii="Times New Roman" w:hAnsi="Times New Roman" w:cs="Times New Roman"/>
                <w:color w:val="000000"/>
                <w:sz w:val="24"/>
                <w:szCs w:val="24"/>
                <w:lang w:val="en-US" w:bidi="ar-SA"/>
              </w:rPr>
              <w:t>：</w:t>
            </w:r>
            <w:r>
              <w:rPr>
                <w:rFonts w:hint="eastAsia" w:ascii="Times New Roman" w:hAnsi="Times New Roman" w:cs="Times New Roman"/>
                <w:color w:val="000000"/>
                <w:sz w:val="24"/>
                <w:szCs w:val="24"/>
                <w:lang w:val="en-US" w:eastAsia="zh-CN" w:bidi="ar-SA"/>
              </w:rPr>
              <w:t>不低于</w:t>
            </w:r>
            <w:r>
              <w:rPr>
                <w:rFonts w:ascii="Times New Roman" w:hAnsi="Times New Roman" w:cs="Times New Roman"/>
                <w:color w:val="000000"/>
                <w:sz w:val="24"/>
                <w:szCs w:val="24"/>
                <w:lang w:val="en-US" w:bidi="ar-SA"/>
              </w:rPr>
              <w:t>WIN10。</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10</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操作终端笔记本</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CPU</w:t>
            </w:r>
            <w:r>
              <w:rPr>
                <w:rFonts w:hint="eastAsia" w:ascii="Times New Roman" w:hAnsi="Times New Roman" w:cs="Times New Roman"/>
                <w:color w:val="000000"/>
                <w:sz w:val="24"/>
                <w:szCs w:val="24"/>
                <w:lang w:val="en-US" w:bidi="ar-SA"/>
              </w:rPr>
              <w:t xml:space="preserve">：不低于Intel </w:t>
            </w:r>
            <w:r>
              <w:rPr>
                <w:rFonts w:ascii="Times New Roman" w:hAnsi="Times New Roman" w:cs="Times New Roman"/>
                <w:color w:val="000000"/>
                <w:sz w:val="24"/>
                <w:szCs w:val="24"/>
                <w:lang w:val="en-US" w:bidi="ar-SA"/>
              </w:rPr>
              <w:t>I7；</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内存：不低于8GB DDR4</w:t>
            </w:r>
            <w:r>
              <w:rPr>
                <w:rFonts w:ascii="Times New Roman" w:hAnsi="Times New Roman" w:cs="Times New Roman"/>
                <w:color w:val="000000"/>
                <w:sz w:val="24"/>
                <w:szCs w:val="24"/>
                <w:lang w:val="en-US" w:bidi="ar-SA"/>
              </w:rPr>
              <w:t xml:space="preserve"> ；</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硬盘：不小于</w:t>
            </w:r>
            <w:r>
              <w:rPr>
                <w:rFonts w:ascii="Times New Roman" w:hAnsi="Times New Roman" w:cs="Times New Roman"/>
                <w:color w:val="000000"/>
                <w:sz w:val="24"/>
                <w:szCs w:val="24"/>
                <w:lang w:val="en-US" w:bidi="ar-SA"/>
              </w:rPr>
              <w:t>512GB极速固态硬盘</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显卡：独立显卡，不低于2GB</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显示器：13寸及以上</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操作系统</w:t>
            </w:r>
            <w:r>
              <w:rPr>
                <w:rFonts w:hint="eastAsia" w:ascii="Times New Roman" w:hAnsi="Times New Roman" w:cs="Times New Roman"/>
                <w:color w:val="000000"/>
                <w:sz w:val="24"/>
                <w:szCs w:val="24"/>
                <w:lang w:val="en-US" w:eastAsia="zh-CN" w:bidi="ar-SA"/>
              </w:rPr>
              <w:t>：不低于</w:t>
            </w:r>
            <w:r>
              <w:rPr>
                <w:rFonts w:ascii="Times New Roman" w:hAnsi="Times New Roman" w:cs="Times New Roman"/>
                <w:color w:val="000000"/>
                <w:sz w:val="24"/>
                <w:szCs w:val="24"/>
                <w:lang w:val="en-US" w:bidi="ar-SA"/>
              </w:rPr>
              <w:t>WIN10。</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(二)</w:t>
            </w:r>
          </w:p>
        </w:tc>
        <w:tc>
          <w:tcPr>
            <w:tcW w:w="1282" w:type="dxa"/>
            <w:gridSpan w:val="2"/>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网络设备</w:t>
            </w:r>
          </w:p>
        </w:tc>
        <w:tc>
          <w:tcPr>
            <w:tcW w:w="6645" w:type="dxa"/>
            <w:vAlign w:val="center"/>
          </w:tcPr>
          <w:p>
            <w:pPr>
              <w:widowControl/>
              <w:jc w:val="center"/>
              <w:rPr>
                <w:rFonts w:ascii="Times New Roman" w:hAnsi="Times New Roman" w:cs="Times New Roman"/>
                <w:b/>
                <w:bCs/>
                <w:color w:val="000000"/>
                <w:sz w:val="24"/>
                <w:szCs w:val="24"/>
                <w:lang w:val="en-US" w:bidi="ar-SA"/>
              </w:rPr>
            </w:pPr>
          </w:p>
        </w:tc>
        <w:tc>
          <w:tcPr>
            <w:tcW w:w="748" w:type="dxa"/>
            <w:vAlign w:val="center"/>
          </w:tcPr>
          <w:p>
            <w:pPr>
              <w:widowControl/>
              <w:jc w:val="center"/>
              <w:rPr>
                <w:rFonts w:ascii="Times New Roman" w:hAnsi="Times New Roman" w:cs="Times New Roman"/>
                <w:b/>
                <w:bCs/>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路由器</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整机交换容量≥70Tbps，转发性能≥10000Mpps，配置冗余主控，冗余独立或集成交换网板，业务板槽位数≥8个；</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1个Console，含主控板和风扇；冗余电源；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5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支持不少于4个万兆光口、不少于24个千兆光口，不少于8个千兆电口，实配4个万兆单模光模块、</w:t>
            </w:r>
            <w:r>
              <w:rPr>
                <w:rFonts w:hint="eastAsia" w:ascii="Times New Roman" w:hAnsi="Times New Roman" w:cs="Times New Roman"/>
                <w:color w:val="000000"/>
                <w:sz w:val="24"/>
                <w:szCs w:val="24"/>
                <w:lang w:val="en-US" w:eastAsia="zh-CN" w:bidi="ar-SA"/>
              </w:rPr>
              <w:t>8</w:t>
            </w:r>
            <w:r>
              <w:rPr>
                <w:rFonts w:ascii="Times New Roman" w:hAnsi="Times New Roman" w:cs="Times New Roman"/>
                <w:color w:val="000000"/>
                <w:sz w:val="24"/>
                <w:szCs w:val="24"/>
                <w:lang w:val="en-US" w:bidi="ar-SA"/>
              </w:rPr>
              <w:t>个千兆单模光模块、</w:t>
            </w:r>
            <w:r>
              <w:rPr>
                <w:rFonts w:hint="eastAsia" w:ascii="Times New Roman" w:hAnsi="Times New Roman" w:cs="Times New Roman"/>
                <w:color w:val="000000"/>
                <w:sz w:val="24"/>
                <w:szCs w:val="24"/>
                <w:lang w:val="en-US" w:eastAsia="zh-CN" w:bidi="ar-SA"/>
              </w:rPr>
              <w:t>8</w:t>
            </w:r>
            <w:r>
              <w:rPr>
                <w:rFonts w:ascii="Times New Roman" w:hAnsi="Times New Roman" w:cs="Times New Roman"/>
                <w:color w:val="000000"/>
                <w:sz w:val="24"/>
                <w:szCs w:val="24"/>
                <w:lang w:val="en-US" w:bidi="ar-SA"/>
              </w:rPr>
              <w:t>个千兆多模光模块，支持热拔插；支持10G、40G等端口扩展。</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支持端口缓存功能；支持路由端口镜像及跨板卡镜像功能；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支持标准和扩展ACL（基于端口、VLAN、全局）功能，支持基于OSPFv2和BGP的路由过滤功能。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交换机1</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设备交换容量≥3</w:t>
            </w:r>
            <w:r>
              <w:rPr>
                <w:rFonts w:hint="eastAsia" w:ascii="Times New Roman" w:hAnsi="Times New Roman" w:cs="Times New Roman"/>
                <w:color w:val="000000"/>
                <w:sz w:val="24"/>
                <w:szCs w:val="24"/>
                <w:lang w:val="en-US" w:bidi="ar-SA"/>
              </w:rPr>
              <w:t>20G</w:t>
            </w:r>
            <w:r>
              <w:rPr>
                <w:rFonts w:ascii="Times New Roman" w:hAnsi="Times New Roman" w:cs="Times New Roman"/>
                <w:color w:val="000000"/>
                <w:sz w:val="24"/>
                <w:szCs w:val="24"/>
                <w:lang w:val="en-US" w:bidi="ar-SA"/>
              </w:rPr>
              <w:t>bps，包转发率≥125Mpps；</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100/1000M自适应端口≥24个，万兆SFP+接口≥2个，满配多模光模块；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配置标准USB接口，支持U盘快速开局；</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支持RIP、RIPng、OSPF、OSPFv3路由协议；</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配置冗余交流电源；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支持分布式设备管理、分布式链路聚合，统一路由管理；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支持终端脆弱性扫描功能。支持ZTP,可实现零配置、零IP开局。</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交换机2</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设备交换容量≥</w:t>
            </w:r>
            <w:r>
              <w:rPr>
                <w:rFonts w:hint="eastAsia" w:ascii="Times New Roman" w:hAnsi="Times New Roman" w:cs="Times New Roman"/>
                <w:color w:val="000000"/>
                <w:sz w:val="24"/>
                <w:szCs w:val="24"/>
                <w:lang w:val="en-US" w:bidi="ar-SA"/>
              </w:rPr>
              <w:t>320G</w:t>
            </w:r>
            <w:r>
              <w:rPr>
                <w:rFonts w:ascii="Times New Roman" w:hAnsi="Times New Roman" w:cs="Times New Roman"/>
                <w:color w:val="000000"/>
                <w:sz w:val="24"/>
                <w:szCs w:val="24"/>
                <w:lang w:val="en-US" w:bidi="ar-SA"/>
              </w:rPr>
              <w:t>bps，包转发率≥165Mpps；</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100/1000M自适应端口≥48个，千兆SFP接口≥2个，</w:t>
            </w:r>
            <w:r>
              <w:rPr>
                <w:rFonts w:hint="eastAsia" w:ascii="Times New Roman" w:hAnsi="Times New Roman" w:cs="Times New Roman"/>
                <w:color w:val="000000"/>
                <w:sz w:val="24"/>
                <w:szCs w:val="24"/>
                <w:lang w:val="en-US" w:bidi="ar-SA"/>
              </w:rPr>
              <w:t>配置2个</w:t>
            </w:r>
            <w:r>
              <w:rPr>
                <w:rFonts w:ascii="Times New Roman" w:hAnsi="Times New Roman" w:cs="Times New Roman"/>
                <w:color w:val="000000"/>
                <w:sz w:val="24"/>
                <w:szCs w:val="24"/>
                <w:lang w:val="en-US" w:bidi="ar-SA"/>
              </w:rPr>
              <w:t>多模光模块；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双电源；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必须采用前后直通风风道设计，冗余风扇，配置标准USB接口，支持U盘快速开局；</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支持RIP、RIPng、OSPF、OSPFv3路由协议；</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支持VXLAN二层转发功能；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支持横向虚拟化功能，支持分布式设备管理、分布式链路聚合，统一路由管理。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交换机3</w:t>
            </w:r>
          </w:p>
        </w:tc>
        <w:tc>
          <w:tcPr>
            <w:tcW w:w="696" w:type="dxa"/>
            <w:vMerge w:val="restart"/>
            <w:vAlign w:val="center"/>
          </w:tcPr>
          <w:p>
            <w:pPr>
              <w:widowControl/>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4</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设备交换容量≥</w:t>
            </w:r>
            <w:r>
              <w:rPr>
                <w:rFonts w:hint="eastAsia" w:ascii="Times New Roman" w:hAnsi="Times New Roman" w:cs="Times New Roman"/>
                <w:color w:val="000000"/>
                <w:sz w:val="24"/>
                <w:szCs w:val="24"/>
                <w:lang w:val="en-US" w:bidi="ar-SA"/>
              </w:rPr>
              <w:t>320G</w:t>
            </w:r>
            <w:r>
              <w:rPr>
                <w:rFonts w:ascii="Times New Roman" w:hAnsi="Times New Roman" w:cs="Times New Roman"/>
                <w:color w:val="000000"/>
                <w:sz w:val="24"/>
                <w:szCs w:val="24"/>
                <w:lang w:val="en-US" w:bidi="ar-SA"/>
              </w:rPr>
              <w:t>bps，包转发率≥165Mpps；</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100/1000M自适应端口≥48个；</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必须采用前后直通风风道设计，冗余风扇，双电源，配置标准USB接口，支持U盘快速开局；</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支持RIP、RIPng、OSPF、OSPFv3路由协议；</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支持VXLAN二层转发功能；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支持分布式设备管理、分布式链路聚合，统一路由管理。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5</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w:t>
            </w:r>
            <w:r>
              <w:rPr>
                <w:rFonts w:hint="eastAsia" w:ascii="Times New Roman" w:hAnsi="Times New Roman" w:cs="Times New Roman"/>
                <w:color w:val="000000"/>
                <w:sz w:val="24"/>
                <w:szCs w:val="24"/>
                <w:lang w:val="en-US" w:bidi="ar-SA"/>
              </w:rPr>
              <w:t>4</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业务槽位数≥8；主控引擎与交换网板物理分离；</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主控引擎≥2个，交换网板插槽数量≥4个，独立风扇框数≥4个；</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双主控，独立交换网板卡≥4，冗余电源；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万兆光接口≥</w:t>
            </w:r>
            <w:r>
              <w:rPr>
                <w:rFonts w:hint="eastAsia" w:ascii="Times New Roman" w:hAnsi="Times New Roman" w:cs="Times New Roman"/>
                <w:color w:val="000000"/>
                <w:sz w:val="24"/>
                <w:szCs w:val="24"/>
                <w:lang w:val="en-US" w:bidi="ar-SA"/>
              </w:rPr>
              <w:t>96</w:t>
            </w:r>
            <w:r>
              <w:rPr>
                <w:rFonts w:ascii="Times New Roman" w:hAnsi="Times New Roman" w:cs="Times New Roman"/>
                <w:color w:val="000000"/>
                <w:sz w:val="24"/>
                <w:szCs w:val="24"/>
                <w:lang w:val="en-US" w:bidi="ar-SA"/>
              </w:rPr>
              <w:t>，</w:t>
            </w:r>
            <w:r>
              <w:rPr>
                <w:rFonts w:hint="eastAsia" w:ascii="Times New Roman" w:hAnsi="Times New Roman" w:cs="Times New Roman"/>
                <w:color w:val="000000"/>
                <w:sz w:val="24"/>
                <w:szCs w:val="24"/>
                <w:lang w:val="en-US" w:bidi="ar-SA"/>
              </w:rPr>
              <w:t>配置24个万兆单模光模块，72个万兆</w:t>
            </w:r>
            <w:r>
              <w:rPr>
                <w:rFonts w:ascii="Times New Roman" w:hAnsi="Times New Roman" w:cs="Times New Roman"/>
                <w:color w:val="000000"/>
                <w:sz w:val="24"/>
                <w:szCs w:val="24"/>
                <w:lang w:val="en-US" w:bidi="ar-SA"/>
              </w:rPr>
              <w:t>多模光模块</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千兆光接口≥48，</w:t>
            </w:r>
            <w:r>
              <w:rPr>
                <w:rFonts w:hint="eastAsia" w:ascii="Times New Roman" w:hAnsi="Times New Roman" w:cs="Times New Roman"/>
                <w:color w:val="000000"/>
                <w:sz w:val="24"/>
                <w:szCs w:val="24"/>
                <w:lang w:val="en-US" w:bidi="ar-SA"/>
              </w:rPr>
              <w:t>配置24个</w:t>
            </w:r>
            <w:r>
              <w:rPr>
                <w:rFonts w:ascii="Times New Roman" w:hAnsi="Times New Roman" w:cs="Times New Roman"/>
                <w:color w:val="000000"/>
                <w:sz w:val="24"/>
                <w:szCs w:val="24"/>
                <w:lang w:val="en-US" w:bidi="ar-SA"/>
              </w:rPr>
              <w:t>千兆单模模块</w:t>
            </w:r>
            <w:r>
              <w:rPr>
                <w:rFonts w:hint="eastAsia" w:ascii="Times New Roman" w:hAnsi="Times New Roman" w:cs="Times New Roman"/>
                <w:color w:val="000000"/>
                <w:sz w:val="24"/>
                <w:szCs w:val="24"/>
                <w:lang w:val="en-US" w:bidi="ar-SA"/>
              </w:rPr>
              <w:t>，24个</w:t>
            </w:r>
            <w:r>
              <w:rPr>
                <w:rFonts w:ascii="Times New Roman" w:hAnsi="Times New Roman" w:cs="Times New Roman"/>
                <w:color w:val="000000"/>
                <w:sz w:val="24"/>
                <w:szCs w:val="24"/>
                <w:lang w:val="en-US" w:bidi="ar-SA"/>
              </w:rPr>
              <w:t>千兆多模模块</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千兆电口≥</w:t>
            </w:r>
            <w:r>
              <w:rPr>
                <w:rFonts w:hint="eastAsia" w:ascii="Times New Roman" w:hAnsi="Times New Roman" w:cs="Times New Roman"/>
                <w:color w:val="000000"/>
                <w:sz w:val="24"/>
                <w:szCs w:val="24"/>
                <w:lang w:val="en-US" w:bidi="ar-SA"/>
              </w:rPr>
              <w:t>48</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交换容量≥500Tbps；包转发率≥95000Mpps；</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支持硬件监控板卡，可以监控设备的电源等模块的工作状态；</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交换机每端口支持200ms大缓存；</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支持RIP、OSPF、ISIS、BGP等IPv4动态路由协议；</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支持RIPng、OSPFv3、ISISv6、BGP4+等IPv6动态路由协议；</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支持IEEE 802.1d(STP)、 802.1w(RSTP)、 802.1s(MSTP)；</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支持VLAN内端口隔离；</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支持1:1、 N:1、1:N端口镜像，支持流镜像，支持远程端口镜像（RSPAN），支持ERSPAN。</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6</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w:t>
            </w:r>
            <w:r>
              <w:rPr>
                <w:rFonts w:hint="eastAsia" w:ascii="Times New Roman" w:hAnsi="Times New Roman" w:cs="Times New Roman"/>
                <w:color w:val="000000"/>
                <w:sz w:val="24"/>
                <w:szCs w:val="24"/>
                <w:lang w:val="en-US" w:bidi="ar-SA"/>
              </w:rPr>
              <w:t>5</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4</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设备交换容量≥</w:t>
            </w:r>
            <w:r>
              <w:rPr>
                <w:rFonts w:hint="eastAsia" w:ascii="Times New Roman" w:hAnsi="Times New Roman" w:cs="Times New Roman"/>
                <w:color w:val="000000"/>
                <w:sz w:val="24"/>
                <w:szCs w:val="24"/>
                <w:lang w:val="en-US" w:bidi="ar-SA"/>
              </w:rPr>
              <w:t>320G</w:t>
            </w:r>
            <w:r>
              <w:rPr>
                <w:rFonts w:ascii="Times New Roman" w:hAnsi="Times New Roman" w:cs="Times New Roman"/>
                <w:color w:val="000000"/>
                <w:sz w:val="24"/>
                <w:szCs w:val="24"/>
                <w:lang w:val="en-US" w:bidi="ar-SA"/>
              </w:rPr>
              <w:t>bps，包转发率≥165Mpps；</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100/1000M自适应端口≥48个，千兆SFP接口≥2个，</w:t>
            </w:r>
            <w:r>
              <w:rPr>
                <w:rFonts w:hint="eastAsia" w:ascii="Times New Roman" w:hAnsi="Times New Roman" w:cs="Times New Roman"/>
                <w:color w:val="000000"/>
                <w:sz w:val="24"/>
                <w:szCs w:val="24"/>
                <w:lang w:val="en-US" w:bidi="ar-SA"/>
              </w:rPr>
              <w:t>配置2个</w:t>
            </w:r>
            <w:r>
              <w:rPr>
                <w:rFonts w:ascii="Times New Roman" w:hAnsi="Times New Roman" w:cs="Times New Roman"/>
                <w:color w:val="000000"/>
                <w:sz w:val="24"/>
                <w:szCs w:val="24"/>
                <w:lang w:val="en-US" w:bidi="ar-SA"/>
              </w:rPr>
              <w:t>单模光模块；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双电源；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必须采用前后直通风风道设计，冗余风扇，配置标准USB接口，支持U盘快速开局；</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支持RIP、RIPng、OSPF、OSPFv3路由协议；</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支持VXLAN二层转发功能；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支持横向虚拟化功能，支持分布式设备管理、分布式链路聚合，统一路由管理。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restart"/>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7</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w:t>
            </w:r>
            <w:r>
              <w:rPr>
                <w:rFonts w:hint="eastAsia" w:ascii="Times New Roman" w:hAnsi="Times New Roman" w:cs="Times New Roman"/>
                <w:color w:val="000000"/>
                <w:sz w:val="24"/>
                <w:szCs w:val="24"/>
                <w:lang w:val="en-US" w:bidi="ar-SA"/>
              </w:rPr>
              <w:t>6</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设备交换容量≥</w:t>
            </w:r>
            <w:r>
              <w:rPr>
                <w:rFonts w:hint="eastAsia" w:ascii="Times New Roman" w:hAnsi="Times New Roman" w:cs="Times New Roman"/>
                <w:color w:val="000000"/>
                <w:sz w:val="24"/>
                <w:szCs w:val="24"/>
                <w:lang w:val="en-US" w:bidi="ar-SA"/>
              </w:rPr>
              <w:t>320G</w:t>
            </w:r>
            <w:r>
              <w:rPr>
                <w:rFonts w:ascii="Times New Roman" w:hAnsi="Times New Roman" w:cs="Times New Roman"/>
                <w:color w:val="000000"/>
                <w:sz w:val="24"/>
                <w:szCs w:val="24"/>
                <w:lang w:val="en-US" w:bidi="ar-SA"/>
              </w:rPr>
              <w:t>bps，包转发率≥165Mpps；</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100/1000M自适应端口≥48个，</w:t>
            </w:r>
            <w:r>
              <w:rPr>
                <w:rFonts w:hint="eastAsia" w:ascii="Times New Roman" w:hAnsi="Times New Roman" w:cs="Times New Roman"/>
                <w:color w:val="000000"/>
                <w:sz w:val="24"/>
                <w:szCs w:val="24"/>
                <w:lang w:val="en-US" w:bidi="ar-SA"/>
              </w:rPr>
              <w:t>万兆</w:t>
            </w:r>
            <w:r>
              <w:rPr>
                <w:rFonts w:ascii="Times New Roman" w:hAnsi="Times New Roman" w:cs="Times New Roman"/>
                <w:color w:val="000000"/>
                <w:sz w:val="24"/>
                <w:szCs w:val="24"/>
                <w:lang w:val="en-US" w:bidi="ar-SA"/>
              </w:rPr>
              <w:t>SFP</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接口≥2个，</w:t>
            </w:r>
            <w:r>
              <w:rPr>
                <w:rFonts w:hint="eastAsia" w:ascii="Times New Roman" w:hAnsi="Times New Roman" w:cs="Times New Roman"/>
                <w:color w:val="000000"/>
                <w:sz w:val="24"/>
                <w:szCs w:val="24"/>
                <w:lang w:val="en-US" w:bidi="ar-SA"/>
              </w:rPr>
              <w:t>配置2个多</w:t>
            </w:r>
            <w:r>
              <w:rPr>
                <w:rFonts w:ascii="Times New Roman" w:hAnsi="Times New Roman" w:cs="Times New Roman"/>
                <w:color w:val="000000"/>
                <w:sz w:val="24"/>
                <w:szCs w:val="24"/>
                <w:lang w:val="en-US" w:bidi="ar-SA"/>
              </w:rPr>
              <w:t>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19"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双电源；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必须采用前后直通风风道设计，冗余风扇，配置标准USB接口，支持U盘快速开局；</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87"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支持RIP、RIPng、OSPF、OSPFv3路由协议；</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7"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支持VXLAN二层转发功能；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支持横向虚拟化功能，支持分布式设备管理、分布式链路聚合，统一路由管理。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rPr>
        <w:tc>
          <w:tcPr>
            <w:tcW w:w="745" w:type="dxa"/>
            <w:vMerge w:val="restart"/>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8</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交换机</w:t>
            </w:r>
            <w:r>
              <w:rPr>
                <w:rFonts w:hint="eastAsia" w:ascii="Times New Roman" w:hAnsi="Times New Roman" w:cs="Times New Roman"/>
                <w:color w:val="000000"/>
                <w:sz w:val="24"/>
                <w:szCs w:val="24"/>
                <w:lang w:val="en-US" w:bidi="ar-SA"/>
              </w:rPr>
              <w:t>7</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4</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设备交换容量≥</w:t>
            </w:r>
            <w:r>
              <w:rPr>
                <w:rFonts w:hint="eastAsia" w:ascii="Times New Roman" w:hAnsi="Times New Roman" w:cs="Times New Roman"/>
                <w:color w:val="000000"/>
                <w:sz w:val="24"/>
                <w:szCs w:val="24"/>
                <w:lang w:val="en-US" w:bidi="ar-SA"/>
              </w:rPr>
              <w:t>2.5TG</w:t>
            </w:r>
            <w:r>
              <w:rPr>
                <w:rFonts w:ascii="Times New Roman" w:hAnsi="Times New Roman" w:cs="Times New Roman"/>
                <w:color w:val="000000"/>
                <w:sz w:val="24"/>
                <w:szCs w:val="24"/>
                <w:lang w:val="en-US" w:bidi="ar-SA"/>
              </w:rPr>
              <w:t>bps，包转发率≥16</w:t>
            </w:r>
            <w:r>
              <w:rPr>
                <w:rFonts w:hint="eastAsia" w:ascii="Times New Roman" w:hAnsi="Times New Roman" w:cs="Times New Roman"/>
                <w:color w:val="000000"/>
                <w:sz w:val="24"/>
                <w:szCs w:val="24"/>
                <w:lang w:val="en-US" w:bidi="ar-SA"/>
              </w:rPr>
              <w:t>00</w:t>
            </w:r>
            <w:r>
              <w:rPr>
                <w:rFonts w:ascii="Times New Roman" w:hAnsi="Times New Roman" w:cs="Times New Roman"/>
                <w:color w:val="000000"/>
                <w:sz w:val="24"/>
                <w:szCs w:val="24"/>
                <w:lang w:val="en-US" w:bidi="ar-SA"/>
              </w:rPr>
              <w:t>Mpps；</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万兆</w:t>
            </w:r>
            <w:r>
              <w:rPr>
                <w:rFonts w:ascii="Times New Roman" w:hAnsi="Times New Roman" w:cs="Times New Roman"/>
                <w:color w:val="000000"/>
                <w:sz w:val="24"/>
                <w:szCs w:val="24"/>
                <w:lang w:val="en-US" w:bidi="ar-SA"/>
              </w:rPr>
              <w:t>SFP</w:t>
            </w:r>
            <w:r>
              <w:rPr>
                <w:rFonts w:hint="eastAsia"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接口≥48个，</w:t>
            </w:r>
            <w:r>
              <w:rPr>
                <w:rFonts w:hint="eastAsia" w:ascii="Times New Roman" w:hAnsi="Times New Roman" w:cs="Times New Roman"/>
                <w:color w:val="000000"/>
                <w:sz w:val="24"/>
                <w:szCs w:val="24"/>
                <w:lang w:val="en-US" w:bidi="ar-SA"/>
              </w:rPr>
              <w:t>满配多模光模块</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9"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双电源；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5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必须采用前后直通风风道设计，冗余风扇，配置标准USB接口，支持U盘快速开局；</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59"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支持RIP、RIPng、OSPF、OSPFv3路由协议；</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83"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支持VXLAN二层转发功能；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支持横向虚拟化功能，支持分布式设备管理、分布式链路聚合，统一路由管理。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color w:val="000000"/>
                <w:szCs w:val="21"/>
              </w:rPr>
              <w:t>要求实际配置MPLS二层VPN和三层VPN功能。</w:t>
            </w:r>
          </w:p>
        </w:tc>
        <w:tc>
          <w:tcPr>
            <w:tcW w:w="748" w:type="dxa"/>
            <w:vAlign w:val="center"/>
          </w:tcPr>
          <w:p>
            <w:pPr>
              <w:widowControl/>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(三)</w:t>
            </w:r>
          </w:p>
        </w:tc>
        <w:tc>
          <w:tcPr>
            <w:tcW w:w="1282" w:type="dxa"/>
            <w:gridSpan w:val="2"/>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安全设备</w:t>
            </w:r>
          </w:p>
        </w:tc>
        <w:tc>
          <w:tcPr>
            <w:tcW w:w="6645" w:type="dxa"/>
            <w:vAlign w:val="center"/>
          </w:tcPr>
          <w:p>
            <w:pPr>
              <w:widowControl/>
              <w:jc w:val="center"/>
              <w:rPr>
                <w:rFonts w:ascii="Times New Roman" w:hAnsi="Times New Roman" w:cs="Times New Roman"/>
                <w:b/>
                <w:bCs/>
                <w:color w:val="000000"/>
                <w:sz w:val="24"/>
                <w:szCs w:val="24"/>
                <w:lang w:val="en-US" w:bidi="ar-SA"/>
              </w:rPr>
            </w:pPr>
          </w:p>
        </w:tc>
        <w:tc>
          <w:tcPr>
            <w:tcW w:w="748" w:type="dxa"/>
            <w:vAlign w:val="center"/>
          </w:tcPr>
          <w:p>
            <w:pPr>
              <w:widowControl/>
              <w:jc w:val="center"/>
              <w:rPr>
                <w:rFonts w:ascii="Times New Roman" w:hAnsi="Times New Roman" w:cs="Times New Roman"/>
                <w:b/>
                <w:bCs/>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防火墙</w:t>
            </w:r>
            <w:r>
              <w:rPr>
                <w:rFonts w:hint="eastAsia" w:ascii="Times New Roman" w:hAnsi="Times New Roman" w:cs="Times New Roman"/>
                <w:color w:val="000000"/>
                <w:sz w:val="24"/>
                <w:szCs w:val="24"/>
                <w:lang w:val="en-US" w:bidi="ar-SA"/>
              </w:rPr>
              <w:t>1</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千兆电口≥8个，万兆光口≥2个， 满配多模光模块；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整机吞吐率≥4Gbps，最大并发连接数≥400万，每秒新建连接数≥7.8万；</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AC冗余电源；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支持远程VPN功能，配置SSL VPN并发数≥100；</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5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能够基于时间、用户/用户组/安全组、应用层协议、IP地址、端口、域名组、URL分类、接入类型、终端类型、设备组、VLANID、内容安全统一界面进行安全策略配置</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支持静态路由、策略路由、RIP、OSPF、BGP等路由协议</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2</w:t>
            </w:r>
          </w:p>
        </w:tc>
        <w:tc>
          <w:tcPr>
            <w:tcW w:w="586" w:type="dxa"/>
            <w:vMerge w:val="restart"/>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防火墙</w:t>
            </w:r>
            <w:r>
              <w:rPr>
                <w:rFonts w:hint="eastAsia" w:ascii="Times New Roman" w:hAnsi="Times New Roman" w:cs="Times New Roman"/>
                <w:color w:val="000000"/>
                <w:sz w:val="24"/>
                <w:szCs w:val="24"/>
                <w:lang w:val="en-US" w:bidi="ar-SA"/>
              </w:rPr>
              <w:t>2</w:t>
            </w:r>
          </w:p>
        </w:tc>
        <w:tc>
          <w:tcPr>
            <w:tcW w:w="696" w:type="dxa"/>
            <w:vMerge w:val="restart"/>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10/100M/1000M自适应千兆电接口</w:t>
            </w:r>
            <w:r>
              <w:rPr>
                <w:rFonts w:ascii="Times New Roman" w:hAnsi="Times New Roman" w:cs="Times New Roman"/>
                <w:color w:val="000000"/>
                <w:sz w:val="24"/>
                <w:szCs w:val="24"/>
                <w:lang w:val="en-US" w:bidi="ar-SA"/>
              </w:rPr>
              <w:t>≥</w:t>
            </w:r>
            <w:r>
              <w:rPr>
                <w:rFonts w:hint="eastAsia" w:ascii="Times New Roman" w:hAnsi="Times New Roman" w:cs="Times New Roman"/>
                <w:color w:val="000000"/>
                <w:sz w:val="24"/>
                <w:szCs w:val="24"/>
                <w:lang w:val="en-US" w:bidi="ar-SA"/>
              </w:rPr>
              <w:t>4</w:t>
            </w:r>
            <w:r>
              <w:rPr>
                <w:rFonts w:ascii="Times New Roman" w:hAnsi="Times New Roman" w:cs="Times New Roman"/>
                <w:color w:val="000000"/>
                <w:sz w:val="24"/>
                <w:szCs w:val="24"/>
                <w:lang w:val="en-US" w:bidi="ar-SA"/>
              </w:rPr>
              <w:t>个；</w:t>
            </w:r>
            <w:r>
              <w:rPr>
                <w:rFonts w:hint="eastAsia" w:ascii="Times New Roman" w:hAnsi="Times New Roman" w:cs="Times New Roman"/>
                <w:color w:val="000000"/>
                <w:sz w:val="24"/>
                <w:szCs w:val="24"/>
                <w:lang w:val="en-US" w:bidi="ar-SA"/>
              </w:rPr>
              <w:t>USB接口数</w:t>
            </w:r>
            <w:r>
              <w:rPr>
                <w:rFonts w:ascii="Times New Roman" w:hAnsi="Times New Roman" w:cs="Times New Roman"/>
                <w:color w:val="000000"/>
                <w:sz w:val="24"/>
                <w:szCs w:val="24"/>
                <w:lang w:val="en-US" w:bidi="ar-SA"/>
              </w:rPr>
              <w:t>≥</w:t>
            </w:r>
            <w:r>
              <w:rPr>
                <w:rFonts w:hint="eastAsia" w:ascii="Times New Roman" w:hAnsi="Times New Roman" w:cs="Times New Roman"/>
                <w:color w:val="000000"/>
                <w:sz w:val="24"/>
                <w:szCs w:val="24"/>
                <w:lang w:val="en-US" w:bidi="ar-SA"/>
              </w:rPr>
              <w:t>2</w:t>
            </w:r>
            <w:r>
              <w:rPr>
                <w:rFonts w:ascii="Times New Roman" w:hAnsi="Times New Roman" w:cs="Times New Roman"/>
                <w:color w:val="000000"/>
                <w:sz w:val="24"/>
                <w:szCs w:val="24"/>
                <w:lang w:val="en-US" w:bidi="ar-SA"/>
              </w:rPr>
              <w:t>个</w:t>
            </w:r>
            <w:r>
              <w:rPr>
                <w:rFonts w:hint="eastAsia" w:ascii="Times New Roman" w:hAnsi="Times New Roman" w:cs="Times New Roman"/>
                <w:color w:val="000000"/>
                <w:sz w:val="24"/>
                <w:szCs w:val="24"/>
                <w:lang w:val="en-US" w:bidi="ar-SA"/>
              </w:rPr>
              <w:t>，RJ45串口</w:t>
            </w:r>
            <w:r>
              <w:rPr>
                <w:rFonts w:ascii="Times New Roman" w:hAnsi="Times New Roman" w:cs="Times New Roman"/>
                <w:color w:val="000000"/>
                <w:sz w:val="24"/>
                <w:szCs w:val="24"/>
                <w:lang w:val="en-US" w:bidi="ar-SA"/>
              </w:rPr>
              <w:t>≥</w:t>
            </w:r>
            <w:r>
              <w:rPr>
                <w:rFonts w:hint="eastAsia" w:ascii="Times New Roman" w:hAnsi="Times New Roman" w:cs="Times New Roman"/>
                <w:color w:val="000000"/>
                <w:sz w:val="24"/>
                <w:szCs w:val="24"/>
                <w:lang w:val="en-US" w:bidi="ar-SA"/>
              </w:rPr>
              <w:t>1</w:t>
            </w:r>
            <w:r>
              <w:rPr>
                <w:rFonts w:ascii="Times New Roman" w:hAnsi="Times New Roman" w:cs="Times New Roman"/>
                <w:color w:val="000000"/>
                <w:sz w:val="24"/>
                <w:szCs w:val="24"/>
                <w:lang w:val="en-US" w:bidi="ar-SA"/>
              </w:rPr>
              <w:t>个</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整机最大吞吐量≥2G</w:t>
            </w:r>
            <w:r>
              <w:rPr>
                <w:rFonts w:hint="eastAsia" w:ascii="Times New Roman" w:hAnsi="Times New Roman" w:cs="Times New Roman"/>
                <w:color w:val="000000"/>
                <w:sz w:val="24"/>
                <w:szCs w:val="24"/>
                <w:lang w:val="en-US" w:eastAsia="zh-CN" w:bidi="ar-SA"/>
              </w:rPr>
              <w:t>，</w:t>
            </w:r>
            <w:r>
              <w:rPr>
                <w:rFonts w:hint="eastAsia" w:ascii="Times New Roman" w:hAnsi="Times New Roman" w:cs="Times New Roman"/>
                <w:color w:val="000000"/>
                <w:sz w:val="24"/>
                <w:szCs w:val="24"/>
                <w:lang w:val="en-US" w:bidi="ar-SA"/>
              </w:rPr>
              <w:t>最大并发连接数≥150万，每秒TCP新建连接数≥2万，IPSec VPN默认隧道数≥200，IPSec VPN吞吐量≥200M</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rPr>
              <w:t>支持访问控制、入侵防御、网络防病毒、上网行为及URL分类管理、流控和IPSec VPN模块。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3</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网络入侵防御设备</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内部不低于4G，硬盘不少于SSD 64G硬盘，端口不少于8个千兆电口</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IPS吞吐量≥2Gbps，并发连结数≥400万，新建连接数≥8万。</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rPr>
              <w:t>IPS检测到攻击报文或攻击流量后，支持阻断、隔离等响应方式</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5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深入七层的分析检测技术，能检测防范的攻击类型包括：蠕虫/病毒、木马、后门、DoS/DDoS攻击、探测/扫描、间谍软件、网络钓鱼、利用漏洞的攻击、SQL注入攻击、缓冲区溢出攻击、协议异常、IDS/IPS逃逸攻击等</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支持路由模式、透明网桥部署、旁路部署、单臂部署以及混合部署等多种方式，并支持bypass模式</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4</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数据库审计系统</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CPU规格：不低于4核；内存容量：不低于16GB；硬盘容量：≥1TB：</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端口</w:t>
            </w:r>
            <w:r>
              <w:rPr>
                <w:rFonts w:ascii="Times New Roman" w:hAnsi="Times New Roman" w:cs="Times New Roman"/>
                <w:color w:val="000000"/>
                <w:sz w:val="24"/>
                <w:szCs w:val="24"/>
                <w:lang w:val="en-US" w:bidi="ar-SA"/>
              </w:rPr>
              <w:t>：</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4个千兆电+4个千兆光，满配多模光模块；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总网络吞吐量：2000Mbps；双向审计最大数据库流量：200Mbps；峰值事务处理能力TPS：20000条/秒；日志数量存储：20亿条；</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数据库实例授权许可数量：20个；</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62"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支持自动式排错流程，支持B/S和C/S业务系统三层关联审计，可以通过导入证书的方式实现审计和防护</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2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hint="eastAsia"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支持Oracle、Microsoft SQL Server、DB2、Sybase,、MySQL、Postgresql、人大金仓（Kingbase）、达梦(DM)、、南大通用、cache、Teradata、MongoDB、Redis等主流数据库的审计</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hint="eastAsia"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支持主流业务协议HTTP、Telnet、FTP的审计，支持数据库请求和返回的双向审计，内置安全特征库</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9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eastAsia="zh-CN" w:bidi="ar-SA"/>
              </w:rPr>
              <w:t>支持</w:t>
            </w:r>
            <w:r>
              <w:rPr>
                <w:rFonts w:hint="eastAsia" w:ascii="Times New Roman" w:hAnsi="Times New Roman" w:cs="Times New Roman"/>
                <w:color w:val="000000"/>
                <w:sz w:val="24"/>
                <w:szCs w:val="24"/>
                <w:lang w:val="en-US" w:bidi="ar-SA"/>
              </w:rPr>
              <w:t>自定义审计规则，支持对在线数据的备份。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30"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5</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日志审计系统</w:t>
            </w:r>
          </w:p>
        </w:tc>
        <w:tc>
          <w:tcPr>
            <w:tcW w:w="696" w:type="dxa"/>
            <w:vMerge w:val="restart"/>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端口</w:t>
            </w:r>
            <w:r>
              <w:rPr>
                <w:rFonts w:ascii="Times New Roman" w:hAnsi="Times New Roman" w:cs="Times New Roman"/>
                <w:color w:val="000000"/>
                <w:sz w:val="24"/>
                <w:szCs w:val="24"/>
                <w:lang w:val="en-US" w:bidi="ar-SA"/>
              </w:rPr>
              <w:t>：</w:t>
            </w:r>
            <w:r>
              <w:rPr>
                <w:rFonts w:hint="eastAsia" w:ascii="Times New Roman" w:hAnsi="Times New Roman" w:cs="Times New Roman"/>
                <w:color w:val="000000"/>
                <w:sz w:val="24"/>
                <w:szCs w:val="24"/>
                <w:lang w:val="en-US" w:bidi="ar-SA"/>
              </w:rPr>
              <w:t>不少于4</w:t>
            </w:r>
            <w:r>
              <w:rPr>
                <w:rFonts w:ascii="Times New Roman" w:hAnsi="Times New Roman" w:cs="Times New Roman"/>
                <w:color w:val="000000"/>
                <w:sz w:val="24"/>
                <w:szCs w:val="24"/>
                <w:lang w:val="en-US" w:bidi="ar-SA"/>
              </w:rPr>
              <w:t>个千兆电口，4个千兆光口（</w:t>
            </w:r>
            <w:r>
              <w:rPr>
                <w:rFonts w:hint="eastAsia" w:ascii="Times New Roman" w:hAnsi="Times New Roman" w:cs="Times New Roman"/>
                <w:color w:val="000000"/>
                <w:sz w:val="24"/>
                <w:szCs w:val="24"/>
                <w:lang w:val="en-US" w:bidi="ar-SA"/>
              </w:rPr>
              <w:t>满配多模光模块</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内存：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16GB，磁盘：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4T*2 raid1（支持raid1、raid5），双电源；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日志处理能力EPS：≥</w:t>
            </w:r>
            <w:r>
              <w:rPr>
                <w:rFonts w:hint="eastAsia" w:ascii="Times New Roman" w:hAnsi="Times New Roman" w:cs="Times New Roman"/>
                <w:color w:val="000000"/>
                <w:sz w:val="24"/>
                <w:szCs w:val="24"/>
                <w:lang w:val="en-US" w:bidi="ar-SA"/>
              </w:rPr>
              <w:t>7</w:t>
            </w:r>
            <w:r>
              <w:rPr>
                <w:rFonts w:ascii="Times New Roman" w:hAnsi="Times New Roman" w:cs="Times New Roman"/>
                <w:color w:val="000000"/>
                <w:sz w:val="24"/>
                <w:szCs w:val="24"/>
                <w:lang w:val="en-US" w:bidi="ar-SA"/>
              </w:rPr>
              <w:t>000/秒，授权：200个日志源，支持IPV6部署、IPV6协议识别</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支持解析规则性能以界面列表形式显示；</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支持数据源、报表项、报表的界面自定义功能，可在界面快速实现个性化的统计定制需求</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添加用户资产时，提供自动发现识别能力；</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支持独立完成审计日志采集，不依赖于设备或系统自身的日志系统；</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支持将日志收集策略统一分发；</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支持通过自定义配置过滤掉用户不关心的日志；支持日志统计汇总及综合分析功能，实现对信息系统整体安全状况的全面审计。</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6</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堡垒机</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端口</w:t>
            </w:r>
            <w:r>
              <w:rPr>
                <w:rFonts w:ascii="Times New Roman" w:hAnsi="Times New Roman" w:cs="Times New Roman"/>
                <w:color w:val="000000"/>
                <w:sz w:val="24"/>
                <w:szCs w:val="24"/>
                <w:lang w:val="en-US" w:bidi="ar-SA"/>
              </w:rPr>
              <w:t>：千兆电口</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6</w:t>
            </w:r>
            <w:r>
              <w:rPr>
                <w:rFonts w:hint="eastAsia" w:ascii="Times New Roman" w:hAnsi="Times New Roman" w:cs="Times New Roman"/>
                <w:color w:val="000000"/>
                <w:sz w:val="24"/>
                <w:szCs w:val="24"/>
                <w:lang w:val="en-US" w:bidi="ar-SA"/>
              </w:rPr>
              <w:t>个；</w:t>
            </w:r>
            <w:r>
              <w:rPr>
                <w:rFonts w:ascii="Times New Roman" w:hAnsi="Times New Roman" w:cs="Times New Roman"/>
                <w:color w:val="000000"/>
                <w:sz w:val="24"/>
                <w:szCs w:val="24"/>
                <w:lang w:val="en-US" w:bidi="ar-SA"/>
              </w:rPr>
              <w:t>千兆业务光口</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4，万兆光口</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w:t>
            </w:r>
            <w:r>
              <w:rPr>
                <w:rFonts w:hint="eastAsia" w:ascii="Times New Roman" w:hAnsi="Times New Roman" w:cs="Times New Roman"/>
                <w:color w:val="000000"/>
                <w:sz w:val="24"/>
                <w:szCs w:val="24"/>
                <w:lang w:val="en-US" w:bidi="ar-SA"/>
              </w:rPr>
              <w:t>满配</w:t>
            </w:r>
            <w:r>
              <w:rPr>
                <w:rFonts w:ascii="Times New Roman" w:hAnsi="Times New Roman" w:cs="Times New Roman"/>
                <w:color w:val="000000"/>
                <w:sz w:val="24"/>
                <w:szCs w:val="24"/>
                <w:lang w:val="en-US" w:bidi="ar-SA"/>
              </w:rPr>
              <w:t>多模光模块；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硬盘：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2T*2，RAID 1；内存：</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16G；USB口：USB2.0口</w:t>
            </w:r>
            <w:r>
              <w:rPr>
                <w:rFonts w:hint="eastAsia" w:ascii="Times New Roman" w:hAnsi="Times New Roman" w:cs="Times New Roman"/>
                <w:color w:val="000000"/>
                <w:sz w:val="24"/>
                <w:szCs w:val="24"/>
                <w:lang w:val="en-US" w:bidi="ar-SA"/>
              </w:rPr>
              <w:t>不少于</w:t>
            </w:r>
            <w:r>
              <w:rPr>
                <w:rFonts w:ascii="Times New Roman" w:hAnsi="Times New Roman" w:cs="Times New Roman"/>
                <w:color w:val="000000"/>
                <w:sz w:val="24"/>
                <w:szCs w:val="24"/>
                <w:lang w:val="en-US" w:bidi="ar-SA"/>
              </w:rPr>
              <w:t>2</w:t>
            </w:r>
            <w:r>
              <w:rPr>
                <w:rFonts w:hint="eastAsia" w:ascii="Times New Roman" w:hAnsi="Times New Roman" w:cs="Times New Roman"/>
                <w:color w:val="000000"/>
                <w:sz w:val="24"/>
                <w:szCs w:val="24"/>
                <w:lang w:val="en-US" w:bidi="ar-SA"/>
              </w:rPr>
              <w:t>个</w:t>
            </w:r>
            <w:r>
              <w:rPr>
                <w:rFonts w:ascii="Times New Roman" w:hAnsi="Times New Roman" w:cs="Times New Roman"/>
                <w:color w:val="000000"/>
                <w:sz w:val="24"/>
                <w:szCs w:val="24"/>
                <w:lang w:val="en-US" w:bidi="ar-SA"/>
              </w:rPr>
              <w:t>；串口：RJ45口</w:t>
            </w:r>
            <w:r>
              <w:rPr>
                <w:rFonts w:hint="eastAsia" w:ascii="Times New Roman" w:hAnsi="Times New Roman" w:cs="Times New Roman"/>
                <w:color w:val="000000"/>
                <w:sz w:val="24"/>
                <w:szCs w:val="24"/>
                <w:lang w:val="en-US" w:bidi="ar-SA"/>
              </w:rPr>
              <w:t>不少于1个</w:t>
            </w:r>
            <w:r>
              <w:rPr>
                <w:rFonts w:ascii="Times New Roman" w:hAnsi="Times New Roman" w:cs="Times New Roman"/>
                <w:color w:val="000000"/>
                <w:sz w:val="24"/>
                <w:szCs w:val="24"/>
                <w:lang w:val="en-US" w:bidi="ar-SA"/>
              </w:rPr>
              <w:t>；电源：冗余电源</w:t>
            </w:r>
            <w:r>
              <w:rPr>
                <w:rFonts w:hint="eastAsia"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并发字符连接≥800个；并发图形连接≥300个，配置设备管理授权数量≥1000个</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支持按部门组织架构管理用户数据、资产数据、授权数据、审计数据</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支持双因子认证，基于不同的用户设置不同的双因子认证模式</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提供排错工具：ping、TCP端口检测、UDP端口检测、路由跟踪等</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提供用户、资产、授权的增删改查等API接口，允许第三方平台调用堡垒机的API接口支持WEB和本地客户端登录设备</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支持命令行操作、图形视频、键盘命令、操作日志回放等审计功能</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7</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WEB应用防火墙</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冗余交流电源，千兆电口≥6，千兆光口≥4，硬盘≥1T；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网络吞吐量≥4Gbps,每秒事务处理数≥3万，HTTP应用吞吐量≥2Gbps；</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保护站点无限制，物理保护链路≥10路，支持IPv6部署；</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支持透明部署，旁路部署及反向代理模式，支持牵引回注旁路部署；</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5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支持Web应用漏洞扫描防护、SQL注入/XSS防护、WEB常规攻击防护、 URL ACL、ARP欺骗防护、非法下载防护、非法上传防护、Web内容安全防护、网页盗链、爬虫防护、HTTP协议防护、扫描防护、XML防护、HTTP Flood防护</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支持可配置的内置规则，且支持自定义规则；</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8</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漏洞扫描系统</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标准机架式硬件，千兆电口≥6，USB口≥2，硬盘≥2T ，内存≥16G；</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授权可扫描总数量≥300个</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支持多路扫描，满足在复杂环境中部署的要求，支持不同网段同时检测的需求，支持IPv6部署；</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支持系统漏洞、网站安全漏洞整体态势的图表统计展示模式；</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支持检测的漏洞数大于180000条，兼容CVE、CNCVE、CNNVD、CNVD、Bugtraq等主流标准</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支持扫描主流虚拟机管理系统的安全漏洞，要求能够扫描大于300条相关漏洞；</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支持专门针对DNS服务的安全漏洞检测，包括DNS投毒等漏洞检测能力；</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具备弱口令扫描功能，支持弱口令扫描协议数量≥</w:t>
            </w:r>
            <w:r>
              <w:rPr>
                <w:rFonts w:hint="eastAsia" w:ascii="Times New Roman" w:hAnsi="Times New Roman" w:cs="Times New Roman"/>
                <w:color w:val="000000"/>
                <w:sz w:val="24"/>
                <w:szCs w:val="24"/>
                <w:lang w:val="en-US" w:bidi="ar-SA"/>
              </w:rPr>
              <w:t>18</w:t>
            </w:r>
            <w:r>
              <w:rPr>
                <w:rFonts w:ascii="Times New Roman" w:hAnsi="Times New Roman" w:cs="Times New Roman"/>
                <w:color w:val="000000"/>
                <w:sz w:val="24"/>
                <w:szCs w:val="24"/>
                <w:lang w:val="en-US" w:bidi="ar-SA"/>
              </w:rPr>
              <w:t>种；</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具备单独口令猜测扫描任务，支持多种口令猜测方式。</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9</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VPN设备</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标准机架式设备，冗余电源；</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千兆电口≥2个；</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SSL 性能：每秒新建用户数（SM2）≥4000;最大并发连接数≥10W;密文吞吐率（SM4）≥1.5Gbps</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支持身份鉴别信息完整性保护；SSL协议支持TCPS、HTTPS</w:t>
            </w:r>
            <w:r>
              <w:rPr>
                <w:rFonts w:hint="eastAsia" w:ascii="Times New Roman" w:hAnsi="Times New Roman" w:cs="Times New Roman"/>
                <w:color w:val="000000"/>
                <w:sz w:val="24"/>
                <w:szCs w:val="24"/>
                <w:lang w:val="en-US" w:eastAsia="zh-CN" w:bidi="ar-SA"/>
              </w:rPr>
              <w:t>协议</w:t>
            </w:r>
            <w:r>
              <w:rPr>
                <w:rFonts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支持与ActiveMQ进行集成，ActiveMQ服务端、客户端可通过SSL网关进行通讯；</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支持客户证书黑名单列表（CRL）验证功能，CRL支持HTTP及LDAP方式下载，支持CRL信任源设置；</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支持会话保持，并可通过管理页面配置连接超时时间；支持连接复用，可复用相对较少的服务器TCP连接；</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支持基于国密算法签发的SSL服务器双证书，支持国密SSL网关集群部署使用；</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支持X.509证书体系，支持DER/PEM证书编码格式，支持PKCS12证书/私钥加密文件；为支持单点登录的业务系统提供单点登录服务；</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支持使用SM2算法进行密钥协商，建立IPSec隧道；</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支持定期监测网络状态，实现隧道断线自动重建；支持IPV6协议；支持NAT穿越和双向NAT穿越；支持静态路由、动态路由；</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支持基于源/目的地址、端口、协议及接口的策略路由 ；支持单臂模式接入网络，并提供路由转发功能；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支持国密SM2、SM3、SM4密码算法。</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10</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数字证书认证系统</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冗余电源；千兆电口≥2个。</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并发连接数同时支持</w:t>
            </w:r>
            <w:r>
              <w:rPr>
                <w:rFonts w:hint="eastAsia" w:ascii="Times New Roman" w:hAnsi="Times New Roman" w:cs="Times New Roman"/>
                <w:color w:val="000000"/>
                <w:sz w:val="24"/>
                <w:szCs w:val="24"/>
                <w:lang w:val="en-US" w:bidi="ar-SA"/>
              </w:rPr>
              <w:t>5</w:t>
            </w:r>
            <w:r>
              <w:rPr>
                <w:rFonts w:ascii="Times New Roman" w:hAnsi="Times New Roman" w:cs="Times New Roman"/>
                <w:color w:val="000000"/>
                <w:sz w:val="24"/>
                <w:szCs w:val="24"/>
                <w:lang w:val="en-US" w:bidi="ar-SA"/>
              </w:rPr>
              <w:t xml:space="preserve">00个并发连接，证书签发时间&lt; </w:t>
            </w:r>
            <w:r>
              <w:rPr>
                <w:rFonts w:hint="eastAsia" w:ascii="Times New Roman" w:hAnsi="Times New Roman" w:cs="Times New Roman"/>
                <w:color w:val="000000"/>
                <w:sz w:val="24"/>
                <w:szCs w:val="24"/>
                <w:lang w:val="en-US" w:bidi="ar-SA"/>
              </w:rPr>
              <w:t>1</w:t>
            </w:r>
            <w:r>
              <w:rPr>
                <w:rFonts w:ascii="Times New Roman" w:hAnsi="Times New Roman" w:cs="Times New Roman"/>
                <w:color w:val="000000"/>
                <w:sz w:val="24"/>
                <w:szCs w:val="24"/>
                <w:lang w:val="en-US" w:bidi="ar-SA"/>
              </w:rPr>
              <w:t>秒</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证书签发功能：能够签发各种证书，包括个人证书、服务器证书、系统证书等；</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证书查询功能：通过Web以特定条件查询证书和CRL；</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证书吊销功能：吊销证书，可由设备自行发起，也可由用户直接发起；</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证书更新功能：证书到期时，能够根据要求，实现证书更新；</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证书归档功能：归档所有已签发的证书；</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证书在线发布：当签发完证书后，将证书放入数据库中，支持Web查询证书；</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CRL 在线发布：系统定时生成CRL列表，供用户查询下载；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支持国密SM2、SM3、SM4密码算法。</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r>
              <w:rPr>
                <w:rFonts w:hint="eastAsia" w:ascii="Times New Roman" w:hAnsi="Times New Roman" w:cs="Times New Roman"/>
                <w:color w:val="000000"/>
                <w:sz w:val="24"/>
                <w:szCs w:val="24"/>
                <w:lang w:val="en-US" w:bidi="ar-SA"/>
              </w:rPr>
              <w:t>1</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数据加密系统</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标准机架式设备，冗余电源，千兆电口≥2个。</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支持服务器端和客户端加密，具备密钥管理功能；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支持对密钥进行全生命周期管理功能，包括：密钥生成、分发、密钥存储、密钥备份、密钥更新、密钥撤销、密钥归档、密钥恢复及安全管理；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支持对数据库系统中指定字段、表、库进行加密，保证敏感数据以密文形式存储；</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支持根据实现配置的策略，对每个字段的加密密钥自动变换；</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支持国密SM2、SM3、SM4密码算法。</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r>
              <w:rPr>
                <w:rFonts w:hint="eastAsia" w:ascii="Times New Roman" w:hAnsi="Times New Roman" w:cs="Times New Roman"/>
                <w:color w:val="000000"/>
                <w:sz w:val="24"/>
                <w:szCs w:val="24"/>
                <w:lang w:val="en-US" w:bidi="ar-SA"/>
              </w:rPr>
              <w:t>2</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智能密码钥匙</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用于业务系统的管理员身份认证，内置SM1,SM2,SM3,SM4,SSF33,RSA,SHA1,SHA256,MD5,DES,AES等算法；</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提供SCSI驱动，无需安装额外厂家硬件驱动；能够支持多个秘钥存储；</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支持CSP及国密两种接口。</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r>
              <w:rPr>
                <w:rFonts w:hint="eastAsia" w:ascii="Times New Roman" w:hAnsi="Times New Roman" w:cs="Times New Roman"/>
                <w:color w:val="000000"/>
                <w:sz w:val="24"/>
                <w:szCs w:val="24"/>
                <w:lang w:val="en-US" w:bidi="ar-SA"/>
              </w:rPr>
              <w:t>3</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数字签名服务器</w:t>
            </w:r>
          </w:p>
        </w:tc>
        <w:tc>
          <w:tcPr>
            <w:tcW w:w="696" w:type="dxa"/>
            <w:vMerge w:val="restart"/>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标准机架式设备，冗余电源；千兆电口≥2个。</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支持多种数字签名格式，支持文件签名验签功能；签名验签格式：支持PKCS#1、PKCS#7 Attach、PKCS#7 Detach、XML 等格式的数据签名、签名验证功能；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数字信封功能：支持基于 RSA、SM2 密码算法的数字信封功能，支持PKCS#7标准各种格式的数字信封封装和解封；</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证书验证方式：支持 CA、CRL、OCSP 等多种方式证书有效性验证；</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用户证书支持：支持符合 X.509 标准的证书，支持证书链功能；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支持配置多个CA 或者多级CA，可同时配置多条证书链；</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提供用户证书解析功能，获取证书中的任意主题信息以及扩展项信息；</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支持国密SM2、SM3、SM4密码算法；</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SM2签名≥50000次/秒；SM2验签名≥15000次/秒。</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具备国家密码管理局颁发的商用密码产品型号证书</w:t>
            </w:r>
            <w:r>
              <w:rPr>
                <w:rFonts w:hint="eastAsia" w:ascii="Times New Roman" w:hAnsi="Times New Roman" w:cs="Times New Roman"/>
                <w:color w:val="000000"/>
                <w:sz w:val="24"/>
                <w:szCs w:val="24"/>
                <w:lang w:val="en-US" w:bidi="ar-SA"/>
              </w:rPr>
              <w:t>。</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w:t>
            </w:r>
            <w:r>
              <w:rPr>
                <w:rFonts w:hint="eastAsia" w:ascii="Times New Roman" w:hAnsi="Times New Roman" w:cs="Times New Roman"/>
                <w:b/>
                <w:bCs/>
                <w:color w:val="000000"/>
                <w:sz w:val="24"/>
                <w:szCs w:val="24"/>
                <w:lang w:val="en-US" w:bidi="ar-SA"/>
              </w:rPr>
              <w:t>四</w:t>
            </w:r>
            <w:r>
              <w:rPr>
                <w:rFonts w:ascii="Times New Roman" w:hAnsi="Times New Roman" w:cs="Times New Roman"/>
                <w:b/>
                <w:bCs/>
                <w:color w:val="000000"/>
                <w:sz w:val="24"/>
                <w:szCs w:val="24"/>
                <w:lang w:val="en-US" w:bidi="ar-SA"/>
              </w:rPr>
              <w:t>)</w:t>
            </w:r>
          </w:p>
        </w:tc>
        <w:tc>
          <w:tcPr>
            <w:tcW w:w="1282" w:type="dxa"/>
            <w:gridSpan w:val="2"/>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存储设备</w:t>
            </w:r>
          </w:p>
        </w:tc>
        <w:tc>
          <w:tcPr>
            <w:tcW w:w="6645" w:type="dxa"/>
            <w:vAlign w:val="center"/>
          </w:tcPr>
          <w:p>
            <w:pPr>
              <w:widowControl/>
              <w:jc w:val="center"/>
              <w:rPr>
                <w:rFonts w:ascii="Times New Roman" w:hAnsi="Times New Roman" w:cs="Times New Roman"/>
                <w:b/>
                <w:bCs/>
                <w:color w:val="000000"/>
                <w:sz w:val="24"/>
                <w:szCs w:val="24"/>
                <w:lang w:val="en-US" w:bidi="ar-SA"/>
              </w:rPr>
            </w:pPr>
          </w:p>
        </w:tc>
        <w:tc>
          <w:tcPr>
            <w:tcW w:w="748" w:type="dxa"/>
            <w:vAlign w:val="center"/>
          </w:tcPr>
          <w:p>
            <w:pPr>
              <w:widowControl/>
              <w:jc w:val="center"/>
              <w:rPr>
                <w:rFonts w:ascii="Times New Roman" w:hAnsi="Times New Roman" w:cs="Times New Roman"/>
                <w:b/>
                <w:bCs/>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光纤交换机</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固化SFP+端口≥24个，全部端口激活，可包含端口扩展槽扩展模块；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支持24个FC 16Gb接口，满配16G LC接口光模块（850nm），距离150M，适用于FC接口</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存储阵列</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标准机架式设备，双控制器；</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支持SAN和NAS一体化功能；</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缓存：双控，配置256GB，主机接口：配置8×16Gb端口；</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硬盘：不少于</w:t>
            </w:r>
            <w:r>
              <w:rPr>
                <w:rFonts w:hint="eastAsia" w:ascii="Times New Roman" w:hAnsi="Times New Roman" w:cs="Times New Roman"/>
                <w:color w:val="000000"/>
                <w:sz w:val="24"/>
                <w:szCs w:val="24"/>
                <w:lang w:val="en-US" w:eastAsia="zh-CN" w:bidi="ar-SA"/>
              </w:rPr>
              <w:t>280</w:t>
            </w:r>
            <w:r>
              <w:rPr>
                <w:rFonts w:ascii="Times New Roman" w:hAnsi="Times New Roman" w:cs="Times New Roman"/>
                <w:color w:val="000000"/>
                <w:sz w:val="24"/>
                <w:szCs w:val="24"/>
                <w:lang w:val="en-US" w:bidi="ar-SA"/>
              </w:rPr>
              <w:t>T SATA</w:t>
            </w:r>
            <w:r>
              <w:rPr>
                <w:rFonts w:hint="eastAsia" w:ascii="Times New Roman" w:hAnsi="Times New Roman" w:cs="Times New Roman"/>
                <w:color w:val="000000"/>
                <w:sz w:val="24"/>
                <w:szCs w:val="24"/>
                <w:lang w:val="en-US" w:bidi="ar-SA"/>
              </w:rPr>
              <w:t>或SAS或NL-SAS</w:t>
            </w:r>
            <w:r>
              <w:rPr>
                <w:rFonts w:ascii="Times New Roman" w:hAnsi="Times New Roman" w:cs="Times New Roman"/>
                <w:color w:val="000000"/>
                <w:sz w:val="24"/>
                <w:szCs w:val="24"/>
                <w:lang w:val="en-US" w:bidi="ar-SA"/>
              </w:rPr>
              <w:t>接口硬盘；</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RAID:支持RAID0、1、5、6、10、50等；</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冗余电源、风扇，支持在线更换；</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更换协议支持：FCP、iSCSI、NFS、CIFS、FTP、HTTP等；</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软件功能：快照、克隆、卷拷贝。</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w:t>
            </w:r>
            <w:r>
              <w:rPr>
                <w:rFonts w:hint="eastAsia" w:ascii="Times New Roman" w:hAnsi="Times New Roman" w:cs="Times New Roman"/>
                <w:b/>
                <w:bCs/>
                <w:color w:val="000000"/>
                <w:sz w:val="24"/>
                <w:szCs w:val="24"/>
                <w:lang w:val="en-US" w:bidi="ar-SA"/>
              </w:rPr>
              <w:t>五</w:t>
            </w:r>
            <w:r>
              <w:rPr>
                <w:rFonts w:ascii="Times New Roman" w:hAnsi="Times New Roman" w:cs="Times New Roman"/>
                <w:b/>
                <w:bCs/>
                <w:color w:val="000000"/>
                <w:sz w:val="24"/>
                <w:szCs w:val="24"/>
                <w:lang w:val="en-US" w:bidi="ar-SA"/>
              </w:rPr>
              <w:t>)</w:t>
            </w:r>
          </w:p>
        </w:tc>
        <w:tc>
          <w:tcPr>
            <w:tcW w:w="1282" w:type="dxa"/>
            <w:gridSpan w:val="2"/>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专用设备</w:t>
            </w:r>
            <w:r>
              <w:rPr>
                <w:rFonts w:ascii="Times New Roman" w:hAnsi="Times New Roman" w:cs="Times New Roman"/>
                <w:color w:val="000000"/>
                <w:sz w:val="24"/>
                <w:szCs w:val="24"/>
                <w:lang w:val="en-US" w:bidi="ar-SA"/>
              </w:rPr>
              <w:t>　</w:t>
            </w:r>
          </w:p>
        </w:tc>
        <w:tc>
          <w:tcPr>
            <w:tcW w:w="6645" w:type="dxa"/>
            <w:vAlign w:val="center"/>
          </w:tcPr>
          <w:p>
            <w:pPr>
              <w:widowControl/>
              <w:jc w:val="center"/>
              <w:rPr>
                <w:rFonts w:ascii="Times New Roman" w:hAnsi="Times New Roman" w:cs="Times New Roman"/>
                <w:b/>
                <w:bCs/>
                <w:color w:val="000000"/>
                <w:sz w:val="24"/>
                <w:szCs w:val="24"/>
                <w:lang w:val="en-US" w:bidi="ar-SA"/>
              </w:rPr>
            </w:pPr>
          </w:p>
        </w:tc>
        <w:tc>
          <w:tcPr>
            <w:tcW w:w="748" w:type="dxa"/>
            <w:vAlign w:val="center"/>
          </w:tcPr>
          <w:p>
            <w:pPr>
              <w:widowControl/>
              <w:jc w:val="center"/>
              <w:rPr>
                <w:rFonts w:ascii="Times New Roman" w:hAnsi="Times New Roman" w:cs="Times New Roman"/>
                <w:b/>
                <w:bCs/>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汇聚分流设备</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机框配置冗余主控、冗余电源，不少于4个业务槽位，单槽位跨版带宽不少于</w:t>
            </w:r>
            <w:r>
              <w:rPr>
                <w:rFonts w:hint="eastAsia" w:ascii="Times New Roman" w:hAnsi="Times New Roman" w:cs="Times New Roman"/>
                <w:color w:val="000000"/>
                <w:sz w:val="24"/>
                <w:szCs w:val="24"/>
                <w:lang w:val="en-US" w:eastAsia="zh-CN" w:bidi="ar-SA"/>
              </w:rPr>
              <w:t>4</w:t>
            </w:r>
            <w:r>
              <w:rPr>
                <w:rFonts w:ascii="Times New Roman" w:hAnsi="Times New Roman" w:cs="Times New Roman"/>
                <w:color w:val="000000"/>
                <w:sz w:val="24"/>
                <w:szCs w:val="24"/>
                <w:lang w:val="en-US" w:bidi="ar-SA"/>
              </w:rPr>
              <w:t>00G；</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5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对于256字节长度的数据包转发流量达到接口带宽的95%情况下，应不丢包；对于1518字节长度的数据包，分流器设备的平均接口转发时延应小于100us；配置相应的管理和应用软件；</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14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按1个或多个进端口应用不同策略，所配输入端口数支持不少于6组独立进端口应用规则配置，支持分片报文同源同宿，出口端口组支持可配置哈希方式，支持线速的隧道剥离（如MPLS、GTP、GRE、VXLAN、ERSPAN、VNTag等)，针对MPLS、VXLAN可以进行多层封装的剥离；</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支持GRE隧道终结，能够单独配置IP地址用于终结GRE隧道；支持线速的报文截短，可以配置保留的字节长度；</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支持有隧道封装情况下的内层IPv4/IPv6五元组匹配规则，且单板内层匹配性能不低于680Gbps；</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端口要求：不少于</w:t>
            </w:r>
            <w:r>
              <w:rPr>
                <w:rFonts w:hint="eastAsia" w:ascii="Times New Roman" w:hAnsi="Times New Roman" w:cs="Times New Roman"/>
                <w:color w:val="000000"/>
                <w:sz w:val="24"/>
                <w:szCs w:val="24"/>
                <w:lang w:val="en-US" w:bidi="ar-SA"/>
              </w:rPr>
              <w:t>15</w:t>
            </w:r>
            <w:r>
              <w:rPr>
                <w:rFonts w:ascii="Times New Roman" w:hAnsi="Times New Roman" w:cs="Times New Roman"/>
                <w:color w:val="000000"/>
                <w:sz w:val="24"/>
                <w:szCs w:val="24"/>
                <w:lang w:val="en-US" w:bidi="ar-SA"/>
              </w:rPr>
              <w:t>个100GE端口输入，不少于140个万兆输出端口，满配</w:t>
            </w:r>
            <w:r>
              <w:rPr>
                <w:rFonts w:hint="eastAsia" w:ascii="Times New Roman" w:hAnsi="Times New Roman" w:cs="Times New Roman"/>
                <w:color w:val="000000"/>
                <w:sz w:val="24"/>
                <w:szCs w:val="24"/>
                <w:lang w:val="en-US" w:bidi="ar-SA"/>
              </w:rPr>
              <w:t>对应数量的1</w:t>
            </w:r>
            <w:r>
              <w:rPr>
                <w:rFonts w:ascii="Times New Roman" w:hAnsi="Times New Roman" w:cs="Times New Roman"/>
                <w:color w:val="000000"/>
                <w:sz w:val="24"/>
                <w:szCs w:val="24"/>
                <w:lang w:val="en-US" w:bidi="ar-SA"/>
              </w:rPr>
              <w:t>00</w:t>
            </w:r>
            <w:r>
              <w:rPr>
                <w:rFonts w:hint="eastAsia" w:ascii="Times New Roman" w:hAnsi="Times New Roman" w:cs="Times New Roman"/>
                <w:color w:val="000000"/>
                <w:sz w:val="24"/>
                <w:szCs w:val="24"/>
                <w:lang w:val="en-US" w:bidi="ar-SA"/>
              </w:rPr>
              <w:t>G单模及</w:t>
            </w:r>
            <w:r>
              <w:rPr>
                <w:rFonts w:ascii="Times New Roman" w:hAnsi="Times New Roman" w:cs="Times New Roman"/>
                <w:color w:val="000000"/>
                <w:sz w:val="24"/>
                <w:szCs w:val="24"/>
                <w:lang w:val="en-US" w:bidi="ar-SA"/>
              </w:rPr>
              <w:t>万兆多模光模块。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被动监测设备</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16</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采用DPDK高性能无锁网络并行处理架构，单台满足80Gbps流量处理；</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支持5万条IPv4灵活五元组规则，5万条IPv6灵活五元组规则；</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支持3万条IPv4掩码五元组规则，2万条IPv6掩码五元组规则；</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5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持2000种以上业务协议的识别；支持网络流量并行处理，通过IPv4/IPv6双栈流量分析引擎为网络数据中的每一条连接建立一条会话表条目，建立会话表项后可以对这条会话的连接进行流量统计、网络质量分析、应用协议识别等处理 ；</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5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支持全量输出流量日志（包含URL/DNS访问日志），同时还支持根据各监测任务要求，对微观、细粒度的流量日志数据进行在线多维统计聚合计算，输出各类监测日志。</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时间同步设备</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支持单北斗、单GPS、GPS 北斗混合（默认）三种工作模式；</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授时精度：不高于10ms；</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支持千台客户端；</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支持windows、LINUX、UNIX等操作系统时间同步,授时天线电缆长度≥1</w:t>
            </w:r>
            <w:r>
              <w:rPr>
                <w:rFonts w:hint="eastAsia" w:ascii="Times New Roman" w:hAnsi="Times New Roman" w:cs="Times New Roman"/>
                <w:color w:val="000000"/>
                <w:sz w:val="24"/>
                <w:szCs w:val="24"/>
                <w:lang w:val="en-US" w:bidi="ar-SA"/>
              </w:rPr>
              <w:t>0</w:t>
            </w:r>
            <w:r>
              <w:rPr>
                <w:rFonts w:ascii="Times New Roman" w:hAnsi="Times New Roman" w:cs="Times New Roman"/>
                <w:color w:val="000000"/>
                <w:sz w:val="24"/>
                <w:szCs w:val="24"/>
                <w:lang w:val="en-US" w:bidi="ar-SA"/>
              </w:rPr>
              <w:t>0米。</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w:t>
            </w:r>
            <w:r>
              <w:rPr>
                <w:rFonts w:hint="eastAsia" w:ascii="Times New Roman" w:hAnsi="Times New Roman" w:cs="Times New Roman"/>
                <w:b/>
                <w:bCs/>
                <w:color w:val="000000"/>
                <w:sz w:val="24"/>
                <w:szCs w:val="24"/>
                <w:lang w:val="en-US" w:bidi="ar-SA"/>
              </w:rPr>
              <w:t>六</w:t>
            </w:r>
            <w:r>
              <w:rPr>
                <w:rFonts w:ascii="Times New Roman" w:hAnsi="Times New Roman" w:cs="Times New Roman"/>
                <w:b/>
                <w:bCs/>
                <w:color w:val="000000"/>
                <w:sz w:val="24"/>
                <w:szCs w:val="24"/>
                <w:lang w:val="en-US" w:bidi="ar-SA"/>
              </w:rPr>
              <w:t>)</w:t>
            </w:r>
          </w:p>
        </w:tc>
        <w:tc>
          <w:tcPr>
            <w:tcW w:w="1282" w:type="dxa"/>
            <w:gridSpan w:val="2"/>
            <w:vAlign w:val="center"/>
          </w:tcPr>
          <w:p>
            <w:pPr>
              <w:widowControl/>
              <w:jc w:val="center"/>
              <w:rPr>
                <w:rFonts w:ascii="Times New Roman" w:hAnsi="Times New Roman" w:cs="Times New Roman"/>
                <w:b/>
                <w:bCs/>
                <w:color w:val="000000"/>
                <w:sz w:val="24"/>
                <w:szCs w:val="24"/>
                <w:lang w:val="en-US" w:bidi="ar-SA"/>
              </w:rPr>
            </w:pPr>
            <w:r>
              <w:rPr>
                <w:rFonts w:ascii="Times New Roman" w:hAnsi="Times New Roman" w:cs="Times New Roman"/>
                <w:b/>
                <w:bCs/>
                <w:color w:val="000000"/>
                <w:sz w:val="24"/>
                <w:szCs w:val="24"/>
                <w:lang w:val="en-US" w:bidi="ar-SA"/>
              </w:rPr>
              <w:t>其他设备</w:t>
            </w:r>
          </w:p>
        </w:tc>
        <w:tc>
          <w:tcPr>
            <w:tcW w:w="6645" w:type="dxa"/>
            <w:vAlign w:val="center"/>
          </w:tcPr>
          <w:p>
            <w:pPr>
              <w:widowControl/>
              <w:jc w:val="center"/>
              <w:rPr>
                <w:rFonts w:ascii="Times New Roman" w:hAnsi="Times New Roman" w:cs="Times New Roman"/>
                <w:b/>
                <w:bCs/>
                <w:color w:val="000000"/>
                <w:sz w:val="24"/>
                <w:szCs w:val="24"/>
                <w:lang w:val="en-US" w:bidi="ar-SA"/>
              </w:rPr>
            </w:pPr>
          </w:p>
        </w:tc>
        <w:tc>
          <w:tcPr>
            <w:tcW w:w="748" w:type="dxa"/>
            <w:vAlign w:val="center"/>
          </w:tcPr>
          <w:p>
            <w:pPr>
              <w:widowControl/>
              <w:jc w:val="center"/>
              <w:rPr>
                <w:rFonts w:ascii="Times New Roman" w:hAnsi="Times New Roman" w:cs="Times New Roman"/>
                <w:b/>
                <w:bCs/>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宽带测速终端</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2340</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CPU: 主频≥880MHz 双核；Mem: ≥128M；Flash：≥128M；</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WAN支持千兆网速；OpenWrt系统；</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5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内置监测探针软件，探针软件功能包含带宽接入测速、TOP50网站访问性能监测、热门在线视频播放性能和常用文件下载速率测试功能，监测使用的URL和采集方法需与工业和信息化部采用的监测探针保持一致。</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移动测速终端</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39</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运行内存：8GB；Android操作系统；</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5G网络支持移动5G、联通5G、电信5G；</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4G网络支持4G FDD-LTE(联通)、4G TD-LTE(移动)、4G FDD-LTE(联通、电信)。</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3</w:t>
            </w:r>
          </w:p>
        </w:tc>
        <w:tc>
          <w:tcPr>
            <w:tcW w:w="586" w:type="dxa"/>
            <w:vMerge w:val="restart"/>
            <w:vAlign w:val="center"/>
          </w:tcPr>
          <w:p>
            <w:pPr>
              <w:jc w:val="center"/>
              <w:rPr>
                <w:rFonts w:ascii="微软雅黑" w:hAnsi="微软雅黑" w:eastAsia="微软雅黑" w:cs="微软雅黑"/>
                <w:color w:val="000000"/>
                <w:sz w:val="20"/>
                <w:szCs w:val="20"/>
                <w:lang w:val="en-US"/>
              </w:rPr>
            </w:pPr>
            <w:r>
              <w:rPr>
                <w:rFonts w:hint="eastAsia" w:ascii="等线" w:hAnsi="等线" w:eastAsia="等线"/>
                <w:color w:val="000000"/>
                <w:szCs w:val="21"/>
              </w:rPr>
              <w:t>移动</w:t>
            </w:r>
            <w:r>
              <w:rPr>
                <w:rFonts w:hint="eastAsia" w:ascii="等线" w:hAnsi="等线" w:eastAsia="等线"/>
                <w:color w:val="000000"/>
                <w:szCs w:val="21"/>
                <w:lang w:val="en-US"/>
              </w:rPr>
              <w:t>操作</w:t>
            </w:r>
            <w:r>
              <w:rPr>
                <w:rFonts w:hint="eastAsia" w:ascii="等线" w:hAnsi="等线" w:eastAsia="等线"/>
                <w:color w:val="000000"/>
                <w:szCs w:val="21"/>
              </w:rPr>
              <w:t>终端</w:t>
            </w:r>
          </w:p>
        </w:tc>
        <w:tc>
          <w:tcPr>
            <w:tcW w:w="696" w:type="dxa"/>
            <w:vMerge w:val="restart"/>
            <w:vAlign w:val="center"/>
          </w:tcPr>
          <w:p>
            <w:pPr>
              <w:jc w:val="center"/>
              <w:rPr>
                <w:rFonts w:hint="eastAsia" w:ascii="微软雅黑" w:hAnsi="微软雅黑" w:eastAsia="微软雅黑" w:cs="微软雅黑"/>
                <w:color w:val="000000"/>
                <w:sz w:val="20"/>
                <w:szCs w:val="20"/>
                <w:lang w:val="en-US" w:eastAsia="zh-CN"/>
              </w:rPr>
            </w:pPr>
            <w:r>
              <w:rPr>
                <w:rFonts w:hint="eastAsia" w:ascii="微软雅黑" w:hAnsi="微软雅黑" w:eastAsia="微软雅黑" w:cs="微软雅黑"/>
                <w:color w:val="000000"/>
                <w:sz w:val="20"/>
                <w:szCs w:val="20"/>
                <w:lang w:val="en-US" w:eastAsia="zh-CN"/>
              </w:rPr>
              <w:t>1</w:t>
            </w: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可升降移动式机房操作平台</w:t>
            </w:r>
          </w:p>
        </w:tc>
        <w:tc>
          <w:tcPr>
            <w:tcW w:w="748" w:type="dxa"/>
            <w:vAlign w:val="center"/>
          </w:tcPr>
          <w:p>
            <w:pPr>
              <w:widowControl/>
              <w:textAlignment w:val="center"/>
              <w:rPr>
                <w:rFonts w:ascii="等线" w:hAnsi="等线" w:eastAsia="等线"/>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jc w:val="center"/>
              <w:rPr>
                <w:rFonts w:ascii="Times New Roman" w:hAnsi="Times New Roman" w:cs="Times New Roman"/>
                <w:color w:val="000000"/>
                <w:sz w:val="24"/>
                <w:szCs w:val="24"/>
                <w:lang w:val="en-US" w:bidi="ar-SA"/>
              </w:rPr>
            </w:pPr>
          </w:p>
        </w:tc>
        <w:tc>
          <w:tcPr>
            <w:tcW w:w="586" w:type="dxa"/>
            <w:vMerge w:val="continue"/>
            <w:vAlign w:val="center"/>
          </w:tcPr>
          <w:p>
            <w:pPr>
              <w:jc w:val="center"/>
              <w:rPr>
                <w:rFonts w:ascii="微软雅黑" w:hAnsi="微软雅黑" w:eastAsia="微软雅黑" w:cs="微软雅黑"/>
                <w:color w:val="000000"/>
                <w:sz w:val="20"/>
                <w:szCs w:val="20"/>
                <w:lang w:val="en-US"/>
              </w:rPr>
            </w:pPr>
          </w:p>
        </w:tc>
        <w:tc>
          <w:tcPr>
            <w:tcW w:w="696" w:type="dxa"/>
            <w:vMerge w:val="continue"/>
            <w:vAlign w:val="center"/>
          </w:tcPr>
          <w:p>
            <w:pPr>
              <w:jc w:val="center"/>
              <w:rPr>
                <w:rFonts w:ascii="微软雅黑" w:hAnsi="微软雅黑" w:eastAsia="微软雅黑" w:cs="微软雅黑"/>
                <w:color w:val="000000"/>
                <w:sz w:val="20"/>
                <w:szCs w:val="20"/>
                <w:lang w:val="en-US"/>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显示器：17英寸及以上</w:t>
            </w:r>
          </w:p>
        </w:tc>
        <w:tc>
          <w:tcPr>
            <w:tcW w:w="748" w:type="dxa"/>
            <w:vAlign w:val="center"/>
          </w:tcPr>
          <w:p>
            <w:pPr>
              <w:widowControl/>
              <w:textAlignment w:val="center"/>
              <w:rPr>
                <w:rFonts w:ascii="微软雅黑" w:hAnsi="微软雅黑" w:eastAsia="微软雅黑" w:cs="微软雅黑"/>
                <w:color w:val="000000"/>
                <w:sz w:val="20"/>
                <w:szCs w:val="20"/>
                <w:lang w:val="en-U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jc w:val="center"/>
              <w:rPr>
                <w:rFonts w:ascii="Times New Roman" w:hAnsi="Times New Roman" w:cs="Times New Roman"/>
                <w:color w:val="000000"/>
                <w:sz w:val="24"/>
                <w:szCs w:val="24"/>
                <w:lang w:val="en-US" w:bidi="ar-SA"/>
              </w:rPr>
            </w:pPr>
          </w:p>
        </w:tc>
        <w:tc>
          <w:tcPr>
            <w:tcW w:w="586" w:type="dxa"/>
            <w:vMerge w:val="continue"/>
            <w:vAlign w:val="center"/>
          </w:tcPr>
          <w:p>
            <w:pPr>
              <w:widowControl/>
              <w:jc w:val="center"/>
              <w:rPr>
                <w:rFonts w:ascii="Times New Roman" w:hAnsi="Times New Roman" w:cs="Times New Roman"/>
                <w:color w:val="000000"/>
                <w:sz w:val="24"/>
                <w:szCs w:val="24"/>
                <w:lang w:val="en-US" w:bidi="ar-SA"/>
              </w:rPr>
            </w:pPr>
          </w:p>
        </w:tc>
        <w:tc>
          <w:tcPr>
            <w:tcW w:w="696" w:type="dxa"/>
            <w:vMerge w:val="continue"/>
            <w:vAlign w:val="center"/>
          </w:tcPr>
          <w:p>
            <w:pPr>
              <w:widowControl/>
              <w:jc w:val="center"/>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KVM：不低于8口切换</w:t>
            </w:r>
          </w:p>
        </w:tc>
        <w:tc>
          <w:tcPr>
            <w:tcW w:w="748" w:type="dxa"/>
            <w:vAlign w:val="center"/>
          </w:tcPr>
          <w:p>
            <w:pPr>
              <w:widowControl/>
              <w:textAlignment w:val="center"/>
              <w:rPr>
                <w:rFonts w:ascii="微软雅黑" w:hAnsi="微软雅黑" w:eastAsia="微软雅黑" w:cs="微软雅黑"/>
                <w:color w:val="000000"/>
                <w:sz w:val="20"/>
                <w:szCs w:val="20"/>
                <w:lang w:val="en-U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jc w:val="center"/>
              <w:rPr>
                <w:rFonts w:ascii="Times New Roman" w:hAnsi="Times New Roman" w:cs="Times New Roman"/>
                <w:color w:val="000000"/>
                <w:sz w:val="24"/>
                <w:szCs w:val="24"/>
                <w:lang w:val="en-US" w:bidi="ar-SA"/>
              </w:rPr>
            </w:pPr>
          </w:p>
        </w:tc>
        <w:tc>
          <w:tcPr>
            <w:tcW w:w="586" w:type="dxa"/>
            <w:vMerge w:val="continue"/>
            <w:vAlign w:val="center"/>
          </w:tcPr>
          <w:p>
            <w:pPr>
              <w:widowControl/>
              <w:jc w:val="center"/>
              <w:rPr>
                <w:rFonts w:ascii="Times New Roman" w:hAnsi="Times New Roman" w:cs="Times New Roman"/>
                <w:color w:val="000000"/>
                <w:sz w:val="24"/>
                <w:szCs w:val="24"/>
                <w:lang w:val="en-US" w:bidi="ar-SA"/>
              </w:rPr>
            </w:pPr>
          </w:p>
        </w:tc>
        <w:tc>
          <w:tcPr>
            <w:tcW w:w="696" w:type="dxa"/>
            <w:vMerge w:val="continue"/>
            <w:vAlign w:val="center"/>
          </w:tcPr>
          <w:p>
            <w:pPr>
              <w:widowControl/>
              <w:jc w:val="center"/>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其他：键盘、鼠标、插线板等</w:t>
            </w:r>
          </w:p>
        </w:tc>
        <w:tc>
          <w:tcPr>
            <w:tcW w:w="748" w:type="dxa"/>
            <w:vAlign w:val="center"/>
          </w:tcPr>
          <w:p>
            <w:pPr>
              <w:widowControl/>
              <w:textAlignment w:val="center"/>
              <w:rPr>
                <w:rFonts w:ascii="微软雅黑" w:hAnsi="微软雅黑" w:eastAsia="微软雅黑" w:cs="微软雅黑"/>
                <w:color w:val="000000"/>
                <w:sz w:val="20"/>
                <w:szCs w:val="20"/>
                <w:lang w:val="en-U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4</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打印机</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涵盖功能：打印/复印；</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最大处理幅面：A3+；打印分辨率：1200×1200dpi；</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网络功能：无线/有线网络打印；双面功能：自动。</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restart"/>
            <w:vAlign w:val="center"/>
          </w:tcPr>
          <w:p>
            <w:pPr>
              <w:widowControl/>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5</w:t>
            </w:r>
          </w:p>
        </w:tc>
        <w:tc>
          <w:tcPr>
            <w:tcW w:w="58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碎纸机</w:t>
            </w:r>
          </w:p>
        </w:tc>
        <w:tc>
          <w:tcPr>
            <w:tcW w:w="696" w:type="dxa"/>
            <w:vMerge w:val="restart"/>
            <w:vAlign w:val="center"/>
          </w:tcPr>
          <w:p>
            <w:pPr>
              <w:widowControl/>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产品类型：办公文件资料粉碎机；保密等级：5级保密；碎纸对象：纸张；</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可碎介质：光盘；碎纸效果不低于2×9mm；</w:t>
            </w:r>
          </w:p>
        </w:tc>
        <w:tc>
          <w:tcPr>
            <w:tcW w:w="748" w:type="dxa"/>
            <w:vAlign w:val="center"/>
          </w:tcPr>
          <w:p>
            <w:pPr>
              <w:widowControl/>
              <w:rPr>
                <w:rFonts w:ascii="Times New Roman" w:hAnsi="Times New Roman" w:cs="Times New Roman"/>
                <w:color w:val="000000"/>
                <w:sz w:val="24"/>
                <w:szCs w:val="24"/>
                <w:lang w:val="en-US"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widowControl/>
              <w:rPr>
                <w:rFonts w:ascii="Times New Roman" w:hAnsi="Times New Roman" w:cs="Times New Roman"/>
                <w:color w:val="000000"/>
                <w:sz w:val="24"/>
                <w:szCs w:val="24"/>
                <w:lang w:val="en-US" w:bidi="ar-SA"/>
              </w:rPr>
            </w:pPr>
          </w:p>
        </w:tc>
        <w:tc>
          <w:tcPr>
            <w:tcW w:w="586" w:type="dxa"/>
            <w:vMerge w:val="continue"/>
            <w:vAlign w:val="center"/>
          </w:tcPr>
          <w:p>
            <w:pPr>
              <w:widowControl/>
              <w:rPr>
                <w:rFonts w:ascii="Times New Roman" w:hAnsi="Times New Roman" w:cs="Times New Roman"/>
                <w:color w:val="000000"/>
                <w:sz w:val="24"/>
                <w:szCs w:val="24"/>
                <w:lang w:val="en-US" w:bidi="ar-SA"/>
              </w:rPr>
            </w:pPr>
          </w:p>
        </w:tc>
        <w:tc>
          <w:tcPr>
            <w:tcW w:w="696" w:type="dxa"/>
            <w:vMerge w:val="continue"/>
            <w:vAlign w:val="center"/>
          </w:tcPr>
          <w:p>
            <w:pPr>
              <w:widowControl/>
              <w:rPr>
                <w:rFonts w:ascii="Times New Roman" w:hAnsi="Times New Roman" w:cs="Times New Roman"/>
                <w:color w:val="000000"/>
                <w:sz w:val="24"/>
                <w:szCs w:val="24"/>
                <w:lang w:val="en-US" w:bidi="ar-SA"/>
              </w:rPr>
            </w:pPr>
          </w:p>
        </w:tc>
        <w:tc>
          <w:tcPr>
            <w:tcW w:w="6645" w:type="dxa"/>
            <w:vAlign w:val="center"/>
          </w:tcPr>
          <w:p>
            <w:pPr>
              <w:widowControl/>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纸箱容量不小于21升；工作噪声≤58dB。</w:t>
            </w:r>
          </w:p>
        </w:tc>
        <w:tc>
          <w:tcPr>
            <w:tcW w:w="748" w:type="dxa"/>
            <w:vAlign w:val="center"/>
          </w:tcPr>
          <w:p>
            <w:pPr>
              <w:widowControl/>
              <w:rPr>
                <w:rFonts w:ascii="Times New Roman" w:hAnsi="Times New Roman" w:cs="Times New Roman"/>
                <w:color w:val="000000"/>
                <w:sz w:val="24"/>
                <w:szCs w:val="24"/>
                <w:lang w:val="en-US" w:bidi="ar-SA"/>
              </w:rPr>
            </w:pPr>
          </w:p>
        </w:tc>
      </w:tr>
    </w:tbl>
    <w:p>
      <w:pPr>
        <w:adjustRightInd w:val="0"/>
        <w:ind w:right="47"/>
        <w:rPr>
          <w:sz w:val="24"/>
          <w:szCs w:val="24"/>
          <w:lang w:val="en-US"/>
        </w:rPr>
      </w:pPr>
    </w:p>
    <w:p>
      <w:pPr>
        <w:ind w:firstLine="482" w:firstLineChars="200"/>
        <w:outlineLvl w:val="3"/>
        <w:rPr>
          <w:b/>
          <w:bCs/>
          <w:sz w:val="24"/>
          <w:szCs w:val="24"/>
        </w:rPr>
      </w:pPr>
      <w:r>
        <w:rPr>
          <w:rFonts w:hint="eastAsia"/>
          <w:b/>
          <w:bCs/>
          <w:sz w:val="24"/>
          <w:szCs w:val="24"/>
          <w:lang w:val="en-US"/>
        </w:rPr>
        <w:t>8.2</w:t>
      </w:r>
      <w:r>
        <w:rPr>
          <w:rFonts w:hint="eastAsia"/>
          <w:b/>
          <w:bCs/>
          <w:sz w:val="24"/>
          <w:szCs w:val="24"/>
        </w:rPr>
        <w:t>软件需求及定制开发工需求</w:t>
      </w:r>
    </w:p>
    <w:p>
      <w:pPr>
        <w:adjustRightInd w:val="0"/>
        <w:ind w:right="47" w:firstLine="480" w:firstLineChars="200"/>
        <w:rPr>
          <w:rFonts w:hint="eastAsia" w:ascii="仿宋" w:hAnsi="仿宋" w:eastAsia="仿宋" w:cs="仿宋"/>
          <w:sz w:val="24"/>
          <w:szCs w:val="24"/>
        </w:rPr>
      </w:pPr>
      <w:r>
        <w:rPr>
          <w:rFonts w:hint="eastAsia" w:ascii="仿宋" w:hAnsi="仿宋" w:eastAsia="仿宋" w:cs="仿宋"/>
          <w:sz w:val="24"/>
          <w:szCs w:val="24"/>
        </w:rPr>
        <w:t>项目软件系统采购需求清单如下：</w:t>
      </w:r>
    </w:p>
    <w:tbl>
      <w:tblPr>
        <w:tblStyle w:val="56"/>
        <w:tblW w:w="861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7"/>
        <w:gridCol w:w="1134"/>
        <w:gridCol w:w="708"/>
        <w:gridCol w:w="4976"/>
        <w:gridCol w:w="9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jc w:val="center"/>
        </w:trPr>
        <w:tc>
          <w:tcPr>
            <w:tcW w:w="827" w:type="dxa"/>
            <w:vAlign w:val="center"/>
          </w:tcPr>
          <w:p>
            <w:pPr>
              <w:widowContro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序号</w:t>
            </w:r>
          </w:p>
        </w:tc>
        <w:tc>
          <w:tcPr>
            <w:tcW w:w="1134" w:type="dxa"/>
            <w:vAlign w:val="center"/>
          </w:tcPr>
          <w:p>
            <w:pPr>
              <w:widowContro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名称</w:t>
            </w:r>
          </w:p>
        </w:tc>
        <w:tc>
          <w:tcPr>
            <w:tcW w:w="708" w:type="dxa"/>
            <w:vAlign w:val="center"/>
          </w:tcPr>
          <w:p>
            <w:pPr>
              <w:widowContro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数量</w:t>
            </w:r>
          </w:p>
        </w:tc>
        <w:tc>
          <w:tcPr>
            <w:tcW w:w="4976" w:type="dxa"/>
            <w:vAlign w:val="center"/>
          </w:tcPr>
          <w:p>
            <w:pPr>
              <w:widowContro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性能指标要求</w:t>
            </w:r>
          </w:p>
        </w:tc>
        <w:tc>
          <w:tcPr>
            <w:tcW w:w="968" w:type="dxa"/>
            <w:vAlign w:val="center"/>
          </w:tcPr>
          <w:p>
            <w:pPr>
              <w:widowContro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重要性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jc w:val="center"/>
        </w:trPr>
        <w:tc>
          <w:tcPr>
            <w:tcW w:w="827" w:type="dxa"/>
            <w:vAlign w:val="center"/>
          </w:tcPr>
          <w:p>
            <w:pPr>
              <w:widowContro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(一)</w:t>
            </w:r>
          </w:p>
        </w:tc>
        <w:tc>
          <w:tcPr>
            <w:tcW w:w="1842" w:type="dxa"/>
            <w:gridSpan w:val="2"/>
            <w:vAlign w:val="center"/>
          </w:tcPr>
          <w:p>
            <w:pPr>
              <w:widowContro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系统软件</w:t>
            </w:r>
          </w:p>
        </w:tc>
        <w:tc>
          <w:tcPr>
            <w:tcW w:w="4976" w:type="dxa"/>
            <w:vAlign w:val="center"/>
          </w:tcPr>
          <w:p>
            <w:pPr>
              <w:widowContro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968" w:type="dxa"/>
            <w:vAlign w:val="center"/>
          </w:tcPr>
          <w:p>
            <w:pPr>
              <w:widowControl/>
              <w:jc w:val="both"/>
              <w:rPr>
                <w:rFonts w:ascii="Times New Roman" w:hAnsi="Times New Roman" w:cs="Times New Roman"/>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827" w:type="dxa"/>
            <w:vMerge w:val="restart"/>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1134" w:type="dxa"/>
            <w:vMerge w:val="restart"/>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商用数据库软件</w:t>
            </w:r>
          </w:p>
        </w:tc>
        <w:tc>
          <w:tcPr>
            <w:tcW w:w="708" w:type="dxa"/>
            <w:vMerge w:val="restart"/>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76" w:type="dxa"/>
            <w:vAlign w:val="center"/>
          </w:tcPr>
          <w:p>
            <w:pPr>
              <w:widowControl/>
              <w:rPr>
                <w:rFonts w:ascii="Times New Roman" w:hAnsi="Times New Roman" w:cs="Times New Roman"/>
                <w:color w:val="000000"/>
                <w:sz w:val="24"/>
                <w:szCs w:val="24"/>
              </w:rPr>
            </w:pPr>
            <w:r>
              <w:rPr>
                <w:rFonts w:ascii="Times New Roman" w:hAnsi="Times New Roman" w:cs="Times New Roman"/>
                <w:color w:val="000000"/>
                <w:sz w:val="24"/>
                <w:szCs w:val="24"/>
              </w:rPr>
              <w:t>通用关系型数据库管理系统，支持SQL数据库查询语言，提供标准的ODBC、JDBC、OLEDB/ADO和.Net Provider等数据访问接口，具有海量数据管理和大规模并发处理能力；</w:t>
            </w:r>
          </w:p>
        </w:tc>
        <w:tc>
          <w:tcPr>
            <w:tcW w:w="968" w:type="dxa"/>
            <w:vAlign w:val="center"/>
          </w:tcPr>
          <w:p>
            <w:pPr>
              <w:widowControl/>
              <w:rPr>
                <w:rFonts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jc w:val="center"/>
        </w:trPr>
        <w:tc>
          <w:tcPr>
            <w:tcW w:w="827" w:type="dxa"/>
            <w:vMerge w:val="continue"/>
            <w:vAlign w:val="center"/>
          </w:tcPr>
          <w:p>
            <w:pPr>
              <w:widowControl/>
              <w:rPr>
                <w:rFonts w:ascii="Times New Roman" w:hAnsi="Times New Roman" w:cs="Times New Roman"/>
                <w:color w:val="000000"/>
                <w:sz w:val="24"/>
                <w:szCs w:val="24"/>
              </w:rPr>
            </w:pPr>
          </w:p>
        </w:tc>
        <w:tc>
          <w:tcPr>
            <w:tcW w:w="1134" w:type="dxa"/>
            <w:vMerge w:val="continue"/>
            <w:vAlign w:val="center"/>
          </w:tcPr>
          <w:p>
            <w:pPr>
              <w:widowControl/>
              <w:rPr>
                <w:rFonts w:ascii="Times New Roman" w:hAnsi="Times New Roman" w:cs="Times New Roman"/>
                <w:color w:val="000000"/>
                <w:sz w:val="24"/>
                <w:szCs w:val="24"/>
              </w:rPr>
            </w:pPr>
          </w:p>
        </w:tc>
        <w:tc>
          <w:tcPr>
            <w:tcW w:w="708" w:type="dxa"/>
            <w:vMerge w:val="continue"/>
            <w:vAlign w:val="center"/>
          </w:tcPr>
          <w:p>
            <w:pPr>
              <w:widowControl/>
              <w:rPr>
                <w:rFonts w:ascii="Times New Roman" w:hAnsi="Times New Roman" w:cs="Times New Roman"/>
                <w:color w:val="000000"/>
                <w:sz w:val="24"/>
                <w:szCs w:val="24"/>
              </w:rPr>
            </w:pPr>
          </w:p>
        </w:tc>
        <w:tc>
          <w:tcPr>
            <w:tcW w:w="4976" w:type="dxa"/>
            <w:vAlign w:val="center"/>
          </w:tcPr>
          <w:p>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在稳定性方面，系统具有完善的数据日志和故障恢复机制以及灵活的自动备份等功能，支持7X24小时持续运行； </w:t>
            </w:r>
          </w:p>
        </w:tc>
        <w:tc>
          <w:tcPr>
            <w:tcW w:w="968" w:type="dxa"/>
            <w:vAlign w:val="center"/>
          </w:tcPr>
          <w:p>
            <w:pPr>
              <w:widowControl/>
              <w:rPr>
                <w:rFonts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jc w:val="center"/>
        </w:trPr>
        <w:tc>
          <w:tcPr>
            <w:tcW w:w="827" w:type="dxa"/>
            <w:vMerge w:val="continue"/>
            <w:vAlign w:val="center"/>
          </w:tcPr>
          <w:p>
            <w:pPr>
              <w:widowControl/>
              <w:rPr>
                <w:rFonts w:ascii="Times New Roman" w:hAnsi="Times New Roman" w:cs="Times New Roman"/>
                <w:color w:val="000000"/>
                <w:sz w:val="24"/>
                <w:szCs w:val="24"/>
              </w:rPr>
            </w:pPr>
          </w:p>
        </w:tc>
        <w:tc>
          <w:tcPr>
            <w:tcW w:w="1134" w:type="dxa"/>
            <w:vMerge w:val="continue"/>
            <w:vAlign w:val="center"/>
          </w:tcPr>
          <w:p>
            <w:pPr>
              <w:widowControl/>
              <w:rPr>
                <w:rFonts w:ascii="Times New Roman" w:hAnsi="Times New Roman" w:cs="Times New Roman"/>
                <w:color w:val="000000"/>
                <w:sz w:val="24"/>
                <w:szCs w:val="24"/>
              </w:rPr>
            </w:pPr>
          </w:p>
        </w:tc>
        <w:tc>
          <w:tcPr>
            <w:tcW w:w="708" w:type="dxa"/>
            <w:vMerge w:val="continue"/>
            <w:vAlign w:val="center"/>
          </w:tcPr>
          <w:p>
            <w:pPr>
              <w:widowControl/>
              <w:rPr>
                <w:rFonts w:ascii="Times New Roman" w:hAnsi="Times New Roman" w:cs="Times New Roman"/>
                <w:color w:val="000000"/>
                <w:sz w:val="24"/>
                <w:szCs w:val="24"/>
              </w:rPr>
            </w:pPr>
          </w:p>
        </w:tc>
        <w:tc>
          <w:tcPr>
            <w:tcW w:w="4976" w:type="dxa"/>
            <w:vAlign w:val="center"/>
          </w:tcPr>
          <w:p>
            <w:pPr>
              <w:widowControl/>
              <w:rPr>
                <w:rFonts w:ascii="Times New Roman" w:hAnsi="Times New Roman" w:cs="Times New Roman"/>
                <w:color w:val="000000"/>
                <w:sz w:val="24"/>
                <w:szCs w:val="24"/>
              </w:rPr>
            </w:pPr>
            <w:r>
              <w:rPr>
                <w:rFonts w:ascii="Times New Roman" w:hAnsi="Times New Roman" w:cs="Times New Roman"/>
                <w:color w:val="000000"/>
                <w:sz w:val="24"/>
                <w:szCs w:val="24"/>
              </w:rPr>
              <w:t>在安全性方面，实现对数据访问、存储、传输以及权限等方面的安全管理。</w:t>
            </w:r>
          </w:p>
        </w:tc>
        <w:tc>
          <w:tcPr>
            <w:tcW w:w="968" w:type="dxa"/>
            <w:vAlign w:val="center"/>
          </w:tcPr>
          <w:p>
            <w:pPr>
              <w:widowControl/>
              <w:rPr>
                <w:rFonts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jc w:val="center"/>
        </w:trPr>
        <w:tc>
          <w:tcPr>
            <w:tcW w:w="827"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1134"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防病毒软件</w:t>
            </w:r>
          </w:p>
        </w:tc>
        <w:tc>
          <w:tcPr>
            <w:tcW w:w="708"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76" w:type="dxa"/>
            <w:vAlign w:val="center"/>
          </w:tcPr>
          <w:p>
            <w:pPr>
              <w:widowControl/>
              <w:rPr>
                <w:rFonts w:ascii="Times New Roman" w:hAnsi="Times New Roman" w:cs="Times New Roman"/>
                <w:color w:val="000000"/>
                <w:sz w:val="24"/>
                <w:szCs w:val="24"/>
              </w:rPr>
            </w:pPr>
            <w:r>
              <w:rPr>
                <w:rFonts w:ascii="Times New Roman" w:hAnsi="Times New Roman" w:cs="Times New Roman"/>
                <w:color w:val="000000"/>
                <w:sz w:val="24"/>
                <w:szCs w:val="24"/>
              </w:rPr>
              <w:t>包含50个服务器或终端点位，软件正式版，支持windows、linux系统。</w:t>
            </w:r>
          </w:p>
        </w:tc>
        <w:tc>
          <w:tcPr>
            <w:tcW w:w="968" w:type="dxa"/>
            <w:vAlign w:val="center"/>
          </w:tcPr>
          <w:p>
            <w:pPr>
              <w:widowControl/>
              <w:rPr>
                <w:rFonts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jc w:val="center"/>
        </w:trPr>
        <w:tc>
          <w:tcPr>
            <w:tcW w:w="827"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hint="eastAsia" w:ascii="Times New Roman" w:hAnsi="Times New Roman" w:cs="Times New Roman"/>
                <w:b/>
                <w:bCs/>
                <w:color w:val="000000"/>
                <w:sz w:val="24"/>
                <w:szCs w:val="24"/>
                <w:lang w:val="en-US"/>
              </w:rPr>
              <w:t>二</w:t>
            </w:r>
            <w:r>
              <w:rPr>
                <w:rFonts w:ascii="Times New Roman" w:hAnsi="Times New Roman" w:cs="Times New Roman"/>
                <w:b/>
                <w:bCs/>
                <w:color w:val="000000"/>
                <w:sz w:val="24"/>
                <w:szCs w:val="24"/>
              </w:rPr>
              <w:t>)</w:t>
            </w:r>
          </w:p>
        </w:tc>
        <w:tc>
          <w:tcPr>
            <w:tcW w:w="1842" w:type="dxa"/>
            <w:gridSpan w:val="2"/>
            <w:vAlign w:val="center"/>
          </w:tcPr>
          <w:p>
            <w:pPr>
              <w:widowControl/>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定制软件开发</w:t>
            </w:r>
          </w:p>
        </w:tc>
        <w:tc>
          <w:tcPr>
            <w:tcW w:w="4976" w:type="dxa"/>
            <w:vAlign w:val="center"/>
          </w:tcPr>
          <w:p>
            <w:pPr>
              <w:widowControl/>
              <w:rPr>
                <w:rFonts w:ascii="Times New Roman" w:hAnsi="Times New Roman" w:cs="Times New Roman"/>
                <w:color w:val="000000"/>
                <w:sz w:val="24"/>
                <w:szCs w:val="24"/>
              </w:rPr>
            </w:pPr>
          </w:p>
        </w:tc>
        <w:tc>
          <w:tcPr>
            <w:tcW w:w="968" w:type="dxa"/>
            <w:vAlign w:val="center"/>
          </w:tcPr>
          <w:p>
            <w:pPr>
              <w:widowControl/>
              <w:rPr>
                <w:rFonts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jc w:val="center"/>
        </w:trPr>
        <w:tc>
          <w:tcPr>
            <w:tcW w:w="827"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主动监测采集软件</w:t>
            </w:r>
          </w:p>
        </w:tc>
        <w:tc>
          <w:tcPr>
            <w:tcW w:w="708"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76" w:type="dxa"/>
            <w:vAlign w:val="center"/>
          </w:tcPr>
          <w:p>
            <w:pPr>
              <w:widowControl/>
              <w:rPr>
                <w:rFonts w:ascii="Times New Roman" w:hAnsi="Times New Roman" w:cs="Times New Roman"/>
                <w:color w:val="000000"/>
                <w:sz w:val="24"/>
                <w:szCs w:val="24"/>
                <w:lang w:val="en-US"/>
              </w:rPr>
            </w:pPr>
            <w:r>
              <w:rPr>
                <w:rFonts w:ascii="Times New Roman" w:hAnsi="Times New Roman" w:cs="Times New Roman"/>
                <w:color w:val="000000"/>
                <w:sz w:val="24"/>
                <w:szCs w:val="24"/>
              </w:rPr>
              <w:t>包括骨干网主动监测采集、城域网主动监测采集、网间不规范路由监测、信源架构监测、IPv6应用支持情况监测、工业互联网关键设备监测、国际互联网访问性能监测采集、视频访问监测、全国骨干网络性能监测采集、辅助网间质量障碍责任判定测试</w:t>
            </w:r>
            <w:r>
              <w:rPr>
                <w:rFonts w:hint="eastAsia" w:ascii="Times New Roman" w:hAnsi="Times New Roman" w:cs="Times New Roman"/>
                <w:color w:val="000000"/>
                <w:sz w:val="24"/>
                <w:szCs w:val="24"/>
                <w:lang w:val="en-US"/>
              </w:rPr>
              <w:t>共10个</w:t>
            </w:r>
            <w:r>
              <w:rPr>
                <w:rFonts w:ascii="Times New Roman" w:hAnsi="Times New Roman" w:cs="Times New Roman"/>
                <w:color w:val="000000"/>
                <w:sz w:val="24"/>
                <w:szCs w:val="24"/>
              </w:rPr>
              <w:t>功能。</w:t>
            </w:r>
            <w:r>
              <w:rPr>
                <w:rFonts w:hint="eastAsia" w:ascii="Times New Roman" w:hAnsi="Times New Roman" w:cs="Times New Roman"/>
                <w:color w:val="000000"/>
                <w:sz w:val="24"/>
                <w:szCs w:val="24"/>
                <w:lang w:val="en-US"/>
              </w:rPr>
              <w:t>具体建设需求详见“4.2.1章节主动监测子系统”。</w:t>
            </w:r>
          </w:p>
        </w:tc>
        <w:tc>
          <w:tcPr>
            <w:tcW w:w="968" w:type="dxa"/>
            <w:vAlign w:val="center"/>
          </w:tcPr>
          <w:p>
            <w:pPr>
              <w:widowControl/>
              <w:rPr>
                <w:rFonts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jc w:val="center"/>
        </w:trPr>
        <w:tc>
          <w:tcPr>
            <w:tcW w:w="827"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被动监测采集软件</w:t>
            </w:r>
          </w:p>
        </w:tc>
        <w:tc>
          <w:tcPr>
            <w:tcW w:w="708"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76" w:type="dxa"/>
            <w:vAlign w:val="center"/>
          </w:tcPr>
          <w:p>
            <w:pPr>
              <w:widowControl/>
              <w:rPr>
                <w:rFonts w:ascii="Times New Roman" w:hAnsi="Times New Roman" w:cs="Times New Roman"/>
                <w:color w:val="000000"/>
                <w:sz w:val="24"/>
                <w:szCs w:val="24"/>
              </w:rPr>
            </w:pPr>
            <w:r>
              <w:rPr>
                <w:rFonts w:ascii="Times New Roman" w:hAnsi="Times New Roman" w:cs="Times New Roman"/>
                <w:color w:val="000000"/>
                <w:sz w:val="24"/>
                <w:szCs w:val="24"/>
              </w:rPr>
              <w:t>包含互联链路性能监测</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过网流量流向监测</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过网流量业务成分分析</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跨网网络通信性能监测</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网间业务访问质量监测</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BGP路由信息采集分析模块</w:t>
            </w:r>
            <w:r>
              <w:rPr>
                <w:rFonts w:hint="eastAsia" w:ascii="Times New Roman" w:hAnsi="Times New Roman" w:cs="Times New Roman"/>
                <w:color w:val="000000"/>
                <w:sz w:val="24"/>
                <w:szCs w:val="24"/>
              </w:rPr>
              <w:t>、通信障碍责任判定测试及流量录制</w:t>
            </w:r>
            <w:r>
              <w:rPr>
                <w:rFonts w:hint="eastAsia" w:ascii="Times New Roman" w:hAnsi="Times New Roman" w:cs="Times New Roman"/>
                <w:color w:val="000000"/>
                <w:sz w:val="24"/>
                <w:szCs w:val="24"/>
                <w:lang w:val="en-US"/>
              </w:rPr>
              <w:t>7个</w:t>
            </w:r>
            <w:r>
              <w:rPr>
                <w:rFonts w:ascii="Times New Roman" w:hAnsi="Times New Roman" w:cs="Times New Roman"/>
                <w:color w:val="000000"/>
                <w:sz w:val="24"/>
                <w:szCs w:val="24"/>
              </w:rPr>
              <w:t>功能。</w:t>
            </w:r>
            <w:r>
              <w:rPr>
                <w:rFonts w:hint="eastAsia" w:ascii="Times New Roman" w:hAnsi="Times New Roman" w:cs="Times New Roman"/>
                <w:color w:val="000000"/>
                <w:sz w:val="24"/>
                <w:szCs w:val="24"/>
                <w:lang w:val="en-US"/>
              </w:rPr>
              <w:t>具体建设需求详见“4.2.2章节被动监测子系统”。</w:t>
            </w:r>
          </w:p>
        </w:tc>
        <w:tc>
          <w:tcPr>
            <w:tcW w:w="968" w:type="dxa"/>
            <w:vAlign w:val="center"/>
          </w:tcPr>
          <w:p>
            <w:pPr>
              <w:widowControl/>
              <w:rPr>
                <w:rFonts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jc w:val="center"/>
        </w:trPr>
        <w:tc>
          <w:tcPr>
            <w:tcW w:w="827"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宽带测速采集软件</w:t>
            </w:r>
          </w:p>
        </w:tc>
        <w:tc>
          <w:tcPr>
            <w:tcW w:w="708"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76" w:type="dxa"/>
            <w:vAlign w:val="center"/>
          </w:tcPr>
          <w:p>
            <w:pPr>
              <w:widowControl/>
              <w:rPr>
                <w:rFonts w:ascii="Times New Roman" w:hAnsi="Times New Roman" w:cs="Times New Roman"/>
                <w:color w:val="000000"/>
                <w:sz w:val="24"/>
                <w:szCs w:val="24"/>
              </w:rPr>
            </w:pPr>
            <w:r>
              <w:rPr>
                <w:rFonts w:ascii="Times New Roman" w:hAnsi="Times New Roman" w:cs="Times New Roman"/>
                <w:color w:val="000000"/>
                <w:sz w:val="24"/>
                <w:szCs w:val="24"/>
              </w:rPr>
              <w:t>包括宽带接入速率测试、用户业务体验测试、移动宽带测速</w:t>
            </w:r>
            <w:r>
              <w:rPr>
                <w:rFonts w:hint="eastAsia" w:ascii="Times New Roman" w:hAnsi="Times New Roman" w:cs="Times New Roman"/>
                <w:color w:val="000000"/>
                <w:sz w:val="24"/>
                <w:szCs w:val="24"/>
                <w:lang w:val="en-US"/>
              </w:rPr>
              <w:t>3个</w:t>
            </w:r>
            <w:r>
              <w:rPr>
                <w:rFonts w:ascii="Times New Roman" w:hAnsi="Times New Roman" w:cs="Times New Roman"/>
                <w:color w:val="000000"/>
                <w:sz w:val="24"/>
                <w:szCs w:val="24"/>
              </w:rPr>
              <w:t>功能。</w:t>
            </w:r>
            <w:r>
              <w:rPr>
                <w:rFonts w:hint="eastAsia" w:ascii="Times New Roman" w:hAnsi="Times New Roman" w:cs="Times New Roman"/>
                <w:color w:val="000000"/>
                <w:sz w:val="24"/>
                <w:szCs w:val="24"/>
                <w:lang w:val="en-US"/>
              </w:rPr>
              <w:t>具体建设需求详见“4.2.3章节宽带监测子系统”。</w:t>
            </w:r>
          </w:p>
        </w:tc>
        <w:tc>
          <w:tcPr>
            <w:tcW w:w="968" w:type="dxa"/>
            <w:vAlign w:val="center"/>
          </w:tcPr>
          <w:p>
            <w:pPr>
              <w:widowControl/>
              <w:rPr>
                <w:rFonts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jc w:val="center"/>
        </w:trPr>
        <w:tc>
          <w:tcPr>
            <w:tcW w:w="827"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综合控制网管软件</w:t>
            </w:r>
          </w:p>
        </w:tc>
        <w:tc>
          <w:tcPr>
            <w:tcW w:w="708"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76" w:type="dxa"/>
            <w:vAlign w:val="center"/>
          </w:tcPr>
          <w:p>
            <w:pPr>
              <w:widowControl/>
            </w:pPr>
            <w:r>
              <w:t>包含基础信息采集和BGP信息采集</w:t>
            </w:r>
            <w:r>
              <w:rPr>
                <w:rFonts w:hint="eastAsia"/>
                <w:lang w:val="en-US"/>
              </w:rPr>
              <w:t>2个</w:t>
            </w:r>
            <w:r>
              <w:t>功能。</w:t>
            </w:r>
            <w:r>
              <w:rPr>
                <w:rFonts w:hint="eastAsia" w:ascii="Times New Roman" w:hAnsi="Times New Roman" w:cs="Times New Roman"/>
                <w:color w:val="000000"/>
                <w:sz w:val="24"/>
                <w:szCs w:val="24"/>
                <w:lang w:val="en-US"/>
              </w:rPr>
              <w:t>具体建设需求详见“4.2.4章节综合网管子系统”。</w:t>
            </w:r>
          </w:p>
        </w:tc>
        <w:tc>
          <w:tcPr>
            <w:tcW w:w="968" w:type="dxa"/>
            <w:vAlign w:val="center"/>
          </w:tcPr>
          <w:p>
            <w:pPr>
              <w:widowControl/>
              <w:rPr>
                <w:rFonts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jc w:val="center"/>
        </w:trPr>
        <w:tc>
          <w:tcPr>
            <w:tcW w:w="827"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p>
        </w:tc>
        <w:tc>
          <w:tcPr>
            <w:tcW w:w="1134"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直联点监控中心软件</w:t>
            </w:r>
          </w:p>
        </w:tc>
        <w:tc>
          <w:tcPr>
            <w:tcW w:w="708"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76" w:type="dxa"/>
            <w:vAlign w:val="center"/>
          </w:tcPr>
          <w:p>
            <w:pPr>
              <w:widowControl/>
              <w:rPr>
                <w:rFonts w:ascii="Times New Roman" w:hAnsi="Times New Roman" w:cs="Times New Roman"/>
                <w:color w:val="000000"/>
                <w:sz w:val="24"/>
                <w:szCs w:val="24"/>
              </w:rPr>
            </w:pPr>
            <w:r>
              <w:rPr>
                <w:rFonts w:ascii="Times New Roman" w:hAnsi="Times New Roman" w:cs="Times New Roman"/>
                <w:color w:val="000000"/>
                <w:sz w:val="24"/>
                <w:szCs w:val="24"/>
              </w:rPr>
              <w:t>包括数据采集、数据分析、资源管理、运行监测、责任判定、任务下发、系统管理、</w:t>
            </w:r>
            <w:r>
              <w:rPr>
                <w:rFonts w:hint="eastAsia" w:ascii="Times New Roman" w:hAnsi="Times New Roman" w:cs="Times New Roman"/>
                <w:color w:val="000000"/>
                <w:sz w:val="24"/>
                <w:szCs w:val="24"/>
                <w:lang w:val="en-US"/>
              </w:rPr>
              <w:t>统计报告</w:t>
            </w:r>
            <w:r>
              <w:rPr>
                <w:rFonts w:ascii="Times New Roman" w:hAnsi="Times New Roman" w:cs="Times New Roman"/>
                <w:color w:val="000000"/>
                <w:sz w:val="24"/>
                <w:szCs w:val="24"/>
              </w:rPr>
              <w:t>、</w:t>
            </w:r>
            <w:r>
              <w:rPr>
                <w:rFonts w:hint="eastAsia" w:ascii="Times New Roman" w:hAnsi="Times New Roman" w:cs="Times New Roman"/>
                <w:color w:val="000000"/>
                <w:sz w:val="24"/>
                <w:szCs w:val="24"/>
                <w:lang w:val="en-US"/>
              </w:rPr>
              <w:t>多维</w:t>
            </w:r>
            <w:r>
              <w:rPr>
                <w:rFonts w:ascii="Times New Roman" w:hAnsi="Times New Roman" w:cs="Times New Roman"/>
                <w:color w:val="000000"/>
                <w:sz w:val="24"/>
                <w:szCs w:val="24"/>
              </w:rPr>
              <w:t>展示</w:t>
            </w:r>
            <w:r>
              <w:rPr>
                <w:rFonts w:hint="eastAsia" w:ascii="Times New Roman" w:hAnsi="Times New Roman" w:cs="Times New Roman"/>
                <w:color w:val="000000"/>
                <w:sz w:val="24"/>
                <w:szCs w:val="24"/>
                <w:lang w:val="en-US"/>
              </w:rPr>
              <w:t>9个</w:t>
            </w:r>
            <w:r>
              <w:rPr>
                <w:rFonts w:ascii="Times New Roman" w:hAnsi="Times New Roman" w:cs="Times New Roman"/>
                <w:color w:val="000000"/>
                <w:sz w:val="24"/>
                <w:szCs w:val="24"/>
              </w:rPr>
              <w:t>功能。</w:t>
            </w:r>
            <w:r>
              <w:rPr>
                <w:rFonts w:hint="eastAsia" w:ascii="Times New Roman" w:hAnsi="Times New Roman" w:cs="Times New Roman"/>
                <w:color w:val="000000"/>
                <w:sz w:val="24"/>
                <w:szCs w:val="24"/>
                <w:lang w:val="en-US"/>
              </w:rPr>
              <w:t>具体建设需求详见“4.2.5章节直联点监控中心子系统”。</w:t>
            </w:r>
          </w:p>
        </w:tc>
        <w:tc>
          <w:tcPr>
            <w:tcW w:w="968" w:type="dxa"/>
            <w:vAlign w:val="center"/>
          </w:tcPr>
          <w:p>
            <w:pPr>
              <w:widowControl/>
              <w:rPr>
                <w:rFonts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827"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p>
        </w:tc>
        <w:tc>
          <w:tcPr>
            <w:tcW w:w="1134"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运行维护支撑软件</w:t>
            </w:r>
          </w:p>
        </w:tc>
        <w:tc>
          <w:tcPr>
            <w:tcW w:w="708" w:type="dxa"/>
            <w:vAlign w:val="center"/>
          </w:tcPr>
          <w:p>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76" w:type="dxa"/>
            <w:vAlign w:val="center"/>
          </w:tcPr>
          <w:p>
            <w:pPr>
              <w:widowControl/>
              <w:rPr>
                <w:rFonts w:ascii="Times New Roman" w:hAnsi="Times New Roman" w:cs="Times New Roman"/>
                <w:color w:val="000000"/>
                <w:sz w:val="24"/>
                <w:szCs w:val="24"/>
              </w:rPr>
            </w:pPr>
            <w:r>
              <w:rPr>
                <w:rFonts w:ascii="Times New Roman" w:hAnsi="Times New Roman" w:cs="Times New Roman"/>
                <w:color w:val="000000"/>
                <w:sz w:val="24"/>
                <w:szCs w:val="24"/>
              </w:rPr>
              <w:t>包含运行管理</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时钟同步</w:t>
            </w:r>
            <w:r>
              <w:rPr>
                <w:rFonts w:hint="eastAsia" w:ascii="Times New Roman" w:hAnsi="Times New Roman" w:cs="Times New Roman"/>
                <w:color w:val="000000"/>
                <w:sz w:val="24"/>
                <w:szCs w:val="24"/>
                <w:lang w:val="en-US"/>
              </w:rPr>
              <w:t>2个功能</w:t>
            </w:r>
            <w:r>
              <w:rPr>
                <w:rFonts w:ascii="Times New Roman" w:hAnsi="Times New Roman" w:cs="Times New Roman"/>
                <w:color w:val="000000"/>
                <w:sz w:val="24"/>
                <w:szCs w:val="24"/>
              </w:rPr>
              <w:t>。</w:t>
            </w:r>
            <w:r>
              <w:rPr>
                <w:rFonts w:hint="eastAsia" w:ascii="Times New Roman" w:hAnsi="Times New Roman" w:cs="Times New Roman"/>
                <w:color w:val="000000"/>
                <w:sz w:val="24"/>
                <w:szCs w:val="24"/>
                <w:lang w:val="en-US"/>
              </w:rPr>
              <w:t>具体建设需求详见“4.2.7章节运行维护支撑子系统”。</w:t>
            </w:r>
          </w:p>
        </w:tc>
        <w:tc>
          <w:tcPr>
            <w:tcW w:w="968" w:type="dxa"/>
            <w:vAlign w:val="center"/>
          </w:tcPr>
          <w:p>
            <w:pPr>
              <w:widowControl/>
              <w:rPr>
                <w:rFonts w:ascii="Times New Roman" w:hAnsi="Times New Roman" w:cs="Times New Roman"/>
                <w:color w:val="000000"/>
                <w:sz w:val="24"/>
                <w:szCs w:val="24"/>
              </w:rPr>
            </w:pPr>
          </w:p>
        </w:tc>
      </w:tr>
    </w:tbl>
    <w:p>
      <w:pPr>
        <w:numPr>
          <w:numId w:val="0"/>
        </w:numPr>
        <w:ind w:firstLine="482" w:firstLineChars="200"/>
        <w:outlineLvl w:val="3"/>
        <w:rPr>
          <w:b/>
          <w:bCs/>
          <w:sz w:val="24"/>
          <w:szCs w:val="24"/>
        </w:rPr>
      </w:pPr>
      <w:bookmarkStart w:id="14" w:name="_Toc73106177"/>
      <w:r>
        <w:rPr>
          <w:b/>
          <w:bCs/>
          <w:sz w:val="24"/>
          <w:szCs w:val="24"/>
        </w:rPr>
        <w:br w:type="page"/>
      </w:r>
      <w:r>
        <w:rPr>
          <w:rFonts w:hint="eastAsia"/>
          <w:b/>
          <w:bCs/>
          <w:sz w:val="24"/>
          <w:szCs w:val="24"/>
          <w:lang w:val="en-US"/>
        </w:rPr>
        <w:t>8.3</w:t>
      </w:r>
      <w:r>
        <w:rPr>
          <w:rFonts w:hint="eastAsia"/>
          <w:b/>
          <w:bCs/>
          <w:sz w:val="24"/>
          <w:szCs w:val="24"/>
        </w:rPr>
        <w:t>配套设施建设需求</w:t>
      </w:r>
    </w:p>
    <w:tbl>
      <w:tblPr>
        <w:tblStyle w:val="56"/>
        <w:tblW w:w="8667"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98"/>
        <w:gridCol w:w="2864"/>
        <w:gridCol w:w="4371"/>
        <w:gridCol w:w="531"/>
        <w:gridCol w:w="50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blHeader/>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lang w:val="en-US"/>
              </w:rPr>
              <w:t>序号</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lang w:val="en-US"/>
              </w:rPr>
              <w:t>产品名称</w:t>
            </w:r>
          </w:p>
        </w:tc>
        <w:tc>
          <w:tcPr>
            <w:tcW w:w="4371" w:type="dxa"/>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lang w:val="en-US"/>
              </w:rPr>
              <w:t>主要性能指标</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lang w:val="en-US"/>
              </w:rPr>
              <w:t>单位</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lang w:val="en-US"/>
              </w:rPr>
              <w:t>数量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lang w:val="en-US"/>
              </w:rPr>
              <w:t>一</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lang w:val="en-US"/>
              </w:rPr>
              <w:t>装饰专业</w:t>
            </w:r>
          </w:p>
        </w:tc>
        <w:tc>
          <w:tcPr>
            <w:tcW w:w="4371" w:type="dxa"/>
            <w:tcMar>
              <w:top w:w="15" w:type="dxa"/>
              <w:left w:w="15" w:type="dxa"/>
              <w:right w:w="15" w:type="dxa"/>
            </w:tcMar>
            <w:vAlign w:val="center"/>
          </w:tcPr>
          <w:p>
            <w:pPr>
              <w:rPr>
                <w:rFonts w:ascii="Times New Roman" w:hAnsi="Times New Roman" w:eastAsia="宋体" w:cs="Times New Roman"/>
                <w:color w:val="000000"/>
                <w:sz w:val="21"/>
                <w:szCs w:val="21"/>
              </w:rPr>
            </w:pPr>
          </w:p>
        </w:tc>
        <w:tc>
          <w:tcPr>
            <w:tcW w:w="531"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c>
          <w:tcPr>
            <w:tcW w:w="503"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办公区</w:t>
            </w:r>
          </w:p>
        </w:tc>
        <w:tc>
          <w:tcPr>
            <w:tcW w:w="4371" w:type="dxa"/>
            <w:tcMar>
              <w:top w:w="15" w:type="dxa"/>
              <w:left w:w="15" w:type="dxa"/>
              <w:right w:w="15" w:type="dxa"/>
            </w:tcMar>
            <w:vAlign w:val="center"/>
          </w:tcPr>
          <w:p>
            <w:pPr>
              <w:rPr>
                <w:rFonts w:ascii="Times New Roman" w:hAnsi="Times New Roman" w:eastAsia="宋体" w:cs="Times New Roman"/>
                <w:color w:val="000000"/>
                <w:sz w:val="21"/>
                <w:szCs w:val="21"/>
              </w:rPr>
            </w:pPr>
          </w:p>
        </w:tc>
        <w:tc>
          <w:tcPr>
            <w:tcW w:w="531"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c>
          <w:tcPr>
            <w:tcW w:w="503"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lang w:val="en-US"/>
              </w:rPr>
            </w:pPr>
            <w:r>
              <w:rPr>
                <w:rFonts w:ascii="Times New Roman" w:hAnsi="Times New Roman" w:eastAsia="宋体" w:cs="Times New Roman"/>
                <w:color w:val="000000"/>
                <w:sz w:val="21"/>
                <w:szCs w:val="21"/>
                <w:lang w:val="en-US"/>
              </w:rPr>
              <w:t>1.1</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维护工位</w:t>
            </w:r>
          </w:p>
        </w:tc>
        <w:tc>
          <w:tcPr>
            <w:tcW w:w="4371" w:type="dxa"/>
            <w:tcMar>
              <w:top w:w="15" w:type="dxa"/>
              <w:left w:w="15" w:type="dxa"/>
              <w:right w:w="15" w:type="dxa"/>
            </w:tcMar>
            <w:vAlign w:val="center"/>
          </w:tcPr>
          <w:p>
            <w:pPr>
              <w:widowControl/>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含维护工位及座椅、文件柜</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1.2</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会议桌椅</w:t>
            </w:r>
          </w:p>
        </w:tc>
        <w:tc>
          <w:tcPr>
            <w:tcW w:w="4371" w:type="dxa"/>
            <w:tcMar>
              <w:top w:w="15" w:type="dxa"/>
              <w:left w:w="15" w:type="dxa"/>
              <w:right w:w="15" w:type="dxa"/>
            </w:tcMar>
            <w:vAlign w:val="center"/>
          </w:tcPr>
          <w:p>
            <w:pPr>
              <w:widowControl/>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1套会议桌，10个座椅</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1.3</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维护人员休息床位</w:t>
            </w:r>
          </w:p>
        </w:tc>
        <w:tc>
          <w:tcPr>
            <w:tcW w:w="4371" w:type="dxa"/>
            <w:tcMar>
              <w:top w:w="15" w:type="dxa"/>
              <w:left w:w="15" w:type="dxa"/>
              <w:right w:w="15" w:type="dxa"/>
            </w:tcMar>
            <w:vAlign w:val="center"/>
          </w:tcPr>
          <w:p>
            <w:pPr>
              <w:widowControl/>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含床位及衣柜</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 </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四层展示大厅装修</w:t>
            </w:r>
          </w:p>
        </w:tc>
        <w:tc>
          <w:tcPr>
            <w:tcW w:w="4371" w:type="dxa"/>
            <w:tcMar>
              <w:top w:w="15" w:type="dxa"/>
              <w:left w:w="15" w:type="dxa"/>
              <w:right w:w="15" w:type="dxa"/>
            </w:tcMar>
            <w:vAlign w:val="center"/>
          </w:tcPr>
          <w:p>
            <w:pPr>
              <w:rPr>
                <w:rFonts w:ascii="Times New Roman" w:hAnsi="Times New Roman" w:eastAsia="宋体" w:cs="Times New Roman"/>
                <w:color w:val="000000"/>
                <w:sz w:val="21"/>
                <w:szCs w:val="21"/>
              </w:rPr>
            </w:pPr>
          </w:p>
        </w:tc>
        <w:tc>
          <w:tcPr>
            <w:tcW w:w="531"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c>
          <w:tcPr>
            <w:tcW w:w="503"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展示座椅</w:t>
            </w:r>
          </w:p>
        </w:tc>
        <w:tc>
          <w:tcPr>
            <w:tcW w:w="4371" w:type="dxa"/>
            <w:tcMar>
              <w:top w:w="15" w:type="dxa"/>
              <w:left w:w="15" w:type="dxa"/>
              <w:right w:w="15" w:type="dxa"/>
            </w:tcMar>
            <w:vAlign w:val="center"/>
          </w:tcPr>
          <w:p>
            <w:pPr>
              <w:rPr>
                <w:rFonts w:ascii="Times New Roman" w:hAnsi="Times New Roman" w:eastAsia="宋体" w:cs="Times New Roman"/>
                <w:color w:val="000000"/>
                <w:sz w:val="21"/>
                <w:szCs w:val="21"/>
                <w:lang w:val="en-US"/>
              </w:rPr>
            </w:pPr>
            <w:r>
              <w:rPr>
                <w:rFonts w:ascii="Times New Roman" w:hAnsi="Times New Roman" w:eastAsia="宋体" w:cs="Times New Roman"/>
                <w:color w:val="000000"/>
                <w:sz w:val="21"/>
                <w:szCs w:val="21"/>
                <w:lang w:val="en-US"/>
              </w:rPr>
              <w:t>大型会议桌配套座椅，可旋转、升降</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2.2</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展示大厅装饰</w:t>
            </w:r>
          </w:p>
        </w:tc>
        <w:tc>
          <w:tcPr>
            <w:tcW w:w="4371" w:type="dxa"/>
            <w:tcMar>
              <w:top w:w="15" w:type="dxa"/>
              <w:left w:w="15" w:type="dxa"/>
              <w:right w:w="15" w:type="dxa"/>
            </w:tcMar>
            <w:vAlign w:val="center"/>
          </w:tcPr>
          <w:p>
            <w:pPr>
              <w:rPr>
                <w:rFonts w:ascii="Times New Roman" w:hAnsi="Times New Roman" w:eastAsia="宋体" w:cs="Times New Roman"/>
                <w:color w:val="000000"/>
                <w:sz w:val="21"/>
                <w:szCs w:val="21"/>
                <w:lang w:val="en-US"/>
              </w:rPr>
            </w:pPr>
            <w:r>
              <w:rPr>
                <w:rFonts w:ascii="Times New Roman" w:hAnsi="Times New Roman" w:eastAsia="宋体" w:cs="Times New Roman"/>
                <w:color w:val="000000"/>
                <w:sz w:val="21"/>
                <w:szCs w:val="21"/>
                <w:lang w:val="en-US"/>
              </w:rPr>
              <w:t>完成墙面、柱体、顶棚的粉刷。</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265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lang w:val="en-US"/>
              </w:rPr>
              <w:t>二</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lang w:val="en-US"/>
              </w:rPr>
              <w:t>智能化专业</w:t>
            </w:r>
          </w:p>
        </w:tc>
        <w:tc>
          <w:tcPr>
            <w:tcW w:w="4371" w:type="dxa"/>
            <w:tcMar>
              <w:top w:w="15" w:type="dxa"/>
              <w:left w:w="15" w:type="dxa"/>
              <w:right w:w="15" w:type="dxa"/>
            </w:tcMar>
            <w:vAlign w:val="top"/>
          </w:tcPr>
          <w:p>
            <w:pPr>
              <w:rPr>
                <w:rFonts w:ascii="Times New Roman" w:hAnsi="Times New Roman" w:eastAsia="宋体" w:cs="Times New Roman"/>
                <w:color w:val="000000"/>
                <w:sz w:val="21"/>
                <w:szCs w:val="21"/>
              </w:rPr>
            </w:pPr>
          </w:p>
        </w:tc>
        <w:tc>
          <w:tcPr>
            <w:tcW w:w="531"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c>
          <w:tcPr>
            <w:tcW w:w="503"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 </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综合布线</w:t>
            </w:r>
          </w:p>
        </w:tc>
        <w:tc>
          <w:tcPr>
            <w:tcW w:w="4371" w:type="dxa"/>
            <w:tcMar>
              <w:top w:w="15" w:type="dxa"/>
              <w:left w:w="15" w:type="dxa"/>
              <w:right w:w="15" w:type="dxa"/>
            </w:tcMar>
            <w:vAlign w:val="top"/>
          </w:tcPr>
          <w:p>
            <w:pPr>
              <w:rPr>
                <w:rFonts w:ascii="Times New Roman" w:hAnsi="Times New Roman" w:eastAsia="宋体" w:cs="Times New Roman"/>
                <w:color w:val="000000"/>
                <w:sz w:val="21"/>
                <w:szCs w:val="21"/>
              </w:rPr>
            </w:pPr>
          </w:p>
        </w:tc>
        <w:tc>
          <w:tcPr>
            <w:tcW w:w="531"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c>
          <w:tcPr>
            <w:tcW w:w="503"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双孔面板，带防尘盖</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UL认证及RoHS环保认证。规格（安装6类模块）：86 型平面面板，带防尘盖，面板要求与标准RJ45 模块插座配套。</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个</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2.2</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单孔面板，带防尘盖</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UL认证及RoHS环保认证。规格（安装6类模块）：86 型平面面板，带防尘盖，面板要求与标准RJ45 模块插座配套。</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个</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2.3</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六类非屏蔽模块</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六类非屏蔽，RJ45模块插座，</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个</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30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2.4</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六类非屏蔽跳线， 2米</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六类 UTP 4对标准RJ45至RJ45跳线，</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根</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30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2.5</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六类4线对UTP CM电缆</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六类非屏蔽网线，23AWG实芯裸铜导体，</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305米/箱</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2.6</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12口LC双工单模光纤配线箱含适配器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12口1U光纤配线架,符合IEC 60875-14标准,模块化结构。</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个</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2.7</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六类非屏蔽模块</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规格：六类非屏蔽，RJ45模块插座，</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个</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2.8</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六类非屏蔽24口配线架</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24口RJ45 IDC式结构。符合ISO/IEC 11801:2002 Ed2.0，TIA/EIA-568-C.2标准要求</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个</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2.9</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1U 带盖板金属理线器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规格：适用于19英寸的机架，符合有害物质限用指令要求，高度：1U。</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个</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2.10</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25对110型配线架</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1HU 25对机架式鱼骨结构配线架，含机柜安装背板、连接块、标签等；19’机柜/机架式安装，与数据配线架连接采用RJ45-110语音跳线，与110配线架连接采用110-110一对、二对、四对等跳线。</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2.11</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电话跳线</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RJ45-110语音跳线</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根</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2.12</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网络机柜</w:t>
            </w:r>
          </w:p>
        </w:tc>
        <w:tc>
          <w:tcPr>
            <w:tcW w:w="4371" w:type="dxa"/>
            <w:tcMar>
              <w:top w:w="15" w:type="dxa"/>
              <w:left w:w="15" w:type="dxa"/>
              <w:right w:w="15" w:type="dxa"/>
            </w:tcMar>
            <w:vAlign w:val="center"/>
          </w:tcPr>
          <w:p>
            <w:pPr>
              <w:widowControl/>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600mm*600mm*2000mm，不锈钢，风扇，接线端子排，带抗震基座，具备标准接地能力，可与接地排级联，带PDU等相关配套。</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2.13</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48口交换机</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交换容量≥336Gbps，转发性能≥165Mpps，支持≥48个千兆电口和≥4个的千兆光口，配置2个单模光模块</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lang w:val="en-US"/>
              </w:rPr>
              <w:t>三</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lang w:val="en-US"/>
              </w:rPr>
              <w:t>展示系统</w:t>
            </w:r>
          </w:p>
        </w:tc>
        <w:tc>
          <w:tcPr>
            <w:tcW w:w="4371" w:type="dxa"/>
            <w:tcMar>
              <w:top w:w="15" w:type="dxa"/>
              <w:left w:w="15" w:type="dxa"/>
              <w:right w:w="15" w:type="dxa"/>
            </w:tcMar>
            <w:vAlign w:val="top"/>
          </w:tcPr>
          <w:p>
            <w:pPr>
              <w:rPr>
                <w:rFonts w:ascii="Times New Roman" w:hAnsi="Times New Roman" w:eastAsia="宋体" w:cs="Times New Roman"/>
                <w:color w:val="000000"/>
                <w:sz w:val="21"/>
                <w:szCs w:val="21"/>
              </w:rPr>
            </w:pPr>
          </w:p>
        </w:tc>
        <w:tc>
          <w:tcPr>
            <w:tcW w:w="531"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c>
          <w:tcPr>
            <w:tcW w:w="503"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办公室展示系统</w:t>
            </w:r>
          </w:p>
        </w:tc>
        <w:tc>
          <w:tcPr>
            <w:tcW w:w="4371" w:type="dxa"/>
            <w:tcMar>
              <w:top w:w="15" w:type="dxa"/>
              <w:left w:w="15" w:type="dxa"/>
              <w:right w:w="15" w:type="dxa"/>
            </w:tcMar>
            <w:vAlign w:val="top"/>
          </w:tcPr>
          <w:p>
            <w:pPr>
              <w:rPr>
                <w:rFonts w:ascii="Times New Roman" w:hAnsi="Times New Roman" w:eastAsia="宋体" w:cs="Times New Roman"/>
                <w:color w:val="000000"/>
                <w:sz w:val="21"/>
                <w:szCs w:val="21"/>
              </w:rPr>
            </w:pPr>
          </w:p>
        </w:tc>
        <w:tc>
          <w:tcPr>
            <w:tcW w:w="531"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c>
          <w:tcPr>
            <w:tcW w:w="503"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1.1</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LED 大屏（P1.2）</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像素间距：1.2mm</w:t>
            </w:r>
            <w:r>
              <w:rPr>
                <w:rFonts w:ascii="Times New Roman" w:hAnsi="Times New Roman" w:eastAsia="宋体" w:cs="Times New Roman"/>
                <w:color w:val="000000"/>
                <w:sz w:val="21"/>
                <w:szCs w:val="21"/>
                <w:lang w:val="en-US"/>
              </w:rPr>
              <w:br/>
            </w:r>
            <w:r>
              <w:rPr>
                <w:rFonts w:ascii="Times New Roman" w:hAnsi="Times New Roman" w:eastAsia="宋体" w:cs="Times New Roman"/>
                <w:color w:val="000000"/>
                <w:sz w:val="21"/>
                <w:szCs w:val="21"/>
                <w:lang w:val="en-US"/>
              </w:rPr>
              <w:t>分辨率：2912pixels x1560pixels</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15.00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1.2</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LED 控制器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2K发送+视频处理</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20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1.3</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高清混合矩阵</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18×18 高清混合矩阵切换器。支持CVBS\YPbPr\VGA\HDMI\DVI\3GSDI\HDBaseT\光纤信号任意转换切换；支持9个卡输入（每张卡2路信号）和9张卡输出（每张卡2路信号）；支持无缝切换</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1.4</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输入卡</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支持2路CVBS\YPbPr\VGA\HDMI\DVI+AUDIO信号输入；最高分辨率支持1920X1200@60Hz；可调节图像对比度、亮度、色彩及缩放比例</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张</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1.5</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输出卡</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支持2路CVBS\YPbPr\VGA\HDMI\DVI+AUDIO信号输出；最高分辨率支持1920X1200@60Hz；16种分辨率输出可调，图像比例、尺寸、效果调节，图像翻转。</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张</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1.6</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无线传屏</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一个传屏盒子+2个传屏器</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1.7</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主扩扬声器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8单元全频倒相式音箱；8个3″全频扬声器  ；连续功率125W；频率响应：100Hz—20KHz（±3dB）；灵敏度：99dB；最大声压级：119.9dB连续；阻抗：4Ω，指向特性：90°× 10°。</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只</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6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1.8</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主扩扬声器功放</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双通道；DDTTM扬声器保护系统；额定功率：2×4Ω：750W（20ms重复工作）； 2×8Ω：450W（20ms重复工作）； 总谐波失真(1kHz，-10dB/4Ω)&lt;0.02%；频率响应：10Hz-20kHz（±1dB）；输入阻抗（平衡/非平衡）：20K/10K；输入灵敏度：0.775V；具备短路保护，断路保护，过载保护，高温保护。</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1.9</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吸顶扬声器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频率响应：80-20kHz/-10dB；灵敏度：88dB/m/w±3db；最大声压级：108dB ；交叉频率：4kHz</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只</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20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1.10</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吸顶扬声器功放</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双通道；DDTTM扬声器保护系统；总谐波失真(1kHz，-10dB/4Ω)&lt;0.02%；频率响应：10Hz-20kHz（±1dB）；输入阻抗（平衡/非平衡）：20K/10K；输入灵敏度：0.775V；具备短路保护，断路保护，过载保护，高温保护。</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6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1.11</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音频处理器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17x16处理器；8路本地平衡输入，支持幻相电源，可切换MIC/LINE输入，带独立话放调节，8路本地平衡输出；24bit AD/DA转换，96KHz采样频率；RS232&amp;RS485控制端口、以太网远程控制RJ45端口；支持多点对多点的数字交换、数字路由；AUTOMIX通道具有自动混音处理功能，12个用户预设。</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1.12</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调音台</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14通道，8组合XLR和6.35mm低噪声麦克前置放大器，9/10 立体声输入（6.35mm接口/RCA接口/ 3.5mm 接口），通道13/14立体声返回/输入；配备了蓝牙无线连接，机载USB-A MP3播放功能。</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1.13</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反馈抑制器</w:t>
            </w:r>
          </w:p>
        </w:tc>
        <w:tc>
          <w:tcPr>
            <w:tcW w:w="4371" w:type="dxa"/>
            <w:tcMar>
              <w:top w:w="15" w:type="dxa"/>
              <w:left w:w="15" w:type="dxa"/>
              <w:right w:w="15" w:type="dxa"/>
            </w:tcMar>
            <w:vAlign w:val="top"/>
          </w:tcPr>
          <w:p>
            <w:pPr>
              <w:widowControl/>
              <w:jc w:val="both"/>
              <w:textAlignment w:val="top"/>
              <w:rPr>
                <w:rFonts w:ascii="Times New Roman" w:hAnsi="Times New Roman" w:eastAsia="宋体" w:cs="Times New Roman"/>
                <w:color w:val="000000"/>
                <w:sz w:val="21"/>
                <w:szCs w:val="21"/>
              </w:rPr>
            </w:pPr>
            <w:bookmarkStart w:id="24" w:name="_GoBack"/>
            <w:r>
              <w:rPr>
                <w:rFonts w:ascii="Times New Roman" w:hAnsi="Times New Roman" w:eastAsia="宋体" w:cs="Times New Roman"/>
                <w:color w:val="000000"/>
                <w:sz w:val="21"/>
                <w:szCs w:val="21"/>
                <w:lang w:val="en-US"/>
              </w:rPr>
              <w:t>16个立体声动态数字滤波器,4个用户预设场景；频率响应20Hz-20kHz(+/-0.5dB，1kHz)；输入阻抗40 kΩ,输出阻抗120 kΩ；总谐波失真0.005%@1kHz。</w:t>
            </w:r>
            <w:bookmarkEnd w:id="24"/>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20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1.14</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电源时序器</w:t>
            </w:r>
          </w:p>
        </w:tc>
        <w:tc>
          <w:tcPr>
            <w:tcW w:w="4371" w:type="dxa"/>
            <w:tcMar>
              <w:top w:w="15" w:type="dxa"/>
              <w:left w:w="15" w:type="dxa"/>
              <w:right w:w="15" w:type="dxa"/>
            </w:tcMar>
            <w:vAlign w:val="top"/>
          </w:tcPr>
          <w:p>
            <w:pPr>
              <w:widowControl/>
              <w:jc w:val="both"/>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配备3.5寸彩色可触控显示屏，可实时显示当前电压，日期时间，信道开关状态；8路开关通道输出；每通道可以独立设置开启/关闭；每通道独立滤波器；内置时钟芯片；欠压、过压保护；配置RS232和RS485接口，支持级联、中央设备控制。</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1.15</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投影仪</w:t>
            </w:r>
          </w:p>
        </w:tc>
        <w:tc>
          <w:tcPr>
            <w:tcW w:w="4371" w:type="dxa"/>
            <w:tcMar>
              <w:top w:w="15" w:type="dxa"/>
              <w:left w:w="15" w:type="dxa"/>
              <w:right w:w="15" w:type="dxa"/>
            </w:tcMar>
            <w:vAlign w:val="top"/>
          </w:tcPr>
          <w:p>
            <w:pPr>
              <w:widowControl/>
              <w:jc w:val="both"/>
              <w:textAlignment w:val="top"/>
              <w:rPr>
                <w:rFonts w:ascii="Times New Roman" w:hAnsi="Times New Roman" w:eastAsia="宋体" w:cs="Times New Roman"/>
                <w:color w:val="000000"/>
                <w:sz w:val="21"/>
                <w:szCs w:val="21"/>
              </w:rPr>
            </w:pPr>
            <w:r>
              <w:rPr>
                <w:rFonts w:hint="eastAsia" w:ascii="Times New Roman" w:hAnsi="Times New Roman" w:cs="Times New Roman"/>
                <w:color w:val="000000"/>
                <w:sz w:val="21"/>
                <w:szCs w:val="21"/>
                <w:lang w:val="en-US"/>
              </w:rPr>
              <w:t>激光投影仪，流明不低于3300，最大兼容分辨率不低于1920*1080dpi，显示比例16:9；焦距类型：长焦，支持光学变焦、梯形校正；支持无线同屏和蓝牙连接；支持桌上正投、吊装正投、吊装背投；桌上背投等安装方式；配置可移动幕布，幕布不小于100寸。</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1.16</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辅材</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多媒体插座、线缆等</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批</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 </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4F展示大厅展示系统</w:t>
            </w:r>
          </w:p>
        </w:tc>
        <w:tc>
          <w:tcPr>
            <w:tcW w:w="4371" w:type="dxa"/>
            <w:tcMar>
              <w:top w:w="15" w:type="dxa"/>
              <w:left w:w="15" w:type="dxa"/>
              <w:right w:w="15" w:type="dxa"/>
            </w:tcMar>
            <w:vAlign w:val="top"/>
          </w:tcPr>
          <w:p>
            <w:pPr>
              <w:rPr>
                <w:rFonts w:ascii="Times New Roman" w:hAnsi="Times New Roman" w:eastAsia="宋体" w:cs="Times New Roman"/>
                <w:color w:val="000000"/>
                <w:sz w:val="21"/>
                <w:szCs w:val="21"/>
              </w:rPr>
            </w:pPr>
          </w:p>
        </w:tc>
        <w:tc>
          <w:tcPr>
            <w:tcW w:w="531"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c>
          <w:tcPr>
            <w:tcW w:w="503"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DLP拼接单元</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原有的1块DLP拼接单元维修替换，原有拼接单元参数:1920×1080,拼缝&lt; 0.5 mm，均匀性&gt; 95%，尺寸：1552×872×795。</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项</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2.2</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高清混合矩阵</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18×18 高清混合矩阵切换器，支持CVBS\YPbPr\VGA\HDMI\DVI\3GSDI\HDBaseT\光纤信号任意转换切换，插卡式设计，支持9个卡输入（每张卡2路信号）和9张卡输出（每张卡2路信号）</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2.4</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输入卡</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支持2路CVBS\YPbPr\VGA\HDMI\DVI+AUDIO信号输入，最高分辨率支持1920X1200@60Hz，可调节图像对比度、亮度、色彩及缩放比例。</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张</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2.5</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输出卡</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支持2路CVBS\YPbPr\VGA\HDMI\DVI+AUDIO信号输出，最高分辨率支持1920X1200@60Hz</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张</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2.6</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无线传屏</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一个传屏盒子+2个传屏器</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2.7</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主扩扬声器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8单元全频倒相式音箱；8个3″全频扬声器  ；连续功率125W；频率响应：100Hz—20KHz（±3dB）；灵敏度：99dB；最大声压级：119.9dB连续；阻抗：4Ω，指向特性：90°× 10°。</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只</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6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2.8</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主扩扬声器功放</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双通道；DDTTM扬声器保护系统；额定功率：2×4Ω：750W（20ms重复工作）； 2×8Ω：450W（20ms重复工作）； 总谐波失真(1kHz，-10dB/4Ω)&lt;0.02%；频率响应：10Hz-20kHz（±1dB）；输入阻抗（平衡/非平衡）：20K/10K；输入灵敏度：0.775V；具备短路保护，断路保护，过载保护，高温保护。</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2.9</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吸顶扬声器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频率响应：80-20kHz/-10dB；灵敏度：88dB/m/w±3db；最大声压级：108dB ；交叉频率：4kHz</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只</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20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2.10</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吸顶扬声器功放</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双通道；DDTTM扬声器保护系统；总谐波失真(1kHz，-10dB/4Ω)&lt;0.02%；频率响应：10Hz-20kHz（±1dB）；输入阻抗（平衡/非平衡）：20K/10K；输入灵敏度：0.775V；具备短路保护，断路保护，过载保护，高温保护。</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6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2.11</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音频处理器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17x16处理器；8路本地平衡输入，支持幻相电源，可切换MIC/LINE输入，带独立话放调节，8路本地平衡输出；24bit AD/DA转换，96KHz采样频率；RS232&amp;RS485控制端口、以太网远程控制RJ45端口；支持多点对多点的数字交换、数字路由；AUTOMIX通道具有自动混音处理功能，12个用户预设。</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2.12</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调音台</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14通道，8组合XLR和6.35mm低噪声麦克前置放大器，9/10 立体声输入（6.35mm接口/RCA接口/ 3.5mm 接口），通道13/14立体声返回/输入；配备了蓝牙无线连接，机载USB-A MP3播放功能。</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2.13</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反馈抑制器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16个立体声动态数字滤波器,4个用户预设场景；频率响应20Hz-20kHz(+/-0.5dB，1kHz)；输入阻抗40 kΩ,输出阻抗120 kΩ；总谐波失真0.005%@1kHz。</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20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2.14</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电源时序器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配备3.5寸彩色可触控显示屏，可实时显示当前电压，日期时间，信道开关状态；8路开关通道输出；每通道可以独立设置开启/关闭；每通道独立滤波器；内置时钟芯片；欠压、过压保护；配置RS232和RS485接口，支持级联、中央设备控制。</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2.15</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辅材</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多媒体插座、线缆等</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批</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3 </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无纸化会议系统</w:t>
            </w:r>
          </w:p>
        </w:tc>
        <w:tc>
          <w:tcPr>
            <w:tcW w:w="4371" w:type="dxa"/>
            <w:tcMar>
              <w:top w:w="15" w:type="dxa"/>
              <w:left w:w="15" w:type="dxa"/>
              <w:right w:w="15" w:type="dxa"/>
            </w:tcMar>
            <w:vAlign w:val="top"/>
          </w:tcPr>
          <w:p>
            <w:pPr>
              <w:rPr>
                <w:rFonts w:ascii="Times New Roman" w:hAnsi="Times New Roman" w:eastAsia="宋体" w:cs="Times New Roman"/>
                <w:color w:val="000000"/>
                <w:sz w:val="21"/>
                <w:szCs w:val="21"/>
              </w:rPr>
            </w:pPr>
          </w:p>
        </w:tc>
        <w:tc>
          <w:tcPr>
            <w:tcW w:w="531"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c>
          <w:tcPr>
            <w:tcW w:w="503"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20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3.1</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全数字化会议系统主机</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具备不少于8路音频矩阵处理器，可实现分组录音功能；支持“环形手拉手”连接技术；音频信号采用专用的高性能DSP进行处理，支持48 kHz和32 kHz音频采样频率；支持同声传译通道；具有带背光 LCD中文显示屏，可显示操作模式。</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3.2</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嵌入式翻转无纸化多媒体终端</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嵌入式翻转式无纸化多媒体终端，麦克风 </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hint="eastAsia" w:ascii="Times New Roman" w:hAnsi="Times New Roman" w:cs="Times New Roman"/>
                <w:color w:val="000000"/>
                <w:sz w:val="21"/>
                <w:szCs w:val="21"/>
                <w:lang w:val="en-US" w:eastAsia="zh-CN"/>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3.3</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主席控制功能软件模块</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可设置任一终端作为主席单元</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3.4</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会议专用网络交换机</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1个6P-DIN 接口，并配6芯1 米双公头延长电缆；支持与会议系统控制主机同步开关机；</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3.5</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会议单元供电器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用于无纸化多媒体会议单元的供电；支持与会议控制主机同步开关机。</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3.6</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HDMI编码器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用于高清HDMI信号编码及网络传输，与多媒体终端配合使用；支持立体声音频输入</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3.7</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高清数字视音频解码器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用于多路数字媒体信号解码及输出</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3.8</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基础设计软件模块</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支持会场设计、会议管理、主机设置、分机设置、 信息显示、系统检测、报表系统、用户管理等功能</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3.9</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话筒控制软件模块</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包含排位管理、人员管理和话筒控制等功能</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3.10</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表决管理软件模块</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投票表决管理、排位管理及人员管理等功能</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3.11</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会议音频矩阵软件模块</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1.8路独立音频输出，</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3.12</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视频服务器软件模块</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支持视频广播、多通道视频点播等功能，可以显示指定终端摄像头视频，可以全程监控桌面终端</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3.13</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文件服务器软件模块</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配合无纸化多媒体终端，实现会议文件管理、日程管理、照片管理、多媒体终端权限设置、多媒体终端管理等功能</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3.14</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服务器</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CPU: 2路处理器，单处理器16核2.1GHZ或以上；内存：64GB DDR4 2933MHz；磁盘：600GB SAS*2+4T SATA*2；RAID卡，支持RAID0、1；配置2个千兆电口；冗余电源。</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3.15</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千兆网交换机</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设备交换容量≥336Gbps，包转发率≥125Mpps；100/1000M自适应端口≥48个；</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3.16</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辅材</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多媒体插座、线缆等</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批</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4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4</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办公室</w:t>
            </w:r>
          </w:p>
        </w:tc>
        <w:tc>
          <w:tcPr>
            <w:tcW w:w="4371" w:type="dxa"/>
            <w:tcMar>
              <w:top w:w="15" w:type="dxa"/>
              <w:left w:w="15" w:type="dxa"/>
              <w:right w:w="15" w:type="dxa"/>
            </w:tcMar>
            <w:vAlign w:val="top"/>
          </w:tcPr>
          <w:p>
            <w:pPr>
              <w:rPr>
                <w:rFonts w:ascii="Times New Roman" w:hAnsi="Times New Roman" w:eastAsia="宋体" w:cs="Times New Roman"/>
                <w:color w:val="000000"/>
                <w:sz w:val="21"/>
                <w:szCs w:val="21"/>
              </w:rPr>
            </w:pPr>
          </w:p>
        </w:tc>
        <w:tc>
          <w:tcPr>
            <w:tcW w:w="531"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c>
          <w:tcPr>
            <w:tcW w:w="503" w:type="dxa"/>
            <w:tcMar>
              <w:top w:w="15" w:type="dxa"/>
              <w:left w:w="15" w:type="dxa"/>
              <w:right w:w="15" w:type="dxa"/>
            </w:tcMar>
            <w:vAlign w:val="center"/>
          </w:tcPr>
          <w:p>
            <w:pPr>
              <w:jc w:val="center"/>
              <w:rPr>
                <w:rFonts w:ascii="Times New Roman" w:hAnsi="Times New Roman" w:eastAsia="宋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20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4.1</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hint="eastAsia" w:ascii="Times New Roman" w:hAnsi="Times New Roman" w:cs="Times New Roman"/>
                <w:color w:val="000000"/>
                <w:sz w:val="21"/>
                <w:szCs w:val="21"/>
                <w:lang w:val="en-US" w:eastAsia="zh-CN"/>
              </w:rPr>
              <w:t>55</w:t>
            </w:r>
            <w:r>
              <w:rPr>
                <w:rFonts w:ascii="Times New Roman" w:hAnsi="Times New Roman" w:eastAsia="宋体" w:cs="Times New Roman"/>
                <w:color w:val="000000"/>
                <w:sz w:val="21"/>
                <w:szCs w:val="21"/>
                <w:lang w:val="en-US"/>
              </w:rPr>
              <w:t xml:space="preserve">寸拼接显示单元 </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lang w:val="en-US"/>
              </w:rPr>
            </w:pPr>
            <w:r>
              <w:rPr>
                <w:rFonts w:ascii="Times New Roman" w:hAnsi="Times New Roman" w:eastAsia="宋体" w:cs="Times New Roman"/>
                <w:color w:val="000000"/>
                <w:sz w:val="21"/>
                <w:szCs w:val="21"/>
                <w:lang w:val="en-US"/>
              </w:rPr>
              <w:t xml:space="preserve">拼接边缝：物理拼缝0.88mm </w:t>
            </w:r>
            <w:r>
              <w:rPr>
                <w:rFonts w:ascii="Times New Roman" w:hAnsi="Times New Roman" w:eastAsia="宋体" w:cs="Times New Roman"/>
                <w:color w:val="000000"/>
                <w:sz w:val="21"/>
                <w:szCs w:val="21"/>
                <w:lang w:val="en-US"/>
              </w:rPr>
              <w:br/>
            </w:r>
            <w:r>
              <w:rPr>
                <w:rFonts w:ascii="Times New Roman" w:hAnsi="Times New Roman" w:eastAsia="宋体" w:cs="Times New Roman"/>
                <w:color w:val="000000"/>
                <w:sz w:val="21"/>
                <w:szCs w:val="21"/>
                <w:lang w:val="en-US"/>
              </w:rPr>
              <w:t>工业级超窄边液晶拼接单元</w:t>
            </w:r>
            <w:r>
              <w:rPr>
                <w:rFonts w:ascii="Times New Roman" w:hAnsi="Times New Roman" w:eastAsia="宋体" w:cs="Times New Roman"/>
                <w:color w:val="000000"/>
                <w:sz w:val="21"/>
                <w:szCs w:val="21"/>
                <w:lang w:val="en-US"/>
              </w:rPr>
              <w:br/>
            </w:r>
            <w:r>
              <w:rPr>
                <w:rFonts w:ascii="Times New Roman" w:hAnsi="Times New Roman" w:eastAsia="宋体" w:cs="Times New Roman"/>
                <w:color w:val="000000"/>
                <w:sz w:val="21"/>
                <w:szCs w:val="21"/>
                <w:lang w:val="en-US"/>
              </w:rPr>
              <w:t>亮度：≥500cd/m2 ；</w:t>
            </w:r>
          </w:p>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最佳分辨率1920*1080；</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4.2</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大屏幕安装支架</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由主架、附架及连接配件组成，全部钢材构架，主架起支撑、稳固作用，附架起安装、固定、维护作用。</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20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4.3</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高清混合矩阵</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18×18 高清混合矩阵切换器。支持CVBS\YPbPr\VGA\HDMI\DVI\3GSDI\HDBaseT\光纤信号任意转换切换；支持9个卡输入（每张卡2路信号）和9张卡输出（每张卡2路信号）；支持无缝切换</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台</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4.4</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输入卡</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支持2路CVBS\YPbPr\VGA\HDMI\DVI+AUDIO信号输入；最高分辨率支持1920X1200@60Hz；可调节图像对比度、亮度、色彩及缩放比例</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张</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60"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4.5</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输出卡</w:t>
            </w:r>
          </w:p>
        </w:tc>
        <w:tc>
          <w:tcPr>
            <w:tcW w:w="4371" w:type="dxa"/>
            <w:tcMar>
              <w:top w:w="15" w:type="dxa"/>
              <w:left w:w="15" w:type="dxa"/>
              <w:right w:w="15" w:type="dxa"/>
            </w:tcMar>
            <w:vAlign w:val="top"/>
          </w:tcPr>
          <w:p>
            <w:pPr>
              <w:widowControl/>
              <w:textAlignment w:val="top"/>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支持2路CVBS\YPbPr\VGA\HDMI\DVI+AUDIO信号输出；最高分辨率支持1920X1200@60Hz；16种分辨率输出可调，图像比例、尺寸、效果调节，图像翻转。</w:t>
            </w: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张</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55" w:hRule="atLeast"/>
        </w:trPr>
        <w:tc>
          <w:tcPr>
            <w:tcW w:w="398"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4.6</w:t>
            </w:r>
          </w:p>
        </w:tc>
        <w:tc>
          <w:tcPr>
            <w:tcW w:w="2864"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配套电缆、视频线材及固件辅材</w:t>
            </w:r>
          </w:p>
        </w:tc>
        <w:tc>
          <w:tcPr>
            <w:tcW w:w="4371" w:type="dxa"/>
            <w:tcMar>
              <w:top w:w="15" w:type="dxa"/>
              <w:left w:w="15" w:type="dxa"/>
              <w:right w:w="15" w:type="dxa"/>
            </w:tcMar>
            <w:vAlign w:val="top"/>
          </w:tcPr>
          <w:p>
            <w:pPr>
              <w:rPr>
                <w:rFonts w:ascii="Times New Roman" w:hAnsi="Times New Roman" w:eastAsia="宋体" w:cs="Times New Roman"/>
                <w:color w:val="000000"/>
                <w:sz w:val="21"/>
                <w:szCs w:val="21"/>
              </w:rPr>
            </w:pPr>
          </w:p>
        </w:tc>
        <w:tc>
          <w:tcPr>
            <w:tcW w:w="531"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套</w:t>
            </w:r>
          </w:p>
        </w:tc>
        <w:tc>
          <w:tcPr>
            <w:tcW w:w="503" w:type="dxa"/>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rPr>
              <w:t xml:space="preserve">1 </w:t>
            </w:r>
          </w:p>
        </w:tc>
      </w:tr>
    </w:tbl>
    <w:p>
      <w:pPr>
        <w:ind w:firstLine="480" w:firstLineChars="200"/>
        <w:rPr>
          <w:sz w:val="24"/>
          <w:szCs w:val="24"/>
        </w:rPr>
      </w:pPr>
    </w:p>
    <w:p>
      <w:pPr>
        <w:ind w:firstLine="480" w:firstLineChars="200"/>
        <w:rPr>
          <w:sz w:val="24"/>
          <w:szCs w:val="24"/>
        </w:rPr>
      </w:pPr>
    </w:p>
    <w:p>
      <w:pPr>
        <w:ind w:firstLine="482" w:firstLineChars="200"/>
        <w:outlineLvl w:val="3"/>
        <w:rPr>
          <w:b/>
          <w:bCs/>
          <w:sz w:val="24"/>
          <w:szCs w:val="24"/>
        </w:rPr>
      </w:pPr>
      <w:r>
        <w:rPr>
          <w:rFonts w:hint="eastAsia"/>
          <w:b/>
          <w:bCs/>
          <w:sz w:val="24"/>
          <w:szCs w:val="24"/>
          <w:lang w:val="en-US"/>
        </w:rPr>
        <w:t>8.4</w:t>
      </w:r>
      <w:r>
        <w:rPr>
          <w:rFonts w:hint="eastAsia"/>
          <w:b/>
          <w:bCs/>
          <w:sz w:val="24"/>
          <w:szCs w:val="24"/>
        </w:rPr>
        <w:t>安全服务需求</w:t>
      </w:r>
    </w:p>
    <w:p>
      <w:pPr>
        <w:adjustRightInd w:val="0"/>
        <w:ind w:right="47" w:firstLine="480" w:firstLineChars="200"/>
        <w:rPr>
          <w:sz w:val="24"/>
          <w:szCs w:val="24"/>
        </w:rPr>
      </w:pPr>
      <w:r>
        <w:rPr>
          <w:rFonts w:hint="eastAsia"/>
          <w:sz w:val="24"/>
          <w:szCs w:val="24"/>
        </w:rPr>
        <w:t>项目</w:t>
      </w:r>
      <w:r>
        <w:rPr>
          <w:sz w:val="24"/>
          <w:szCs w:val="24"/>
        </w:rPr>
        <w:t>相关</w:t>
      </w:r>
      <w:r>
        <w:rPr>
          <w:rFonts w:hint="eastAsia"/>
          <w:sz w:val="24"/>
          <w:szCs w:val="24"/>
        </w:rPr>
        <w:t>安全</w:t>
      </w:r>
      <w:r>
        <w:rPr>
          <w:sz w:val="24"/>
          <w:szCs w:val="24"/>
        </w:rPr>
        <w:t>服务需求清单如下</w:t>
      </w:r>
      <w:r>
        <w:rPr>
          <w:rFonts w:hint="eastAsia"/>
          <w:sz w:val="24"/>
          <w:szCs w:val="24"/>
        </w:rPr>
        <w:t>：</w:t>
      </w:r>
    </w:p>
    <w:tbl>
      <w:tblPr>
        <w:tblStyle w:val="56"/>
        <w:tblW w:w="889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62"/>
        <w:gridCol w:w="1514"/>
        <w:gridCol w:w="706"/>
        <w:gridCol w:w="4967"/>
        <w:gridCol w:w="9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6" w:hRule="atLeast"/>
          <w:tblHeader/>
          <w:jc w:val="center"/>
        </w:trPr>
        <w:tc>
          <w:tcPr>
            <w:tcW w:w="762" w:type="dxa"/>
            <w:vAlign w:val="center"/>
          </w:tcPr>
          <w:p>
            <w:pPr>
              <w:widowControl/>
              <w:jc w:val="center"/>
              <w:rPr>
                <w:b/>
                <w:bCs/>
                <w:color w:val="000000"/>
                <w:sz w:val="21"/>
                <w:szCs w:val="21"/>
              </w:rPr>
            </w:pPr>
            <w:r>
              <w:rPr>
                <w:rFonts w:hint="eastAsia"/>
                <w:b/>
                <w:bCs/>
                <w:color w:val="000000"/>
                <w:sz w:val="21"/>
                <w:szCs w:val="21"/>
              </w:rPr>
              <w:t>序号</w:t>
            </w:r>
          </w:p>
        </w:tc>
        <w:tc>
          <w:tcPr>
            <w:tcW w:w="1514" w:type="dxa"/>
            <w:vAlign w:val="center"/>
          </w:tcPr>
          <w:p>
            <w:pPr>
              <w:widowControl/>
              <w:jc w:val="center"/>
              <w:rPr>
                <w:b/>
                <w:bCs/>
                <w:color w:val="000000"/>
                <w:sz w:val="21"/>
                <w:szCs w:val="21"/>
              </w:rPr>
            </w:pPr>
            <w:r>
              <w:rPr>
                <w:rFonts w:hint="eastAsia"/>
                <w:b/>
                <w:bCs/>
                <w:color w:val="000000"/>
                <w:sz w:val="21"/>
                <w:szCs w:val="21"/>
              </w:rPr>
              <w:t>名称</w:t>
            </w:r>
          </w:p>
        </w:tc>
        <w:tc>
          <w:tcPr>
            <w:tcW w:w="706" w:type="dxa"/>
            <w:vAlign w:val="center"/>
          </w:tcPr>
          <w:p>
            <w:pPr>
              <w:widowControl/>
              <w:jc w:val="center"/>
              <w:rPr>
                <w:b/>
                <w:bCs/>
                <w:color w:val="000000"/>
                <w:sz w:val="21"/>
                <w:szCs w:val="21"/>
              </w:rPr>
            </w:pPr>
            <w:r>
              <w:rPr>
                <w:rFonts w:hint="eastAsia"/>
                <w:b/>
                <w:bCs/>
                <w:color w:val="000000"/>
                <w:sz w:val="21"/>
                <w:szCs w:val="21"/>
              </w:rPr>
              <w:t>数量</w:t>
            </w:r>
          </w:p>
        </w:tc>
        <w:tc>
          <w:tcPr>
            <w:tcW w:w="4967" w:type="dxa"/>
            <w:vAlign w:val="center"/>
          </w:tcPr>
          <w:p>
            <w:pPr>
              <w:widowControl/>
              <w:jc w:val="center"/>
              <w:rPr>
                <w:b/>
                <w:bCs/>
                <w:color w:val="000000"/>
                <w:sz w:val="21"/>
                <w:szCs w:val="21"/>
              </w:rPr>
            </w:pPr>
            <w:r>
              <w:rPr>
                <w:rFonts w:hint="eastAsia"/>
                <w:b/>
                <w:bCs/>
                <w:color w:val="000000"/>
                <w:sz w:val="21"/>
                <w:szCs w:val="21"/>
              </w:rPr>
              <w:t>需求描述</w:t>
            </w:r>
          </w:p>
        </w:tc>
        <w:tc>
          <w:tcPr>
            <w:tcW w:w="944" w:type="dxa"/>
            <w:vAlign w:val="center"/>
          </w:tcPr>
          <w:p>
            <w:pPr>
              <w:widowControl/>
              <w:jc w:val="center"/>
              <w:rPr>
                <w:b/>
                <w:bCs/>
                <w:color w:val="000000"/>
                <w:sz w:val="21"/>
                <w:szCs w:val="21"/>
              </w:rPr>
            </w:pPr>
            <w:r>
              <w:rPr>
                <w:rFonts w:hint="eastAsia"/>
                <w:b/>
                <w:bCs/>
                <w:color w:val="000000"/>
                <w:sz w:val="21"/>
                <w:szCs w:val="21"/>
              </w:rPr>
              <w:t>重要性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63" w:hRule="atLeast"/>
          <w:jc w:val="center"/>
        </w:trPr>
        <w:tc>
          <w:tcPr>
            <w:tcW w:w="762" w:type="dxa"/>
            <w:vAlign w:val="center"/>
          </w:tcPr>
          <w:p>
            <w:pPr>
              <w:widowControl/>
              <w:jc w:val="center"/>
              <w:rPr>
                <w:color w:val="000000"/>
                <w:sz w:val="21"/>
                <w:szCs w:val="21"/>
              </w:rPr>
            </w:pPr>
            <w:r>
              <w:rPr>
                <w:color w:val="000000"/>
                <w:sz w:val="21"/>
                <w:szCs w:val="21"/>
              </w:rPr>
              <w:t>1</w:t>
            </w:r>
          </w:p>
        </w:tc>
        <w:tc>
          <w:tcPr>
            <w:tcW w:w="1514" w:type="dxa"/>
            <w:vAlign w:val="center"/>
          </w:tcPr>
          <w:p>
            <w:pPr>
              <w:widowControl/>
              <w:rPr>
                <w:color w:val="000000"/>
                <w:sz w:val="21"/>
                <w:szCs w:val="21"/>
              </w:rPr>
            </w:pPr>
            <w:r>
              <w:rPr>
                <w:rFonts w:hint="eastAsia"/>
                <w:color w:val="000000"/>
                <w:sz w:val="21"/>
                <w:szCs w:val="21"/>
              </w:rPr>
              <w:t>安全风险测评</w:t>
            </w:r>
          </w:p>
        </w:tc>
        <w:tc>
          <w:tcPr>
            <w:tcW w:w="706" w:type="dxa"/>
            <w:vAlign w:val="center"/>
          </w:tcPr>
          <w:p>
            <w:pPr>
              <w:widowControl/>
              <w:jc w:val="center"/>
              <w:rPr>
                <w:color w:val="000000"/>
                <w:sz w:val="21"/>
                <w:szCs w:val="21"/>
              </w:rPr>
            </w:pPr>
            <w:r>
              <w:rPr>
                <w:rFonts w:hint="eastAsia"/>
                <w:color w:val="000000"/>
                <w:sz w:val="21"/>
                <w:szCs w:val="21"/>
              </w:rPr>
              <w:t>1</w:t>
            </w:r>
          </w:p>
        </w:tc>
        <w:tc>
          <w:tcPr>
            <w:tcW w:w="4967" w:type="dxa"/>
            <w:vAlign w:val="center"/>
          </w:tcPr>
          <w:p>
            <w:pPr>
              <w:widowControl/>
              <w:rPr>
                <w:color w:val="000000"/>
                <w:sz w:val="21"/>
                <w:szCs w:val="21"/>
              </w:rPr>
            </w:pPr>
            <w:r>
              <w:rPr>
                <w:rFonts w:hint="eastAsia"/>
                <w:color w:val="000000"/>
                <w:sz w:val="21"/>
                <w:szCs w:val="21"/>
              </w:rPr>
              <w:t>按照《信息安全技术信息安全风险评估规范》相关要求对本工程进行风险评估。</w:t>
            </w:r>
          </w:p>
        </w:tc>
        <w:tc>
          <w:tcPr>
            <w:tcW w:w="944" w:type="dxa"/>
            <w:vAlign w:val="center"/>
          </w:tcPr>
          <w:p>
            <w:pPr>
              <w:widowControl/>
              <w:rPr>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64" w:hRule="atLeast"/>
          <w:jc w:val="center"/>
        </w:trPr>
        <w:tc>
          <w:tcPr>
            <w:tcW w:w="762" w:type="dxa"/>
            <w:vAlign w:val="center"/>
          </w:tcPr>
          <w:p>
            <w:pPr>
              <w:widowControl/>
              <w:jc w:val="center"/>
              <w:rPr>
                <w:color w:val="000000"/>
                <w:sz w:val="21"/>
                <w:szCs w:val="21"/>
              </w:rPr>
            </w:pPr>
            <w:r>
              <w:rPr>
                <w:color w:val="000000"/>
                <w:sz w:val="21"/>
                <w:szCs w:val="21"/>
              </w:rPr>
              <w:t>2</w:t>
            </w:r>
          </w:p>
        </w:tc>
        <w:tc>
          <w:tcPr>
            <w:tcW w:w="1514" w:type="dxa"/>
            <w:vAlign w:val="center"/>
          </w:tcPr>
          <w:p>
            <w:pPr>
              <w:widowControl/>
              <w:rPr>
                <w:color w:val="000000"/>
                <w:sz w:val="21"/>
                <w:szCs w:val="21"/>
              </w:rPr>
            </w:pPr>
            <w:r>
              <w:rPr>
                <w:rFonts w:hint="eastAsia"/>
                <w:color w:val="000000"/>
                <w:sz w:val="21"/>
                <w:szCs w:val="21"/>
              </w:rPr>
              <w:t>密码应用安全性评估</w:t>
            </w:r>
          </w:p>
        </w:tc>
        <w:tc>
          <w:tcPr>
            <w:tcW w:w="706" w:type="dxa"/>
            <w:vAlign w:val="center"/>
          </w:tcPr>
          <w:p>
            <w:pPr>
              <w:widowControl/>
              <w:jc w:val="center"/>
              <w:rPr>
                <w:color w:val="000000"/>
                <w:sz w:val="21"/>
                <w:szCs w:val="21"/>
              </w:rPr>
            </w:pPr>
            <w:r>
              <w:rPr>
                <w:rFonts w:hint="eastAsia"/>
                <w:color w:val="000000"/>
                <w:sz w:val="21"/>
                <w:szCs w:val="21"/>
              </w:rPr>
              <w:t>1</w:t>
            </w:r>
          </w:p>
        </w:tc>
        <w:tc>
          <w:tcPr>
            <w:tcW w:w="4967" w:type="dxa"/>
            <w:vAlign w:val="center"/>
          </w:tcPr>
          <w:p>
            <w:pPr>
              <w:widowControl/>
              <w:rPr>
                <w:color w:val="000000"/>
                <w:sz w:val="21"/>
                <w:szCs w:val="21"/>
              </w:rPr>
            </w:pPr>
            <w:r>
              <w:rPr>
                <w:rFonts w:hint="eastAsia"/>
                <w:color w:val="000000"/>
                <w:sz w:val="21"/>
                <w:szCs w:val="21"/>
              </w:rPr>
              <w:t>遵循《信息系统密码应用设计技术要求》，编制本系统的密码应用建设方案和实施方案，并协助招标人和第三方密码应用测评单位开展相关测评工作和备案工作。</w:t>
            </w:r>
          </w:p>
        </w:tc>
        <w:tc>
          <w:tcPr>
            <w:tcW w:w="944" w:type="dxa"/>
            <w:vAlign w:val="center"/>
          </w:tcPr>
          <w:p>
            <w:pPr>
              <w:widowControl/>
              <w:rPr>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6" w:hRule="atLeast"/>
          <w:jc w:val="center"/>
        </w:trPr>
        <w:tc>
          <w:tcPr>
            <w:tcW w:w="762" w:type="dxa"/>
            <w:vAlign w:val="center"/>
          </w:tcPr>
          <w:p>
            <w:pPr>
              <w:widowControl/>
              <w:jc w:val="center"/>
              <w:rPr>
                <w:color w:val="000000"/>
                <w:sz w:val="21"/>
                <w:szCs w:val="21"/>
              </w:rPr>
            </w:pPr>
            <w:r>
              <w:rPr>
                <w:color w:val="000000"/>
                <w:sz w:val="21"/>
                <w:szCs w:val="21"/>
              </w:rPr>
              <w:t>3</w:t>
            </w:r>
          </w:p>
        </w:tc>
        <w:tc>
          <w:tcPr>
            <w:tcW w:w="1514" w:type="dxa"/>
            <w:vAlign w:val="center"/>
          </w:tcPr>
          <w:p>
            <w:pPr>
              <w:widowControl/>
              <w:rPr>
                <w:color w:val="000000"/>
                <w:sz w:val="21"/>
                <w:szCs w:val="21"/>
              </w:rPr>
            </w:pPr>
            <w:r>
              <w:rPr>
                <w:rFonts w:hint="eastAsia"/>
                <w:color w:val="000000"/>
                <w:sz w:val="21"/>
                <w:szCs w:val="21"/>
              </w:rPr>
              <w:t>第三方密码应用机构测评</w:t>
            </w:r>
          </w:p>
        </w:tc>
        <w:tc>
          <w:tcPr>
            <w:tcW w:w="706" w:type="dxa"/>
            <w:vAlign w:val="center"/>
          </w:tcPr>
          <w:p>
            <w:pPr>
              <w:widowControl/>
              <w:jc w:val="center"/>
              <w:rPr>
                <w:color w:val="000000"/>
                <w:sz w:val="21"/>
                <w:szCs w:val="21"/>
              </w:rPr>
            </w:pPr>
            <w:r>
              <w:rPr>
                <w:rFonts w:hint="eastAsia"/>
                <w:color w:val="000000"/>
                <w:sz w:val="21"/>
                <w:szCs w:val="21"/>
              </w:rPr>
              <w:t>1</w:t>
            </w:r>
          </w:p>
        </w:tc>
        <w:tc>
          <w:tcPr>
            <w:tcW w:w="4967" w:type="dxa"/>
            <w:vAlign w:val="center"/>
          </w:tcPr>
          <w:p>
            <w:pPr>
              <w:widowControl/>
              <w:rPr>
                <w:color w:val="000000"/>
                <w:sz w:val="21"/>
                <w:szCs w:val="21"/>
              </w:rPr>
            </w:pPr>
            <w:r>
              <w:rPr>
                <w:rFonts w:hint="eastAsia"/>
                <w:color w:val="000000"/>
                <w:sz w:val="21"/>
                <w:szCs w:val="21"/>
              </w:rPr>
              <w:t>在系统建设完成后以及运行阶段对本项目采用的商用密码技术、产品和服务集成建设的网络和信息系统密码应用的合规性、正确性、有效性进行测评。</w:t>
            </w:r>
          </w:p>
        </w:tc>
        <w:tc>
          <w:tcPr>
            <w:tcW w:w="944" w:type="dxa"/>
            <w:vAlign w:val="center"/>
          </w:tcPr>
          <w:p>
            <w:pPr>
              <w:widowControl/>
              <w:rPr>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20" w:hRule="atLeast"/>
          <w:jc w:val="center"/>
        </w:trPr>
        <w:tc>
          <w:tcPr>
            <w:tcW w:w="762" w:type="dxa"/>
            <w:vAlign w:val="center"/>
          </w:tcPr>
          <w:p>
            <w:pPr>
              <w:widowControl/>
              <w:jc w:val="center"/>
              <w:rPr>
                <w:color w:val="000000"/>
                <w:sz w:val="21"/>
                <w:szCs w:val="21"/>
              </w:rPr>
            </w:pPr>
            <w:r>
              <w:rPr>
                <w:color w:val="000000"/>
                <w:sz w:val="21"/>
                <w:szCs w:val="21"/>
              </w:rPr>
              <w:t>4</w:t>
            </w:r>
          </w:p>
        </w:tc>
        <w:tc>
          <w:tcPr>
            <w:tcW w:w="1514" w:type="dxa"/>
            <w:vAlign w:val="center"/>
          </w:tcPr>
          <w:p>
            <w:pPr>
              <w:widowControl/>
              <w:rPr>
                <w:color w:val="000000"/>
                <w:sz w:val="21"/>
                <w:szCs w:val="21"/>
              </w:rPr>
            </w:pPr>
            <w:r>
              <w:rPr>
                <w:rFonts w:hint="eastAsia"/>
                <w:color w:val="000000"/>
                <w:sz w:val="21"/>
                <w:szCs w:val="21"/>
              </w:rPr>
              <w:t>网络安全等级保护建设服务</w:t>
            </w:r>
          </w:p>
        </w:tc>
        <w:tc>
          <w:tcPr>
            <w:tcW w:w="706" w:type="dxa"/>
            <w:vAlign w:val="center"/>
          </w:tcPr>
          <w:p>
            <w:pPr>
              <w:widowControl/>
              <w:jc w:val="center"/>
              <w:rPr>
                <w:color w:val="000000"/>
                <w:sz w:val="21"/>
                <w:szCs w:val="21"/>
              </w:rPr>
            </w:pPr>
            <w:r>
              <w:rPr>
                <w:rFonts w:hint="eastAsia"/>
                <w:color w:val="000000"/>
                <w:sz w:val="21"/>
                <w:szCs w:val="21"/>
              </w:rPr>
              <w:t>1</w:t>
            </w:r>
          </w:p>
        </w:tc>
        <w:tc>
          <w:tcPr>
            <w:tcW w:w="4967" w:type="dxa"/>
            <w:vAlign w:val="center"/>
          </w:tcPr>
          <w:p>
            <w:pPr>
              <w:widowControl/>
              <w:rPr>
                <w:color w:val="000000"/>
                <w:sz w:val="21"/>
                <w:szCs w:val="21"/>
              </w:rPr>
            </w:pPr>
            <w:r>
              <w:rPr>
                <w:rFonts w:hint="eastAsia"/>
                <w:color w:val="000000"/>
                <w:sz w:val="21"/>
                <w:szCs w:val="21"/>
              </w:rPr>
              <w:t>针对本项目信息系统按照网络安全等级保护二级开展等级保护建设服务工作。</w:t>
            </w:r>
          </w:p>
        </w:tc>
        <w:tc>
          <w:tcPr>
            <w:tcW w:w="944" w:type="dxa"/>
            <w:vAlign w:val="center"/>
          </w:tcPr>
          <w:p>
            <w:pPr>
              <w:widowControl/>
              <w:rPr>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jc w:val="center"/>
        </w:trPr>
        <w:tc>
          <w:tcPr>
            <w:tcW w:w="762" w:type="dxa"/>
            <w:vAlign w:val="center"/>
          </w:tcPr>
          <w:p>
            <w:pPr>
              <w:widowControl/>
              <w:jc w:val="center"/>
              <w:rPr>
                <w:color w:val="000000"/>
                <w:sz w:val="21"/>
                <w:szCs w:val="21"/>
              </w:rPr>
            </w:pPr>
            <w:r>
              <w:rPr>
                <w:color w:val="000000"/>
                <w:sz w:val="21"/>
                <w:szCs w:val="21"/>
              </w:rPr>
              <w:t>5</w:t>
            </w:r>
          </w:p>
        </w:tc>
        <w:tc>
          <w:tcPr>
            <w:tcW w:w="1514" w:type="dxa"/>
            <w:vAlign w:val="center"/>
          </w:tcPr>
          <w:p>
            <w:pPr>
              <w:widowControl/>
              <w:rPr>
                <w:color w:val="000000"/>
                <w:sz w:val="21"/>
                <w:szCs w:val="21"/>
              </w:rPr>
            </w:pPr>
            <w:r>
              <w:rPr>
                <w:rFonts w:hint="eastAsia"/>
                <w:color w:val="000000"/>
                <w:sz w:val="21"/>
                <w:szCs w:val="21"/>
              </w:rPr>
              <w:t>第三方网络安全等级保护测评</w:t>
            </w:r>
          </w:p>
        </w:tc>
        <w:tc>
          <w:tcPr>
            <w:tcW w:w="706" w:type="dxa"/>
            <w:vAlign w:val="center"/>
          </w:tcPr>
          <w:p>
            <w:pPr>
              <w:widowControl/>
              <w:jc w:val="center"/>
              <w:rPr>
                <w:color w:val="000000"/>
                <w:sz w:val="21"/>
                <w:szCs w:val="21"/>
              </w:rPr>
            </w:pPr>
            <w:r>
              <w:rPr>
                <w:rFonts w:hint="eastAsia"/>
                <w:color w:val="000000"/>
                <w:sz w:val="21"/>
                <w:szCs w:val="21"/>
              </w:rPr>
              <w:t>1</w:t>
            </w:r>
          </w:p>
        </w:tc>
        <w:tc>
          <w:tcPr>
            <w:tcW w:w="4967" w:type="dxa"/>
            <w:vAlign w:val="center"/>
          </w:tcPr>
          <w:p>
            <w:pPr>
              <w:widowControl/>
              <w:rPr>
                <w:color w:val="000000"/>
                <w:sz w:val="21"/>
                <w:szCs w:val="21"/>
              </w:rPr>
            </w:pPr>
            <w:r>
              <w:rPr>
                <w:rFonts w:hint="eastAsia"/>
                <w:color w:val="000000"/>
                <w:sz w:val="21"/>
                <w:szCs w:val="21"/>
              </w:rPr>
              <w:t>针对本项目信息系统按照网络安全等级保护二级进行等级保护测评工作。</w:t>
            </w:r>
          </w:p>
        </w:tc>
        <w:tc>
          <w:tcPr>
            <w:tcW w:w="944" w:type="dxa"/>
            <w:vAlign w:val="center"/>
          </w:tcPr>
          <w:p>
            <w:pPr>
              <w:widowControl/>
              <w:rPr>
                <w:color w:val="000000"/>
                <w:sz w:val="21"/>
                <w:szCs w:val="21"/>
              </w:rPr>
            </w:pPr>
          </w:p>
        </w:tc>
      </w:tr>
    </w:tbl>
    <w:p>
      <w:pPr>
        <w:spacing w:before="120" w:beforeLines="50" w:after="120" w:afterLines="50"/>
        <w:ind w:firstLine="482" w:firstLineChars="200"/>
        <w:rPr>
          <w:b/>
          <w:bCs/>
          <w:sz w:val="24"/>
          <w:szCs w:val="24"/>
        </w:rPr>
      </w:pPr>
      <w:bookmarkStart w:id="15" w:name="_Toc81143993"/>
      <w:bookmarkStart w:id="16" w:name="_Toc80710132"/>
    </w:p>
    <w:p>
      <w:pPr>
        <w:numPr>
          <w:numId w:val="0"/>
        </w:numPr>
        <w:spacing w:line="560" w:lineRule="exact"/>
        <w:ind w:firstLine="482" w:firstLineChars="200"/>
        <w:outlineLvl w:val="3"/>
        <w:rPr>
          <w:rFonts w:hint="eastAsia" w:ascii="仿宋" w:hAnsi="仿宋" w:eastAsia="仿宋" w:cs="仿宋"/>
          <w:b/>
          <w:bCs/>
          <w:sz w:val="24"/>
          <w:szCs w:val="24"/>
        </w:rPr>
      </w:pPr>
      <w:r>
        <w:rPr>
          <w:rFonts w:hint="eastAsia" w:ascii="仿宋" w:hAnsi="仿宋" w:eastAsia="仿宋" w:cs="仿宋"/>
          <w:b/>
          <w:bCs/>
          <w:sz w:val="24"/>
          <w:szCs w:val="24"/>
          <w:lang w:val="en-US"/>
        </w:rPr>
        <w:t>8.4系统集成及验收</w:t>
      </w:r>
      <w:r>
        <w:rPr>
          <w:rFonts w:hint="eastAsia" w:ascii="仿宋" w:hAnsi="仿宋" w:eastAsia="仿宋" w:cs="仿宋"/>
          <w:b/>
          <w:bCs/>
          <w:sz w:val="24"/>
          <w:szCs w:val="24"/>
        </w:rPr>
        <w:t>服务需求</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投标方作为项目建设的总集成单位，负责项目的最终交付，确保项目的各项功能指标满足要求。</w:t>
      </w:r>
    </w:p>
    <w:p>
      <w:pPr>
        <w:numPr>
          <w:numId w:val="0"/>
        </w:numPr>
        <w:spacing w:line="560" w:lineRule="exact"/>
        <w:ind w:firstLine="482" w:firstLineChars="200"/>
        <w:outlineLvl w:val="3"/>
        <w:rPr>
          <w:rFonts w:hint="eastAsia" w:ascii="仿宋" w:hAnsi="仿宋" w:eastAsia="仿宋" w:cs="仿宋"/>
          <w:b/>
          <w:bCs/>
          <w:sz w:val="24"/>
          <w:szCs w:val="24"/>
        </w:rPr>
      </w:pPr>
      <w:r>
        <w:rPr>
          <w:rFonts w:hint="eastAsia" w:ascii="仿宋" w:hAnsi="仿宋" w:eastAsia="仿宋" w:cs="仿宋"/>
          <w:b/>
          <w:bCs/>
          <w:sz w:val="24"/>
          <w:szCs w:val="24"/>
          <w:lang w:val="en-US"/>
        </w:rPr>
        <w:t>8.5技术服务及维保</w:t>
      </w:r>
    </w:p>
    <w:p>
      <w:pPr>
        <w:spacing w:line="56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1、投标方提供的技术资料应能满足确保系统正常运行所需的管理、运营及维护有关的全套文件。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提供为期3年质保期内的免费技术支持和服务；</w:t>
      </w:r>
    </w:p>
    <w:p>
      <w:pPr>
        <w:spacing w:line="56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3、</w:t>
      </w:r>
      <w:r>
        <w:rPr>
          <w:rFonts w:hint="eastAsia" w:ascii="仿宋" w:hAnsi="仿宋" w:eastAsia="仿宋" w:cs="仿宋"/>
          <w:sz w:val="24"/>
          <w:szCs w:val="24"/>
        </w:rPr>
        <w:t>在保修期内对系统进行定期巡检、运行维护等工作，</w:t>
      </w:r>
      <w:r>
        <w:rPr>
          <w:rFonts w:hint="eastAsia" w:ascii="仿宋" w:hAnsi="仿宋" w:eastAsia="仿宋" w:cs="仿宋"/>
          <w:sz w:val="24"/>
          <w:szCs w:val="24"/>
          <w:lang w:val="en-US"/>
        </w:rPr>
        <w:t>以及监测系统其他</w:t>
      </w:r>
      <w:r>
        <w:rPr>
          <w:rFonts w:hint="eastAsia" w:ascii="仿宋" w:hAnsi="仿宋" w:eastAsia="仿宋" w:cs="仿宋"/>
          <w:sz w:val="24"/>
          <w:szCs w:val="24"/>
        </w:rPr>
        <w:t>售后技术支持。</w:t>
      </w:r>
    </w:p>
    <w:p>
      <w:pPr>
        <w:pStyle w:val="5"/>
        <w:spacing w:before="120" w:beforeLines="50" w:after="120" w:afterLines="50" w:line="560" w:lineRule="exact"/>
        <w:ind w:hanging="403"/>
        <w:rPr>
          <w:rFonts w:hint="eastAsia" w:ascii="仿宋" w:hAnsi="仿宋" w:eastAsia="仿宋" w:cs="仿宋"/>
          <w:b w:val="0"/>
          <w:color w:val="000000"/>
          <w:sz w:val="24"/>
          <w:szCs w:val="24"/>
        </w:rPr>
      </w:pP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、商务要求</w:t>
      </w:r>
      <w:bookmarkEnd w:id="14"/>
      <w:bookmarkEnd w:id="15"/>
      <w:bookmarkEnd w:id="16"/>
    </w:p>
    <w:p>
      <w:pPr>
        <w:spacing w:line="560" w:lineRule="exact"/>
        <w:ind w:firstLine="482" w:firstLineChars="200"/>
        <w:outlineLvl w:val="2"/>
        <w:rPr>
          <w:rFonts w:hint="eastAsia" w:ascii="仿宋" w:hAnsi="仿宋" w:eastAsia="仿宋" w:cs="仿宋"/>
          <w:b/>
          <w:bCs/>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★服务期限</w:t>
      </w:r>
    </w:p>
    <w:p>
      <w:pPr>
        <w:spacing w:line="560" w:lineRule="exact"/>
        <w:ind w:firstLine="480" w:firstLineChars="200"/>
        <w:rPr>
          <w:rFonts w:hint="eastAsia" w:ascii="仿宋" w:hAnsi="仿宋" w:eastAsia="仿宋" w:cs="仿宋"/>
          <w:sz w:val="24"/>
          <w:szCs w:val="24"/>
          <w:highlight w:val="none"/>
          <w:lang w:val="en-US"/>
        </w:rPr>
      </w:pPr>
      <w:bookmarkStart w:id="17" w:name="_Hlk63349371"/>
      <w:r>
        <w:rPr>
          <w:rFonts w:hint="eastAsia" w:ascii="仿宋" w:hAnsi="仿宋" w:eastAsia="仿宋" w:cs="仿宋"/>
          <w:sz w:val="24"/>
          <w:szCs w:val="24"/>
          <w:highlight w:val="none"/>
        </w:rPr>
        <w:t>本项目须在2022年</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rPr>
        <w:t>30</w:t>
      </w:r>
      <w:r>
        <w:rPr>
          <w:rFonts w:hint="eastAsia" w:ascii="仿宋" w:hAnsi="仿宋" w:eastAsia="仿宋" w:cs="仿宋"/>
          <w:sz w:val="24"/>
          <w:szCs w:val="24"/>
          <w:highlight w:val="none"/>
        </w:rPr>
        <w:t>日前完成系统软硬件安装、联调联试并开通试运行。</w:t>
      </w:r>
    </w:p>
    <w:bookmarkEnd w:id="17"/>
    <w:p>
      <w:pPr>
        <w:spacing w:line="560" w:lineRule="exact"/>
        <w:ind w:firstLine="482" w:firstLineChars="200"/>
        <w:outlineLvl w:val="2"/>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★付款方式</w:t>
      </w:r>
    </w:p>
    <w:p>
      <w:pPr>
        <w:spacing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合同签订：甲方在收到乙方提供的增值税发票后15个工作日内，向乙方支付合同金额的3</w:t>
      </w:r>
      <w:r>
        <w:rPr>
          <w:rFonts w:hint="eastAsia" w:ascii="仿宋" w:hAnsi="仿宋" w:eastAsia="仿宋" w:cs="仿宋"/>
          <w:sz w:val="24"/>
          <w:szCs w:val="24"/>
          <w:lang w:val="en-US"/>
        </w:rPr>
        <w:t>5</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具体付款时间以哈尔滨市工信局付款时间为准</w:t>
      </w:r>
      <w:r>
        <w:rPr>
          <w:rFonts w:hint="eastAsia" w:ascii="仿宋" w:hAnsi="仿宋" w:eastAsia="仿宋" w:cs="仿宋"/>
          <w:sz w:val="24"/>
          <w:szCs w:val="24"/>
          <w:lang w:eastAsia="zh-CN"/>
        </w:rPr>
        <w:t>；</w:t>
      </w:r>
    </w:p>
    <w:p>
      <w:pPr>
        <w:spacing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设备到货（软件部署）：甲方在收到乙方提供的增值税发票后15个工作日内，向乙方支付合同金额的4</w:t>
      </w:r>
      <w:r>
        <w:rPr>
          <w:rFonts w:hint="eastAsia" w:ascii="仿宋" w:hAnsi="仿宋" w:eastAsia="仿宋" w:cs="仿宋"/>
          <w:sz w:val="24"/>
          <w:szCs w:val="24"/>
          <w:lang w:val="en-US"/>
        </w:rPr>
        <w:t>5</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具体付款时间以哈尔滨市工信局付款时间为准</w:t>
      </w:r>
      <w:r>
        <w:rPr>
          <w:rFonts w:hint="eastAsia" w:ascii="仿宋" w:hAnsi="仿宋" w:eastAsia="仿宋" w:cs="仿宋"/>
          <w:sz w:val="24"/>
          <w:szCs w:val="24"/>
          <w:lang w:eastAsia="zh-CN"/>
        </w:rPr>
        <w:t>；</w:t>
      </w:r>
    </w:p>
    <w:p>
      <w:pPr>
        <w:spacing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项目初验：甲方在收到乙方提供的增值税发票后15个工作日内，支付合同金额的</w:t>
      </w:r>
      <w:r>
        <w:rPr>
          <w:rFonts w:hint="eastAsia" w:ascii="仿宋" w:hAnsi="仿宋" w:eastAsia="仿宋" w:cs="仿宋"/>
          <w:sz w:val="24"/>
          <w:szCs w:val="24"/>
          <w:lang w:val="en-US"/>
        </w:rPr>
        <w:t>1</w:t>
      </w:r>
      <w:r>
        <w:rPr>
          <w:rFonts w:hint="eastAsia" w:ascii="仿宋" w:hAnsi="仿宋" w:eastAsia="仿宋" w:cs="仿宋"/>
          <w:sz w:val="24"/>
          <w:szCs w:val="24"/>
        </w:rPr>
        <w:t>0%</w:t>
      </w:r>
      <w:r>
        <w:rPr>
          <w:rFonts w:hint="eastAsia" w:ascii="仿宋" w:hAnsi="仿宋" w:eastAsia="仿宋" w:cs="仿宋"/>
          <w:sz w:val="24"/>
          <w:szCs w:val="24"/>
          <w:lang w:eastAsia="zh-CN"/>
        </w:rPr>
        <w:t>，</w:t>
      </w:r>
      <w:r>
        <w:rPr>
          <w:rFonts w:hint="eastAsia" w:ascii="仿宋" w:hAnsi="仿宋" w:eastAsia="仿宋" w:cs="仿宋"/>
          <w:sz w:val="24"/>
          <w:szCs w:val="24"/>
        </w:rPr>
        <w:t>具体付款时间以哈尔滨市工信局付款时间为准；</w:t>
      </w:r>
    </w:p>
    <w:p>
      <w:pPr>
        <w:spacing w:line="56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项目终验：甲方在收到乙方提供的增值税发票后15个工作日内，支付合同金额的10%</w:t>
      </w:r>
      <w:r>
        <w:rPr>
          <w:rFonts w:hint="eastAsia" w:ascii="仿宋" w:hAnsi="仿宋" w:eastAsia="仿宋" w:cs="仿宋"/>
          <w:sz w:val="24"/>
          <w:szCs w:val="24"/>
          <w:lang w:eastAsia="zh-CN"/>
        </w:rPr>
        <w:t>，</w:t>
      </w:r>
      <w:r>
        <w:rPr>
          <w:rFonts w:hint="eastAsia" w:ascii="仿宋" w:hAnsi="仿宋" w:eastAsia="仿宋" w:cs="仿宋"/>
          <w:sz w:val="24"/>
          <w:szCs w:val="24"/>
        </w:rPr>
        <w:t>具体付款时间以哈尔滨市工信局付款时间为准</w:t>
      </w:r>
      <w:r>
        <w:rPr>
          <w:rFonts w:hint="eastAsia" w:ascii="仿宋" w:hAnsi="仿宋" w:eastAsia="仿宋" w:cs="仿宋"/>
          <w:sz w:val="24"/>
          <w:szCs w:val="24"/>
          <w:lang w:eastAsia="zh-CN"/>
        </w:rPr>
        <w:t>。</w:t>
      </w:r>
    </w:p>
    <w:p>
      <w:pPr>
        <w:spacing w:line="560" w:lineRule="exact"/>
        <w:ind w:firstLine="482" w:firstLineChars="200"/>
        <w:outlineLvl w:val="2"/>
        <w:rPr>
          <w:rFonts w:hint="eastAsia" w:ascii="仿宋" w:hAnsi="仿宋" w:eastAsia="仿宋" w:cs="仿宋"/>
          <w:b/>
          <w:bCs/>
          <w:sz w:val="24"/>
          <w:szCs w:val="24"/>
        </w:rPr>
      </w:pPr>
      <w:bookmarkStart w:id="18" w:name="_Hlk63761375"/>
      <w:r>
        <w:rPr>
          <w:rFonts w:hint="eastAsia" w:ascii="仿宋" w:hAnsi="仿宋" w:eastAsia="仿宋" w:cs="仿宋"/>
          <w:b/>
          <w:bCs/>
          <w:sz w:val="24"/>
          <w:szCs w:val="24"/>
          <w:lang w:val="en-US" w:eastAsia="zh-CN"/>
        </w:rPr>
        <w:t>3、</w:t>
      </w:r>
      <w:r>
        <w:rPr>
          <w:rFonts w:hint="eastAsia" w:ascii="仿宋" w:hAnsi="仿宋" w:eastAsia="仿宋" w:cs="仿宋"/>
          <w:b/>
          <w:bCs/>
          <w:sz w:val="24"/>
          <w:szCs w:val="24"/>
        </w:rPr>
        <w:t>培训要求</w:t>
      </w:r>
    </w:p>
    <w:p>
      <w:pPr>
        <w:spacing w:line="560" w:lineRule="exact"/>
        <w:ind w:firstLine="480" w:firstLineChars="200"/>
        <w:rPr>
          <w:rFonts w:hint="eastAsia" w:ascii="仿宋" w:hAnsi="仿宋" w:eastAsia="仿宋" w:cs="仿宋"/>
          <w:sz w:val="24"/>
          <w:szCs w:val="24"/>
        </w:rPr>
      </w:pPr>
      <w:bookmarkStart w:id="19" w:name="_Hlk63349338"/>
      <w:r>
        <w:rPr>
          <w:rFonts w:hint="eastAsia" w:ascii="仿宋" w:hAnsi="仿宋" w:eastAsia="仿宋" w:cs="仿宋"/>
          <w:sz w:val="24"/>
          <w:szCs w:val="24"/>
        </w:rPr>
        <w:t>投标人应针对系统特点、人员状况等，制订可行的培训计划和实施方案、提供全方位多层次的培训服务，在项目不同建设时期，针对不同种类的需求提供一系列行之有效的培训实施方案。通过培训使用户掌握相关的管理和技术技能，确保系统建设稳步推进，建成后安全、稳定、高效的运行。培训计划和实施方案包括培训对象、形式、内容、讲师安排等。</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中标单位在免费服务期向招标单位人员提供免费指导和培训，免费服务期满后应根据招标人需要提供技术培训服务，如需收费，则由双方另行协商。</w:t>
      </w:r>
      <w:bookmarkEnd w:id="19"/>
    </w:p>
    <w:bookmarkEnd w:id="18"/>
    <w:p>
      <w:pPr>
        <w:spacing w:line="560" w:lineRule="exact"/>
        <w:ind w:firstLine="482" w:firstLineChars="200"/>
        <w:outlineLvl w:val="2"/>
        <w:rPr>
          <w:rFonts w:hint="eastAsia" w:ascii="仿宋" w:hAnsi="仿宋" w:eastAsia="仿宋" w:cs="仿宋"/>
          <w:b/>
          <w:bCs/>
          <w:sz w:val="24"/>
          <w:szCs w:val="24"/>
        </w:rPr>
      </w:pPr>
      <w:bookmarkStart w:id="20" w:name="_Hlk63761392"/>
      <w:r>
        <w:rPr>
          <w:rFonts w:hint="eastAsia" w:ascii="仿宋" w:hAnsi="仿宋" w:eastAsia="仿宋" w:cs="仿宋"/>
          <w:b/>
          <w:bCs/>
          <w:sz w:val="24"/>
          <w:szCs w:val="24"/>
          <w:lang w:val="en-US" w:eastAsia="zh-CN"/>
        </w:rPr>
        <w:t>4、</w:t>
      </w:r>
      <w:r>
        <w:rPr>
          <w:rFonts w:hint="eastAsia" w:ascii="仿宋" w:hAnsi="仿宋" w:eastAsia="仿宋" w:cs="仿宋"/>
          <w:b/>
          <w:bCs/>
          <w:sz w:val="24"/>
          <w:szCs w:val="24"/>
        </w:rPr>
        <w:t>违约责任</w:t>
      </w:r>
    </w:p>
    <w:p>
      <w:pPr>
        <w:spacing w:line="560" w:lineRule="exact"/>
        <w:ind w:firstLine="480" w:firstLineChars="200"/>
        <w:rPr>
          <w:rFonts w:hint="eastAsia" w:ascii="仿宋" w:hAnsi="仿宋" w:eastAsia="仿宋" w:cs="仿宋"/>
          <w:sz w:val="24"/>
          <w:szCs w:val="24"/>
        </w:rPr>
      </w:pPr>
      <w:bookmarkStart w:id="21" w:name="_Hlk63349183"/>
      <w:r>
        <w:rPr>
          <w:rFonts w:hint="eastAsia" w:ascii="仿宋" w:hAnsi="仿宋" w:eastAsia="仿宋" w:cs="仿宋"/>
          <w:sz w:val="24"/>
          <w:szCs w:val="24"/>
        </w:rPr>
        <w:t>1.中标单位未按照本合同约定的时间完成本项目各阶段工作的，每延迟一日，招标人有权自支付合同余款中扣除合同总价款1‰的逾期违约金。</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如招标人未按照本合同约定的时间支付服务费，中标单位书面催告招标人并给予不少于5个工作日的履行期限后招标人仍未支付的，中标单位有权自该期限届满之日起要求招标人支付该阶段应付而未付合同价款每日1‰的逾期违约金。如招标人无正当理由拒绝接受服务，到期明确表示拒付服务款项，中标单位有权要求招标人支付本合同项下服务费总金额20%的违约金。</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3.免费服务期内，如中标单位存在不及时提供保修服务等违约行为，每次招标人有权自支付合同余款中扣除合同总价款1‰的违约金。</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4.本合同履行期间，发生下述情形时，招标人有权解除本合同，中标单位除应退还招标人已支付的全部款项外, 还应支付合同总价款20%的违约金。中标单位应同时将已完成的阶段成果移交给招标人，并将全部有关资料退还招标人。</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（1）中标单位未能按合同约定的日期(含协商延缓的日期)提交成果，延误时间超过15个工作日；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（2）因中标单位工作的错误或遗漏造成成果质量损失，且中标单位未按招标人要求采取及时有效的补救措施的；</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（3）中标单位虽如期提交最终成果，但连续二次未能通过招标人验收的；</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（4）未经招标人书面在先同意，中标单位擅自将本合同项目与任何第三方合作，或将本合同标的的全部或部分擅自转包给任何第三方，且未按招标人的要求终止与第三方的合同的；</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（5）中标单位明确表示或者以自己的行为表明不履行本合同的。</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上述违约责任各自独立且可累加。本合同所约定的违约金如低于因违约行为所造成的损失，违约方应补偿上述不足部分的损失。</w:t>
      </w:r>
    </w:p>
    <w:bookmarkEnd w:id="20"/>
    <w:bookmarkEnd w:id="21"/>
    <w:p>
      <w:pPr>
        <w:spacing w:line="560" w:lineRule="exact"/>
        <w:ind w:firstLine="482" w:firstLineChars="200"/>
        <w:outlineLvl w:val="2"/>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知识产权</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1.本项目全部研发成果的所有权、知识产权以及与之相关的所有权利归招标人所有；本合同签署前双方已经拥有的知识产权权利，仍归各自所有。</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2.双方确定，招标人有权利用中标单位按照本合同约定提供的研究开发成果，进行后续改进。由此产生的具有实质性或创造性技术进步特征的新的技术成果及其权利归属，全部由招标人享有。</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3.中标单位所提交的全部中间成果和最终成果文件及任何形式的数据、资料、软件等所有权归招标人拥有。</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中标单位所提交的全部中间成果和最终成果文件及任何形式的数据、资料、软件等不得侵犯任何第三方的知识产权或其他权利，由于该等文件、数据、资料、软件侵权所导致的任何索赔或责任均由中标单位承担，同时，招标人有权要求中标单位修改成果至不侵权或解除合同，并保留要求中标单位赔偿相应损失的权利，包括但不限于上述索赔或责任所产生的诉讼费用、合理的律师费用、鉴定评估费用、调查费用、和解金额或生效法律文书中规定的赔偿金额。</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未经招标人书面在先同意，中标单位不得将本项目的中间成果和最终成果文件及任何数据、资料、软件向任何第三方转让、授权任何第三方使用或用于本合同项目外的其他项目。如发生以上情况，中标单位应向招标人支付本合同总价款20%的违约金，如果违约金无法弥补招标人的损失，招标人有权要求中标单位赔偿全部损失。</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6.中标单位完成本合同项目的研究开发人员享有在有关技术成果文件上写明技术成果完成者的权利和与招标人共同获得有关荣誉证书、奖励的权利。</w:t>
      </w:r>
      <w:bookmarkStart w:id="22" w:name="_Hlk63348969"/>
    </w:p>
    <w:bookmarkEnd w:id="22"/>
    <w:p>
      <w:pPr>
        <w:spacing w:line="560" w:lineRule="exact"/>
        <w:ind w:firstLine="482" w:firstLineChars="200"/>
        <w:outlineLvl w:val="2"/>
        <w:rPr>
          <w:rFonts w:hint="eastAsia" w:ascii="仿宋" w:hAnsi="仿宋" w:eastAsia="仿宋" w:cs="仿宋"/>
          <w:b/>
          <w:bCs/>
          <w:sz w:val="24"/>
          <w:szCs w:val="24"/>
        </w:rPr>
      </w:pP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保密条款</w:t>
      </w:r>
    </w:p>
    <w:p>
      <w:pPr>
        <w:spacing w:line="560" w:lineRule="exact"/>
        <w:ind w:firstLine="480" w:firstLineChars="200"/>
        <w:rPr>
          <w:rFonts w:hint="eastAsia" w:ascii="仿宋" w:hAnsi="仿宋" w:eastAsia="仿宋" w:cs="仿宋"/>
          <w:sz w:val="24"/>
          <w:szCs w:val="24"/>
        </w:rPr>
      </w:pPr>
      <w:bookmarkStart w:id="23" w:name="_Hlk63348908"/>
      <w:r>
        <w:rPr>
          <w:rFonts w:hint="eastAsia" w:ascii="仿宋" w:hAnsi="仿宋" w:eastAsia="仿宋" w:cs="仿宋"/>
          <w:sz w:val="24"/>
          <w:szCs w:val="24"/>
        </w:rPr>
        <w:t>1.双方应保守的秘密是指不为公众所知悉、能为权利人带来经济利益、具有实用性并经权利人采取保密措施的技术信息和经营信息，或由双方在履行本合同过程中明确指明为秘密的、法律所认可的任何信息，以及中标单位在履行本合同过程中所获得或接触到的任何招标人内部数据资料。</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合同项下的义务，且只能由相关的技术人员使用。</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中标单位应以保密方式处理在编制本项目成果文件过程中自招标人、招标人工作人员或招标人关联机构获得的相关信息、资料、图纸、数据等，或由招标人在履行本合同过程中明确指明为秘密的任何信息，以及中标单位因本项目工作内容所直接或间接取得、处理或接触的任何其他资料。未经招标人书面在先同意，中标单位不得向任何第三方透露与本项目有关的内容，或公开本项目的阶段性成果或最终成果内容。即使向与履行本合同有关的人员提供前述保密信息，也应限于履行合同的必需范围，且这些人员应接受至少与本条款同等严格的保密条款的约束。</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4.中标单位实施项目的程序应符合国家安全、保密的有关规定和标准。</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5.上述保密义务不适用以下情况：</w:t>
      </w:r>
    </w:p>
    <w:p>
      <w:pPr>
        <w:spacing w:line="560" w:lineRule="exact"/>
        <w:ind w:left="660" w:leftChars="300"/>
        <w:rPr>
          <w:rFonts w:hint="eastAsia" w:ascii="仿宋" w:hAnsi="仿宋" w:eastAsia="仿宋" w:cs="仿宋"/>
          <w:sz w:val="24"/>
          <w:szCs w:val="24"/>
        </w:rPr>
      </w:pPr>
      <w:r>
        <w:rPr>
          <w:rFonts w:hint="eastAsia" w:ascii="仿宋" w:hAnsi="仿宋" w:eastAsia="仿宋" w:cs="仿宋"/>
          <w:sz w:val="24"/>
          <w:szCs w:val="24"/>
        </w:rPr>
        <w:t>（1）获取的信息已被合法公开；</w:t>
      </w:r>
    </w:p>
    <w:p>
      <w:pPr>
        <w:spacing w:line="560" w:lineRule="exact"/>
        <w:ind w:left="660" w:leftChars="300"/>
        <w:rPr>
          <w:rFonts w:hint="eastAsia" w:ascii="仿宋" w:hAnsi="仿宋" w:eastAsia="仿宋" w:cs="仿宋"/>
          <w:sz w:val="24"/>
          <w:szCs w:val="24"/>
        </w:rPr>
      </w:pPr>
      <w:r>
        <w:rPr>
          <w:rFonts w:hint="eastAsia" w:ascii="仿宋" w:hAnsi="仿宋" w:eastAsia="仿宋" w:cs="仿宋"/>
          <w:sz w:val="24"/>
          <w:szCs w:val="24"/>
        </w:rPr>
        <w:t>（2）获得信息拥有方书面许可；</w:t>
      </w:r>
    </w:p>
    <w:p>
      <w:pPr>
        <w:spacing w:line="560" w:lineRule="exact"/>
        <w:ind w:left="660" w:leftChars="300"/>
        <w:rPr>
          <w:rFonts w:hint="eastAsia" w:ascii="仿宋" w:hAnsi="仿宋" w:eastAsia="仿宋" w:cs="仿宋"/>
          <w:sz w:val="24"/>
          <w:szCs w:val="24"/>
        </w:rPr>
      </w:pPr>
      <w:r>
        <w:rPr>
          <w:rFonts w:hint="eastAsia" w:ascii="仿宋" w:hAnsi="仿宋" w:eastAsia="仿宋" w:cs="仿宋"/>
          <w:sz w:val="24"/>
          <w:szCs w:val="24"/>
        </w:rPr>
        <w:t>（3）国家法律、法规规定的情形。</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 无论本合同或本合同其他条款是否有效，本保密条款始终约束双方。国家秘密的保密期限由国家有关部门确定，工作秘密的保密期限由招标人确定。</w:t>
      </w:r>
    </w:p>
    <w:bookmarkEnd w:id="23"/>
    <w:p>
      <w:pPr>
        <w:spacing w:line="360" w:lineRule="auto"/>
      </w:pPr>
    </w:p>
    <w:sectPr>
      <w:footerReference r:id="rId4" w:type="default"/>
      <w:pgSz w:w="12240" w:h="15840"/>
      <w:pgMar w:top="1440" w:right="1800" w:bottom="1440" w:left="1800" w:header="0" w:footer="84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Tahoma">
    <w:panose1 w:val="020B0604030504040204"/>
    <w:charset w:val="00"/>
    <w:family w:val="auto"/>
    <w:pitch w:val="default"/>
    <w:sig w:usb0="E1002EFF" w:usb1="C000605B" w:usb2="00000029" w:usb3="00000000" w:csb0="200101FF" w:csb1="20280000"/>
  </w:font>
  <w:font w:name="方正黑体简体">
    <w:altName w:val="黑体"/>
    <w:panose1 w:val="00000000000000000000"/>
    <w:charset w:val="86"/>
    <w:family w:val="auto"/>
    <w:pitch w:val="default"/>
    <w:sig w:usb0="00000000" w:usb1="00000000" w:usb2="00000010" w:usb3="00000000" w:csb0="00040000" w:csb1="00000000"/>
  </w:font>
  <w:font w:name="长城仿宋">
    <w:altName w:val="黑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ime new romans">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t>12</w:t>
    </w:r>
    <w:r>
      <w:rPr>
        <w:rFonts w:ascii="Times New Roman" w:hAnsi="Times New Roman" w:cs="Times New Roman"/>
      </w:rPr>
      <w:fldChar w:fldCharType="end"/>
    </w:r>
  </w:p>
  <w:p>
    <w:pPr>
      <w:spacing w:line="14" w:lineRule="auto"/>
      <w:rPr>
        <w:sz w:val="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00814005">
    <w:nsid w:val="3BA735B5"/>
    <w:multiLevelType w:val="multilevel"/>
    <w:tmpl w:val="3BA735B5"/>
    <w:lvl w:ilvl="0" w:tentative="1">
      <w:start w:val="1"/>
      <w:numFmt w:val="decimal"/>
      <w:lvlText w:val="%1)"/>
      <w:lvlJc w:val="left"/>
      <w:pPr>
        <w:ind w:left="1080" w:hanging="420"/>
      </w:pPr>
    </w:lvl>
    <w:lvl w:ilvl="1" w:tentative="1">
      <w:start w:val="1"/>
      <w:numFmt w:val="lowerLetter"/>
      <w:lvlText w:val="%2)"/>
      <w:lvlJc w:val="left"/>
      <w:pPr>
        <w:ind w:left="1500" w:hanging="420"/>
      </w:pPr>
    </w:lvl>
    <w:lvl w:ilvl="2" w:tentative="1">
      <w:start w:val="1"/>
      <w:numFmt w:val="lowerRoman"/>
      <w:lvlText w:val="%3."/>
      <w:lvlJc w:val="right"/>
      <w:pPr>
        <w:ind w:left="1920" w:hanging="420"/>
      </w:pPr>
    </w:lvl>
    <w:lvl w:ilvl="3" w:tentative="1">
      <w:start w:val="1"/>
      <w:numFmt w:val="decimal"/>
      <w:lvlText w:val="%4."/>
      <w:lvlJc w:val="left"/>
      <w:pPr>
        <w:ind w:left="2340" w:hanging="420"/>
      </w:pPr>
    </w:lvl>
    <w:lvl w:ilvl="4" w:tentative="1">
      <w:start w:val="1"/>
      <w:numFmt w:val="lowerLetter"/>
      <w:lvlText w:val="%5)"/>
      <w:lvlJc w:val="left"/>
      <w:pPr>
        <w:ind w:left="2760" w:hanging="420"/>
      </w:pPr>
    </w:lvl>
    <w:lvl w:ilvl="5" w:tentative="1">
      <w:start w:val="1"/>
      <w:numFmt w:val="lowerRoman"/>
      <w:lvlText w:val="%6."/>
      <w:lvlJc w:val="right"/>
      <w:pPr>
        <w:ind w:left="3180" w:hanging="420"/>
      </w:pPr>
    </w:lvl>
    <w:lvl w:ilvl="6" w:tentative="1">
      <w:start w:val="1"/>
      <w:numFmt w:val="decimal"/>
      <w:lvlText w:val="%7."/>
      <w:lvlJc w:val="left"/>
      <w:pPr>
        <w:ind w:left="3600" w:hanging="420"/>
      </w:pPr>
    </w:lvl>
    <w:lvl w:ilvl="7" w:tentative="1">
      <w:start w:val="1"/>
      <w:numFmt w:val="lowerLetter"/>
      <w:lvlText w:val="%8)"/>
      <w:lvlJc w:val="left"/>
      <w:pPr>
        <w:ind w:left="4020" w:hanging="420"/>
      </w:pPr>
    </w:lvl>
    <w:lvl w:ilvl="8" w:tentative="1">
      <w:start w:val="1"/>
      <w:numFmt w:val="lowerRoman"/>
      <w:lvlText w:val="%9."/>
      <w:lvlJc w:val="right"/>
      <w:pPr>
        <w:ind w:left="4440" w:hanging="420"/>
      </w:pPr>
    </w:lvl>
  </w:abstractNum>
  <w:abstractNum w:abstractNumId="1975330382">
    <w:nsid w:val="75BD264E"/>
    <w:multiLevelType w:val="multilevel"/>
    <w:tmpl w:val="75BD264E"/>
    <w:lvl w:ilvl="0" w:tentative="1">
      <w:start w:val="1"/>
      <w:numFmt w:val="decimal"/>
      <w:lvlText w:val="%1)"/>
      <w:lvlJc w:val="left"/>
      <w:pPr>
        <w:ind w:left="860" w:hanging="420"/>
      </w:pPr>
    </w:lvl>
    <w:lvl w:ilvl="1" w:tentative="1">
      <w:start w:val="1"/>
      <w:numFmt w:val="lowerLetter"/>
      <w:lvlText w:val="%2)"/>
      <w:lvlJc w:val="left"/>
      <w:pPr>
        <w:ind w:left="1280" w:hanging="420"/>
      </w:pPr>
    </w:lvl>
    <w:lvl w:ilvl="2" w:tentative="1">
      <w:start w:val="1"/>
      <w:numFmt w:val="lowerRoman"/>
      <w:lvlText w:val="%3."/>
      <w:lvlJc w:val="right"/>
      <w:pPr>
        <w:ind w:left="1700" w:hanging="420"/>
      </w:pPr>
    </w:lvl>
    <w:lvl w:ilvl="3" w:tentative="1">
      <w:start w:val="1"/>
      <w:numFmt w:val="decimal"/>
      <w:lvlText w:val="%4."/>
      <w:lvlJc w:val="left"/>
      <w:pPr>
        <w:ind w:left="2120" w:hanging="420"/>
      </w:pPr>
    </w:lvl>
    <w:lvl w:ilvl="4" w:tentative="1">
      <w:start w:val="1"/>
      <w:numFmt w:val="lowerLetter"/>
      <w:lvlText w:val="%5)"/>
      <w:lvlJc w:val="left"/>
      <w:pPr>
        <w:ind w:left="2540" w:hanging="420"/>
      </w:pPr>
    </w:lvl>
    <w:lvl w:ilvl="5" w:tentative="1">
      <w:start w:val="1"/>
      <w:numFmt w:val="lowerRoman"/>
      <w:lvlText w:val="%6."/>
      <w:lvlJc w:val="right"/>
      <w:pPr>
        <w:ind w:left="2960" w:hanging="420"/>
      </w:pPr>
    </w:lvl>
    <w:lvl w:ilvl="6" w:tentative="1">
      <w:start w:val="1"/>
      <w:numFmt w:val="decimal"/>
      <w:lvlText w:val="%7."/>
      <w:lvlJc w:val="left"/>
      <w:pPr>
        <w:ind w:left="3380" w:hanging="420"/>
      </w:pPr>
    </w:lvl>
    <w:lvl w:ilvl="7" w:tentative="1">
      <w:start w:val="1"/>
      <w:numFmt w:val="lowerLetter"/>
      <w:lvlText w:val="%8)"/>
      <w:lvlJc w:val="left"/>
      <w:pPr>
        <w:ind w:left="3800" w:hanging="420"/>
      </w:pPr>
    </w:lvl>
    <w:lvl w:ilvl="8" w:tentative="1">
      <w:start w:val="1"/>
      <w:numFmt w:val="lowerRoman"/>
      <w:lvlText w:val="%9."/>
      <w:lvlJc w:val="right"/>
      <w:pPr>
        <w:ind w:left="4220" w:hanging="420"/>
      </w:pPr>
    </w:lvl>
  </w:abstractNum>
  <w:abstractNum w:abstractNumId="502748078">
    <w:nsid w:val="1DF753AE"/>
    <w:multiLevelType w:val="multilevel"/>
    <w:tmpl w:val="1DF753AE"/>
    <w:lvl w:ilvl="0" w:tentative="1">
      <w:start w:val="1"/>
      <w:numFmt w:val="decimal"/>
      <w:pStyle w:val="128"/>
      <w:suff w:val="nothing"/>
      <w:lvlText w:val="(%1)"/>
      <w:lvlJc w:val="left"/>
      <w:pPr>
        <w:ind w:left="0" w:firstLine="555"/>
      </w:pPr>
      <w:rPr>
        <w:rFonts w:hint="default"/>
      </w:rPr>
    </w:lvl>
    <w:lvl w:ilvl="1" w:tentative="1">
      <w:start w:val="1"/>
      <w:numFmt w:val="lowerLetter"/>
      <w:lvlText w:val="%2)"/>
      <w:lvlJc w:val="left"/>
      <w:pPr>
        <w:ind w:left="1395" w:hanging="420"/>
      </w:pPr>
    </w:lvl>
    <w:lvl w:ilvl="2" w:tentative="1">
      <w:start w:val="1"/>
      <w:numFmt w:val="lowerRoman"/>
      <w:lvlText w:val="%3."/>
      <w:lvlJc w:val="right"/>
      <w:pPr>
        <w:ind w:left="1815" w:hanging="420"/>
      </w:pPr>
    </w:lvl>
    <w:lvl w:ilvl="3" w:tentative="1">
      <w:start w:val="1"/>
      <w:numFmt w:val="decimal"/>
      <w:lvlText w:val="%4."/>
      <w:lvlJc w:val="left"/>
      <w:pPr>
        <w:ind w:left="2235" w:hanging="420"/>
      </w:pPr>
    </w:lvl>
    <w:lvl w:ilvl="4" w:tentative="1">
      <w:start w:val="1"/>
      <w:numFmt w:val="lowerLetter"/>
      <w:lvlText w:val="%5)"/>
      <w:lvlJc w:val="left"/>
      <w:pPr>
        <w:ind w:left="2655" w:hanging="420"/>
      </w:pPr>
    </w:lvl>
    <w:lvl w:ilvl="5" w:tentative="1">
      <w:start w:val="1"/>
      <w:numFmt w:val="lowerRoman"/>
      <w:lvlText w:val="%6."/>
      <w:lvlJc w:val="right"/>
      <w:pPr>
        <w:ind w:left="3075" w:hanging="420"/>
      </w:pPr>
    </w:lvl>
    <w:lvl w:ilvl="6" w:tentative="1">
      <w:start w:val="1"/>
      <w:numFmt w:val="decimal"/>
      <w:lvlText w:val="%7."/>
      <w:lvlJc w:val="left"/>
      <w:pPr>
        <w:ind w:left="3495" w:hanging="420"/>
      </w:pPr>
    </w:lvl>
    <w:lvl w:ilvl="7" w:tentative="1">
      <w:start w:val="1"/>
      <w:numFmt w:val="lowerLetter"/>
      <w:lvlText w:val="%8)"/>
      <w:lvlJc w:val="left"/>
      <w:pPr>
        <w:ind w:left="3915" w:hanging="420"/>
      </w:pPr>
    </w:lvl>
    <w:lvl w:ilvl="8" w:tentative="1">
      <w:start w:val="1"/>
      <w:numFmt w:val="lowerRoman"/>
      <w:lvlText w:val="%9."/>
      <w:lvlJc w:val="right"/>
      <w:pPr>
        <w:ind w:left="4335" w:hanging="420"/>
      </w:pPr>
    </w:lvl>
  </w:abstractNum>
  <w:abstractNum w:abstractNumId="3294745873">
    <w:nsid w:val="C461D511"/>
    <w:multiLevelType w:val="singleLevel"/>
    <w:tmpl w:val="C461D511"/>
    <w:lvl w:ilvl="0" w:tentative="1">
      <w:start w:val="1"/>
      <w:numFmt w:val="decimal"/>
      <w:lvlText w:val="(%1)"/>
      <w:lvlJc w:val="left"/>
      <w:pPr>
        <w:ind w:left="425" w:hanging="425"/>
      </w:pPr>
      <w:rPr>
        <w:rFonts w:hint="default"/>
      </w:rPr>
    </w:lvl>
  </w:abstractNum>
  <w:abstractNum w:abstractNumId="966349657">
    <w:nsid w:val="39995359"/>
    <w:multiLevelType w:val="multilevel"/>
    <w:tmpl w:val="39995359"/>
    <w:lvl w:ilvl="0" w:tentative="1">
      <w:start w:val="1"/>
      <w:numFmt w:val="decimal"/>
      <w:pStyle w:val="137"/>
      <w:lvlText w:val="6.%1"/>
      <w:lvlJc w:val="left"/>
      <w:pPr>
        <w:ind w:left="1980" w:hanging="420"/>
      </w:pPr>
      <w:rPr>
        <w:rFonts w:hint="eastAsia"/>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97938631">
    <w:nsid w:val="A6C527C7"/>
    <w:multiLevelType w:val="singleLevel"/>
    <w:tmpl w:val="A6C527C7"/>
    <w:lvl w:ilvl="0" w:tentative="1">
      <w:start w:val="1"/>
      <w:numFmt w:val="decimal"/>
      <w:suff w:val="nothing"/>
      <w:lvlText w:val="（%1）"/>
      <w:lvlJc w:val="left"/>
    </w:lvl>
  </w:abstractNum>
  <w:abstractNum w:abstractNumId="1022587972">
    <w:nsid w:val="3CF37444"/>
    <w:multiLevelType w:val="multilevel"/>
    <w:tmpl w:val="3CF37444"/>
    <w:lvl w:ilvl="0" w:tentative="1">
      <w:start w:val="1"/>
      <w:numFmt w:val="decimal"/>
      <w:lvlText w:val="%1)"/>
      <w:lvlJc w:val="left"/>
      <w:pPr>
        <w:ind w:left="1080" w:hanging="420"/>
      </w:pPr>
    </w:lvl>
    <w:lvl w:ilvl="1" w:tentative="1">
      <w:start w:val="1"/>
      <w:numFmt w:val="lowerLetter"/>
      <w:lvlText w:val="%2)"/>
      <w:lvlJc w:val="left"/>
      <w:pPr>
        <w:ind w:left="1500" w:hanging="420"/>
      </w:pPr>
    </w:lvl>
    <w:lvl w:ilvl="2" w:tentative="1">
      <w:start w:val="1"/>
      <w:numFmt w:val="lowerRoman"/>
      <w:lvlText w:val="%3."/>
      <w:lvlJc w:val="right"/>
      <w:pPr>
        <w:ind w:left="1920" w:hanging="420"/>
      </w:pPr>
    </w:lvl>
    <w:lvl w:ilvl="3" w:tentative="1">
      <w:start w:val="1"/>
      <w:numFmt w:val="decimal"/>
      <w:lvlText w:val="%4."/>
      <w:lvlJc w:val="left"/>
      <w:pPr>
        <w:ind w:left="2340" w:hanging="420"/>
      </w:pPr>
    </w:lvl>
    <w:lvl w:ilvl="4" w:tentative="1">
      <w:start w:val="1"/>
      <w:numFmt w:val="lowerLetter"/>
      <w:lvlText w:val="%5)"/>
      <w:lvlJc w:val="left"/>
      <w:pPr>
        <w:ind w:left="2760" w:hanging="420"/>
      </w:pPr>
    </w:lvl>
    <w:lvl w:ilvl="5" w:tentative="1">
      <w:start w:val="1"/>
      <w:numFmt w:val="lowerRoman"/>
      <w:lvlText w:val="%6."/>
      <w:lvlJc w:val="right"/>
      <w:pPr>
        <w:ind w:left="3180" w:hanging="420"/>
      </w:pPr>
    </w:lvl>
    <w:lvl w:ilvl="6" w:tentative="1">
      <w:start w:val="1"/>
      <w:numFmt w:val="decimal"/>
      <w:lvlText w:val="%7."/>
      <w:lvlJc w:val="left"/>
      <w:pPr>
        <w:ind w:left="3600" w:hanging="420"/>
      </w:pPr>
    </w:lvl>
    <w:lvl w:ilvl="7" w:tentative="1">
      <w:start w:val="1"/>
      <w:numFmt w:val="lowerLetter"/>
      <w:lvlText w:val="%8)"/>
      <w:lvlJc w:val="left"/>
      <w:pPr>
        <w:ind w:left="4020" w:hanging="420"/>
      </w:pPr>
    </w:lvl>
    <w:lvl w:ilvl="8" w:tentative="1">
      <w:start w:val="1"/>
      <w:numFmt w:val="lowerRoman"/>
      <w:lvlText w:val="%9."/>
      <w:lvlJc w:val="right"/>
      <w:pPr>
        <w:ind w:left="4440" w:hanging="420"/>
      </w:pPr>
    </w:lvl>
  </w:abstractNum>
  <w:abstractNum w:abstractNumId="1019284376">
    <w:nsid w:val="3CC10B98"/>
    <w:multiLevelType w:val="multilevel"/>
    <w:tmpl w:val="3CC10B98"/>
    <w:lvl w:ilvl="0" w:tentative="1">
      <w:start w:val="1"/>
      <w:numFmt w:val="decimal"/>
      <w:lvlText w:val="%1)"/>
      <w:lvlJc w:val="left"/>
      <w:pPr>
        <w:ind w:left="860" w:hanging="420"/>
      </w:pPr>
    </w:lvl>
    <w:lvl w:ilvl="1" w:tentative="1">
      <w:start w:val="1"/>
      <w:numFmt w:val="lowerLetter"/>
      <w:lvlText w:val="%2)"/>
      <w:lvlJc w:val="left"/>
      <w:pPr>
        <w:ind w:left="1280" w:hanging="420"/>
      </w:pPr>
    </w:lvl>
    <w:lvl w:ilvl="2" w:tentative="1">
      <w:start w:val="1"/>
      <w:numFmt w:val="lowerRoman"/>
      <w:lvlText w:val="%3."/>
      <w:lvlJc w:val="right"/>
      <w:pPr>
        <w:ind w:left="1700" w:hanging="420"/>
      </w:pPr>
    </w:lvl>
    <w:lvl w:ilvl="3" w:tentative="1">
      <w:start w:val="1"/>
      <w:numFmt w:val="decimal"/>
      <w:lvlText w:val="%4."/>
      <w:lvlJc w:val="left"/>
      <w:pPr>
        <w:ind w:left="2120" w:hanging="420"/>
      </w:pPr>
    </w:lvl>
    <w:lvl w:ilvl="4" w:tentative="1">
      <w:start w:val="1"/>
      <w:numFmt w:val="lowerLetter"/>
      <w:lvlText w:val="%5)"/>
      <w:lvlJc w:val="left"/>
      <w:pPr>
        <w:ind w:left="2540" w:hanging="420"/>
      </w:pPr>
    </w:lvl>
    <w:lvl w:ilvl="5" w:tentative="1">
      <w:start w:val="1"/>
      <w:numFmt w:val="lowerRoman"/>
      <w:lvlText w:val="%6."/>
      <w:lvlJc w:val="right"/>
      <w:pPr>
        <w:ind w:left="2960" w:hanging="420"/>
      </w:pPr>
    </w:lvl>
    <w:lvl w:ilvl="6" w:tentative="1">
      <w:start w:val="1"/>
      <w:numFmt w:val="decimal"/>
      <w:lvlText w:val="%7."/>
      <w:lvlJc w:val="left"/>
      <w:pPr>
        <w:ind w:left="3380" w:hanging="420"/>
      </w:pPr>
    </w:lvl>
    <w:lvl w:ilvl="7" w:tentative="1">
      <w:start w:val="1"/>
      <w:numFmt w:val="lowerLetter"/>
      <w:lvlText w:val="%8)"/>
      <w:lvlJc w:val="left"/>
      <w:pPr>
        <w:ind w:left="3800" w:hanging="420"/>
      </w:pPr>
    </w:lvl>
    <w:lvl w:ilvl="8" w:tentative="1">
      <w:start w:val="1"/>
      <w:numFmt w:val="lowerRoman"/>
      <w:lvlText w:val="%9."/>
      <w:lvlJc w:val="right"/>
      <w:pPr>
        <w:ind w:left="4220" w:hanging="420"/>
      </w:pPr>
    </w:lvl>
  </w:abstractNum>
  <w:abstractNum w:abstractNumId="1030299266">
    <w:nsid w:val="3D691E82"/>
    <w:multiLevelType w:val="multilevel"/>
    <w:tmpl w:val="3D691E82"/>
    <w:lvl w:ilvl="0" w:tentative="1">
      <w:start w:val="1"/>
      <w:numFmt w:val="decimal"/>
      <w:lvlText w:val="%1)"/>
      <w:lvlJc w:val="left"/>
      <w:pPr>
        <w:ind w:left="900" w:hanging="420"/>
      </w:pPr>
      <w:rPr>
        <w:rFonts w:hint="eastAsia"/>
      </w:rPr>
    </w:lvl>
    <w:lvl w:ilvl="1" w:tentative="1">
      <w:start w:val="1"/>
      <w:numFmt w:val="decimal"/>
      <w:pStyle w:val="123"/>
      <w:lvlText w:val="%2)"/>
      <w:lvlJc w:val="left"/>
      <w:pPr>
        <w:ind w:left="840" w:hanging="420"/>
      </w:pPr>
      <w:rPr>
        <w:rFonts w:ascii="Times New Roman" w:hAnsi="Times New Roman" w:cs="Times New Roman"/>
        <w:b w:val="0"/>
        <w:bCs w:val="0"/>
        <w:i w:val="0"/>
        <w:iCs w:val="0"/>
        <w:caps w:val="0"/>
        <w:smallCaps w:val="0"/>
        <w:strike w:val="0"/>
        <w:dstrike w:val="0"/>
        <w:color w:val="000000"/>
        <w:spacing w:val="0"/>
        <w:kern w:val="0"/>
        <w:position w:val="0"/>
        <w:u w:val="none"/>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66656011">
    <w:nsid w:val="576B650B"/>
    <w:multiLevelType w:val="multilevel"/>
    <w:tmpl w:val="576B650B"/>
    <w:lvl w:ilvl="0" w:tentative="1">
      <w:start w:val="1"/>
      <w:numFmt w:val="decimal"/>
      <w:lvlText w:val="（%1）"/>
      <w:lvlJc w:val="left"/>
      <w:pPr>
        <w:ind w:left="900" w:hanging="420"/>
      </w:pPr>
      <w:rPr>
        <w:rFonts w:hint="eastAsia"/>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pStyle w:val="135"/>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666083811">
    <w:nsid w:val="634E6BE3"/>
    <w:multiLevelType w:val="multilevel"/>
    <w:tmpl w:val="634E6BE3"/>
    <w:lvl w:ilvl="0" w:tentative="1">
      <w:start w:val="1"/>
      <w:numFmt w:val="decimal"/>
      <w:suff w:val="nothing"/>
      <w:lvlText w:val="%1）"/>
      <w:lvlJc w:val="left"/>
      <w:pPr>
        <w:ind w:left="988" w:hanging="4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36657625">
    <w:nsid w:val="67834AD9"/>
    <w:multiLevelType w:val="multilevel"/>
    <w:tmpl w:val="67834AD9"/>
    <w:lvl w:ilvl="0" w:tentative="1">
      <w:start w:val="1"/>
      <w:numFmt w:val="decimal"/>
      <w:lvlText w:val="2.24.%1"/>
      <w:lvlJc w:val="left"/>
      <w:pPr>
        <w:tabs>
          <w:tab w:val="left" w:pos="0"/>
        </w:tabs>
        <w:ind w:left="840" w:hanging="840"/>
      </w:pPr>
      <w:rPr>
        <w:rFonts w:hint="eastAsia"/>
      </w:rPr>
    </w:lvl>
    <w:lvl w:ilvl="1" w:tentative="1">
      <w:start w:val="1"/>
      <w:numFmt w:val="lowerLetter"/>
      <w:lvlText w:val="%2)"/>
      <w:lvlJc w:val="left"/>
      <w:pPr>
        <w:ind w:left="840" w:hanging="420"/>
      </w:pPr>
      <w:rPr>
        <w:rFonts w:hint="eastAsia"/>
      </w:rPr>
    </w:lvl>
    <w:lvl w:ilvl="2" w:tentative="1">
      <w:start w:val="1"/>
      <w:numFmt w:val="lowerRoman"/>
      <w:pStyle w:val="106"/>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896517395">
    <w:nsid w:val="356FC513"/>
    <w:multiLevelType w:val="singleLevel"/>
    <w:tmpl w:val="356FC513"/>
    <w:lvl w:ilvl="0" w:tentative="1">
      <w:start w:val="1"/>
      <w:numFmt w:val="decimalEnclosedCircleChinese"/>
      <w:suff w:val="nothing"/>
      <w:lvlText w:val="%1　"/>
      <w:lvlJc w:val="left"/>
      <w:pPr>
        <w:ind w:left="0" w:firstLine="400"/>
      </w:pPr>
      <w:rPr>
        <w:rFonts w:hint="eastAsia"/>
      </w:rPr>
    </w:lvl>
  </w:abstractNum>
  <w:abstractNum w:abstractNumId="1167552848">
    <w:nsid w:val="45977150"/>
    <w:multiLevelType w:val="multilevel"/>
    <w:tmpl w:val="45977150"/>
    <w:lvl w:ilvl="0" w:tentative="1">
      <w:start w:val="1"/>
      <w:numFmt w:val="decimal"/>
      <w:lvlText w:val="2.21.%1"/>
      <w:lvlJc w:val="left"/>
      <w:pPr>
        <w:tabs>
          <w:tab w:val="left" w:pos="0"/>
        </w:tabs>
        <w:ind w:left="840" w:hanging="840"/>
      </w:pPr>
      <w:rPr>
        <w:rFonts w:hint="eastAsia" w:ascii="宋体" w:hAnsi="宋体" w:eastAsia="宋体"/>
      </w:rPr>
    </w:lvl>
    <w:lvl w:ilvl="1" w:tentative="1">
      <w:start w:val="1"/>
      <w:numFmt w:val="lowerLetter"/>
      <w:pStyle w:val="99"/>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60204004">
    <w:nsid w:val="3F316DE4"/>
    <w:multiLevelType w:val="multilevel"/>
    <w:tmpl w:val="3F316DE4"/>
    <w:lvl w:ilvl="0" w:tentative="1">
      <w:start w:val="1"/>
      <w:numFmt w:val="decimal"/>
      <w:pStyle w:val="70"/>
      <w:lvlText w:val="2.1.%1"/>
      <w:lvlJc w:val="left"/>
      <w:pPr>
        <w:tabs>
          <w:tab w:val="left" w:pos="0"/>
        </w:tabs>
        <w:ind w:left="425" w:hanging="425"/>
      </w:pPr>
      <w:rPr>
        <w:rFonts w:hint="eastAsia"/>
      </w:rPr>
    </w:lvl>
    <w:lvl w:ilvl="1" w:tentative="1">
      <w:start w:val="1"/>
      <w:numFmt w:val="decimal"/>
      <w:lvlText w:val="2.%2 "/>
      <w:lvlJc w:val="left"/>
      <w:pPr>
        <w:tabs>
          <w:tab w:val="left" w:pos="0"/>
        </w:tabs>
        <w:ind w:left="567" w:hanging="567"/>
      </w:pPr>
      <w:rPr>
        <w:rFonts w:hint="eastAsia"/>
      </w:rPr>
    </w:lvl>
    <w:lvl w:ilvl="2" w:tentative="1">
      <w:start w:val="1"/>
      <w:numFmt w:val="decimal"/>
      <w:lvlText w:val="%1.%2.%3."/>
      <w:lvlJc w:val="left"/>
      <w:pPr>
        <w:tabs>
          <w:tab w:val="left" w:pos="0"/>
        </w:tabs>
        <w:ind w:left="709" w:hanging="709"/>
      </w:pPr>
      <w:rPr>
        <w:rFonts w:hint="eastAsia"/>
      </w:rPr>
    </w:lvl>
    <w:lvl w:ilvl="3" w:tentative="1">
      <w:start w:val="1"/>
      <w:numFmt w:val="decimal"/>
      <w:lvlText w:val="%1.%2.%3.%4."/>
      <w:lvlJc w:val="left"/>
      <w:pPr>
        <w:tabs>
          <w:tab w:val="left" w:pos="0"/>
        </w:tabs>
        <w:ind w:left="851" w:hanging="851"/>
      </w:pPr>
      <w:rPr>
        <w:rFonts w:hint="eastAsia"/>
      </w:rPr>
    </w:lvl>
    <w:lvl w:ilvl="4" w:tentative="1">
      <w:start w:val="1"/>
      <w:numFmt w:val="decimal"/>
      <w:lvlText w:val="%1.%2.%3.%4.%5."/>
      <w:lvlJc w:val="left"/>
      <w:pPr>
        <w:tabs>
          <w:tab w:val="left" w:pos="0"/>
        </w:tabs>
        <w:ind w:left="992" w:hanging="992"/>
      </w:pPr>
      <w:rPr>
        <w:rFonts w:hint="eastAsia"/>
      </w:rPr>
    </w:lvl>
    <w:lvl w:ilvl="5" w:tentative="1">
      <w:start w:val="1"/>
      <w:numFmt w:val="decimal"/>
      <w:lvlText w:val="%1.%2.%3.%4.%5.%6."/>
      <w:lvlJc w:val="left"/>
      <w:pPr>
        <w:tabs>
          <w:tab w:val="left" w:pos="0"/>
        </w:tabs>
        <w:ind w:left="1134" w:hanging="1134"/>
      </w:pPr>
      <w:rPr>
        <w:rFonts w:hint="eastAsia"/>
      </w:rPr>
    </w:lvl>
    <w:lvl w:ilvl="6" w:tentative="1">
      <w:start w:val="1"/>
      <w:numFmt w:val="decimal"/>
      <w:lvlText w:val="%1.%2.%3.%4.%5.%6.%7."/>
      <w:lvlJc w:val="left"/>
      <w:pPr>
        <w:tabs>
          <w:tab w:val="left" w:pos="0"/>
        </w:tabs>
        <w:ind w:left="1276" w:hanging="1276"/>
      </w:pPr>
      <w:rPr>
        <w:rFonts w:hint="eastAsia"/>
      </w:rPr>
    </w:lvl>
    <w:lvl w:ilvl="7" w:tentative="1">
      <w:start w:val="1"/>
      <w:numFmt w:val="decimal"/>
      <w:lvlText w:val="%1.%2.%3.%4.%5.%6.%7.%8."/>
      <w:lvlJc w:val="left"/>
      <w:pPr>
        <w:tabs>
          <w:tab w:val="left" w:pos="0"/>
        </w:tabs>
        <w:ind w:left="1418" w:hanging="1418"/>
      </w:pPr>
      <w:rPr>
        <w:rFonts w:hint="eastAsia"/>
      </w:rPr>
    </w:lvl>
    <w:lvl w:ilvl="8" w:tentative="1">
      <w:start w:val="1"/>
      <w:numFmt w:val="decimal"/>
      <w:lvlText w:val="%1.%2.%3.%4.%5.%6.%7.%8.%9."/>
      <w:lvlJc w:val="left"/>
      <w:pPr>
        <w:tabs>
          <w:tab w:val="left" w:pos="0"/>
        </w:tabs>
        <w:ind w:left="1559" w:hanging="1559"/>
      </w:pPr>
      <w:rPr>
        <w:rFonts w:hint="eastAsia"/>
      </w:rPr>
    </w:lvl>
  </w:abstractNum>
  <w:abstractNum w:abstractNumId="162939322">
    <w:nsid w:val="09B641BA"/>
    <w:multiLevelType w:val="multilevel"/>
    <w:tmpl w:val="09B641BA"/>
    <w:lvl w:ilvl="0" w:tentative="1">
      <w:start w:val="1"/>
      <w:numFmt w:val="japaneseCounting"/>
      <w:pStyle w:val="151"/>
      <w:lvlText w:val="%1、"/>
      <w:lvlJc w:val="left"/>
      <w:pPr>
        <w:ind w:left="982" w:hanging="500"/>
      </w:pPr>
      <w:rPr>
        <w:rFonts w:hint="default"/>
      </w:r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abstractNum w:abstractNumId="3245232811">
    <w:nsid w:val="C16E52AB"/>
    <w:multiLevelType w:val="singleLevel"/>
    <w:tmpl w:val="C16E52AB"/>
    <w:lvl w:ilvl="0" w:tentative="1">
      <w:start w:val="1"/>
      <w:numFmt w:val="decimalEnclosedCircleChinese"/>
      <w:suff w:val="nothing"/>
      <w:lvlText w:val="%1　"/>
      <w:lvlJc w:val="left"/>
      <w:pPr>
        <w:ind w:left="0" w:firstLine="400"/>
      </w:pPr>
      <w:rPr>
        <w:rFonts w:hint="eastAsia"/>
      </w:rPr>
    </w:lvl>
  </w:abstractNum>
  <w:abstractNum w:abstractNumId="2769666319">
    <w:nsid w:val="A515C10F"/>
    <w:multiLevelType w:val="singleLevel"/>
    <w:tmpl w:val="A515C10F"/>
    <w:lvl w:ilvl="0" w:tentative="1">
      <w:start w:val="1"/>
      <w:numFmt w:val="lowerLetter"/>
      <w:lvlText w:val="%1."/>
      <w:lvlJc w:val="left"/>
      <w:pPr>
        <w:ind w:left="425" w:hanging="425"/>
      </w:pPr>
      <w:rPr>
        <w:rFonts w:hint="default"/>
      </w:rPr>
    </w:lvl>
  </w:abstractNum>
  <w:abstractNum w:abstractNumId="1771195154">
    <w:nsid w:val="69924B12"/>
    <w:multiLevelType w:val="multilevel"/>
    <w:tmpl w:val="69924B12"/>
    <w:lvl w:ilvl="0" w:tentative="1">
      <w:start w:val="1"/>
      <w:numFmt w:val="decimal"/>
      <w:pStyle w:val="75"/>
      <w:lvlText w:val="%1."/>
      <w:lvlJc w:val="left"/>
      <w:pPr>
        <w:tabs>
          <w:tab w:val="left" w:pos="425"/>
        </w:tabs>
        <w:ind w:left="425" w:hanging="425"/>
      </w:pPr>
    </w:lvl>
    <w:lvl w:ilvl="1" w:tentative="1">
      <w:start w:val="1"/>
      <w:numFmt w:val="decimal"/>
      <w:lvlText w:val="%1.%2."/>
      <w:lvlJc w:val="left"/>
      <w:pPr>
        <w:tabs>
          <w:tab w:val="left" w:pos="567"/>
        </w:tabs>
        <w:ind w:left="567" w:hanging="567"/>
      </w:pPr>
    </w:lvl>
    <w:lvl w:ilvl="2" w:tentative="1">
      <w:start w:val="1"/>
      <w:numFmt w:val="decimal"/>
      <w:lvlText w:val="%1.%2.%3."/>
      <w:lvlJc w:val="left"/>
      <w:pPr>
        <w:tabs>
          <w:tab w:val="left" w:pos="709"/>
        </w:tabs>
        <w:ind w:left="709" w:hanging="709"/>
      </w:pPr>
    </w:lvl>
    <w:lvl w:ilvl="3" w:tentative="1">
      <w:start w:val="1"/>
      <w:numFmt w:val="decimal"/>
      <w:lvlText w:val="%1.%2.%3.%4."/>
      <w:lvlJc w:val="left"/>
      <w:pPr>
        <w:tabs>
          <w:tab w:val="left" w:pos="851"/>
        </w:tabs>
        <w:ind w:left="851" w:hanging="851"/>
      </w:pPr>
    </w:lvl>
    <w:lvl w:ilvl="4" w:tentative="1">
      <w:start w:val="1"/>
      <w:numFmt w:val="decimal"/>
      <w:lvlText w:val="%1.%2.%3.%4.%5."/>
      <w:lvlJc w:val="left"/>
      <w:pPr>
        <w:tabs>
          <w:tab w:val="left" w:pos="992"/>
        </w:tabs>
        <w:ind w:left="992" w:hanging="992"/>
      </w:pPr>
    </w:lvl>
    <w:lvl w:ilvl="5" w:tentative="1">
      <w:start w:val="1"/>
      <w:numFmt w:val="decimal"/>
      <w:lvlText w:val="%1.%2.%3.%4.%5.%6."/>
      <w:lvlJc w:val="left"/>
      <w:pPr>
        <w:tabs>
          <w:tab w:val="left" w:pos="1134"/>
        </w:tabs>
        <w:ind w:left="1134" w:hanging="1134"/>
      </w:pPr>
    </w:lvl>
    <w:lvl w:ilvl="6" w:tentative="1">
      <w:start w:val="1"/>
      <w:numFmt w:val="decimal"/>
      <w:lvlText w:val="%1.%2.%3.%4.%5.%6.%7."/>
      <w:lvlJc w:val="left"/>
      <w:pPr>
        <w:tabs>
          <w:tab w:val="left" w:pos="1276"/>
        </w:tabs>
        <w:ind w:left="1276" w:hanging="1276"/>
      </w:pPr>
    </w:lvl>
    <w:lvl w:ilvl="7" w:tentative="1">
      <w:start w:val="1"/>
      <w:numFmt w:val="decimal"/>
      <w:lvlText w:val="%1.%2.%3.%4.%5.%6.%7.%8."/>
      <w:lvlJc w:val="left"/>
      <w:pPr>
        <w:tabs>
          <w:tab w:val="left" w:pos="1418"/>
        </w:tabs>
        <w:ind w:left="1418" w:hanging="1418"/>
      </w:pPr>
    </w:lvl>
    <w:lvl w:ilvl="8" w:tentative="1">
      <w:start w:val="1"/>
      <w:numFmt w:val="decimal"/>
      <w:lvlText w:val="%1.%2.%3.%4.%5.%6.%7.%8.%9."/>
      <w:lvlJc w:val="left"/>
      <w:pPr>
        <w:tabs>
          <w:tab w:val="left" w:pos="1559"/>
        </w:tabs>
        <w:ind w:left="1559" w:hanging="1559"/>
      </w:pPr>
    </w:lvl>
  </w:abstractNum>
  <w:abstractNum w:abstractNumId="1024525308">
    <w:nsid w:val="3D1103FC"/>
    <w:multiLevelType w:val="multilevel"/>
    <w:tmpl w:val="3D1103FC"/>
    <w:lvl w:ilvl="0" w:tentative="1">
      <w:start w:val="1"/>
      <w:numFmt w:val="decimal"/>
      <w:lvlText w:val="%1)"/>
      <w:lvlJc w:val="left"/>
      <w:pPr>
        <w:ind w:left="860" w:hanging="420"/>
      </w:pPr>
    </w:lvl>
    <w:lvl w:ilvl="1" w:tentative="1">
      <w:start w:val="1"/>
      <w:numFmt w:val="lowerLetter"/>
      <w:lvlText w:val="%2)"/>
      <w:lvlJc w:val="left"/>
      <w:pPr>
        <w:ind w:left="1280" w:hanging="420"/>
      </w:pPr>
    </w:lvl>
    <w:lvl w:ilvl="2" w:tentative="1">
      <w:start w:val="1"/>
      <w:numFmt w:val="lowerRoman"/>
      <w:lvlText w:val="%3."/>
      <w:lvlJc w:val="right"/>
      <w:pPr>
        <w:ind w:left="1700" w:hanging="420"/>
      </w:pPr>
    </w:lvl>
    <w:lvl w:ilvl="3" w:tentative="1">
      <w:start w:val="1"/>
      <w:numFmt w:val="decimal"/>
      <w:lvlText w:val="%4."/>
      <w:lvlJc w:val="left"/>
      <w:pPr>
        <w:ind w:left="2120" w:hanging="420"/>
      </w:pPr>
    </w:lvl>
    <w:lvl w:ilvl="4" w:tentative="1">
      <w:start w:val="1"/>
      <w:numFmt w:val="lowerLetter"/>
      <w:lvlText w:val="%5)"/>
      <w:lvlJc w:val="left"/>
      <w:pPr>
        <w:ind w:left="2540" w:hanging="420"/>
      </w:pPr>
    </w:lvl>
    <w:lvl w:ilvl="5" w:tentative="1">
      <w:start w:val="1"/>
      <w:numFmt w:val="lowerRoman"/>
      <w:lvlText w:val="%6."/>
      <w:lvlJc w:val="right"/>
      <w:pPr>
        <w:ind w:left="2960" w:hanging="420"/>
      </w:pPr>
    </w:lvl>
    <w:lvl w:ilvl="6" w:tentative="1">
      <w:start w:val="1"/>
      <w:numFmt w:val="decimal"/>
      <w:lvlText w:val="%7."/>
      <w:lvlJc w:val="left"/>
      <w:pPr>
        <w:ind w:left="3380" w:hanging="420"/>
      </w:pPr>
    </w:lvl>
    <w:lvl w:ilvl="7" w:tentative="1">
      <w:start w:val="1"/>
      <w:numFmt w:val="lowerLetter"/>
      <w:lvlText w:val="%8)"/>
      <w:lvlJc w:val="left"/>
      <w:pPr>
        <w:ind w:left="3800" w:hanging="420"/>
      </w:pPr>
    </w:lvl>
    <w:lvl w:ilvl="8" w:tentative="1">
      <w:start w:val="1"/>
      <w:numFmt w:val="lowerRoman"/>
      <w:lvlText w:val="%9."/>
      <w:lvlJc w:val="right"/>
      <w:pPr>
        <w:ind w:left="4220" w:hanging="420"/>
      </w:pPr>
    </w:lvl>
  </w:abstractNum>
  <w:abstractNum w:abstractNumId="1340426689">
    <w:nsid w:val="4FE549C1"/>
    <w:multiLevelType w:val="multilevel"/>
    <w:tmpl w:val="4FE549C1"/>
    <w:lvl w:ilvl="0" w:tentative="1">
      <w:start w:val="1"/>
      <w:numFmt w:val="decimal"/>
      <w:lvlText w:val="%1)"/>
      <w:lvlJc w:val="left"/>
      <w:pPr>
        <w:ind w:left="1080" w:hanging="420"/>
      </w:pPr>
    </w:lvl>
    <w:lvl w:ilvl="1" w:tentative="1">
      <w:start w:val="1"/>
      <w:numFmt w:val="lowerLetter"/>
      <w:lvlText w:val="%2)"/>
      <w:lvlJc w:val="left"/>
      <w:pPr>
        <w:ind w:left="1500" w:hanging="420"/>
      </w:pPr>
    </w:lvl>
    <w:lvl w:ilvl="2" w:tentative="1">
      <w:start w:val="1"/>
      <w:numFmt w:val="lowerRoman"/>
      <w:lvlText w:val="%3."/>
      <w:lvlJc w:val="right"/>
      <w:pPr>
        <w:ind w:left="1920" w:hanging="420"/>
      </w:pPr>
    </w:lvl>
    <w:lvl w:ilvl="3" w:tentative="1">
      <w:start w:val="1"/>
      <w:numFmt w:val="decimal"/>
      <w:lvlText w:val="%4."/>
      <w:lvlJc w:val="left"/>
      <w:pPr>
        <w:ind w:left="2340" w:hanging="420"/>
      </w:pPr>
    </w:lvl>
    <w:lvl w:ilvl="4" w:tentative="1">
      <w:start w:val="1"/>
      <w:numFmt w:val="lowerLetter"/>
      <w:lvlText w:val="%5)"/>
      <w:lvlJc w:val="left"/>
      <w:pPr>
        <w:ind w:left="2760" w:hanging="420"/>
      </w:pPr>
    </w:lvl>
    <w:lvl w:ilvl="5" w:tentative="1">
      <w:start w:val="1"/>
      <w:numFmt w:val="lowerRoman"/>
      <w:lvlText w:val="%6."/>
      <w:lvlJc w:val="right"/>
      <w:pPr>
        <w:ind w:left="3180" w:hanging="420"/>
      </w:pPr>
    </w:lvl>
    <w:lvl w:ilvl="6" w:tentative="1">
      <w:start w:val="1"/>
      <w:numFmt w:val="decimal"/>
      <w:lvlText w:val="%7."/>
      <w:lvlJc w:val="left"/>
      <w:pPr>
        <w:ind w:left="3600" w:hanging="420"/>
      </w:pPr>
    </w:lvl>
    <w:lvl w:ilvl="7" w:tentative="1">
      <w:start w:val="1"/>
      <w:numFmt w:val="lowerLetter"/>
      <w:lvlText w:val="%8)"/>
      <w:lvlJc w:val="left"/>
      <w:pPr>
        <w:ind w:left="4020" w:hanging="420"/>
      </w:pPr>
    </w:lvl>
    <w:lvl w:ilvl="8" w:tentative="1">
      <w:start w:val="1"/>
      <w:numFmt w:val="lowerRoman"/>
      <w:lvlText w:val="%9."/>
      <w:lvlJc w:val="right"/>
      <w:pPr>
        <w:ind w:left="4440" w:hanging="420"/>
      </w:pPr>
    </w:lvl>
  </w:abstractNum>
  <w:abstractNum w:abstractNumId="322927245">
    <w:nsid w:val="133F7A8D"/>
    <w:multiLevelType w:val="multilevel"/>
    <w:tmpl w:val="133F7A8D"/>
    <w:lvl w:ilvl="0" w:tentative="1">
      <w:start w:val="1"/>
      <w:numFmt w:val="decimal"/>
      <w:pStyle w:val="115"/>
      <w:lvlText w:val="%1."/>
      <w:lvlJc w:val="left"/>
      <w:pPr>
        <w:tabs>
          <w:tab w:val="left" w:pos="425"/>
        </w:tabs>
        <w:ind w:left="425" w:hanging="425"/>
      </w:pPr>
      <w:rPr>
        <w:rFonts w:hint="eastAsia"/>
      </w:rPr>
    </w:lvl>
    <w:lvl w:ilvl="1" w:tentative="1">
      <w:start w:val="1"/>
      <w:numFmt w:val="decimal"/>
      <w:lvlText w:val="%1.%2."/>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4%1.%2.%3..%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3330597679">
    <w:nsid w:val="C684E32F"/>
    <w:multiLevelType w:val="singleLevel"/>
    <w:tmpl w:val="C684E32F"/>
    <w:lvl w:ilvl="0" w:tentative="1">
      <w:start w:val="1"/>
      <w:numFmt w:val="lowerLetter"/>
      <w:lvlText w:val="%1."/>
      <w:lvlJc w:val="left"/>
      <w:pPr>
        <w:ind w:left="425" w:hanging="425"/>
      </w:pPr>
      <w:rPr>
        <w:rFonts w:hint="default"/>
      </w:rPr>
    </w:lvl>
  </w:abstractNum>
  <w:abstractNum w:abstractNumId="769467727">
    <w:nsid w:val="2DDD254F"/>
    <w:multiLevelType w:val="singleLevel"/>
    <w:tmpl w:val="2DDD254F"/>
    <w:lvl w:ilvl="0" w:tentative="1">
      <w:start w:val="1"/>
      <w:numFmt w:val="decimalEnclosedCircleChinese"/>
      <w:suff w:val="nothing"/>
      <w:lvlText w:val="%1　"/>
      <w:lvlJc w:val="left"/>
      <w:pPr>
        <w:ind w:left="0" w:firstLine="400"/>
      </w:pPr>
      <w:rPr>
        <w:rFonts w:hint="eastAsia"/>
      </w:rPr>
    </w:lvl>
  </w:abstractNum>
  <w:abstractNum w:abstractNumId="2699790765">
    <w:nsid w:val="A0EB89AD"/>
    <w:multiLevelType w:val="singleLevel"/>
    <w:tmpl w:val="A0EB89AD"/>
    <w:lvl w:ilvl="0" w:tentative="1">
      <w:start w:val="1"/>
      <w:numFmt w:val="decimal"/>
      <w:suff w:val="nothing"/>
      <w:lvlText w:val="%1）"/>
      <w:lvlJc w:val="left"/>
    </w:lvl>
  </w:abstractNum>
  <w:abstractNum w:abstractNumId="846286686">
    <w:nsid w:val="32714F5E"/>
    <w:multiLevelType w:val="multilevel"/>
    <w:tmpl w:val="32714F5E"/>
    <w:lvl w:ilvl="0" w:tentative="1">
      <w:start w:val="1"/>
      <w:numFmt w:val="chineseCountingThousand"/>
      <w:suff w:val="nothing"/>
      <w:lvlText w:val="第%1章"/>
      <w:lvlJc w:val="left"/>
      <w:pPr>
        <w:ind w:left="0" w:firstLine="0"/>
      </w:pPr>
      <w:rPr>
        <w:rFonts w:hint="eastAsia" w:ascii="仿宋_GB2312" w:eastAsia="仿宋_GB2312"/>
        <w:sz w:val="44"/>
      </w:rPr>
    </w:lvl>
    <w:lvl w:ilvl="1" w:tentative="1">
      <w:start w:val="1"/>
      <w:numFmt w:val="none"/>
      <w:suff w:val="nothing"/>
      <w:lvlText w:val=""/>
      <w:lvlJc w:val="left"/>
      <w:pPr>
        <w:ind w:left="0" w:firstLine="0"/>
      </w:pPr>
      <w:rPr>
        <w:rFonts w:hint="eastAsia"/>
      </w:rPr>
    </w:lvl>
    <w:lvl w:ilvl="2" w:tentative="1">
      <w:start w:val="1"/>
      <w:numFmt w:val="none"/>
      <w:suff w:val="nothing"/>
      <w:lvlText w:val=""/>
      <w:lvlJc w:val="left"/>
      <w:pPr>
        <w:ind w:left="0" w:firstLine="0"/>
      </w:pPr>
      <w:rPr>
        <w:rFonts w:hint="eastAsia"/>
      </w:rPr>
    </w:lvl>
    <w:lvl w:ilvl="3" w:tentative="1">
      <w:start w:val="1"/>
      <w:numFmt w:val="none"/>
      <w:suff w:val="nothing"/>
      <w:lvlText w:val=""/>
      <w:lvlJc w:val="left"/>
      <w:pPr>
        <w:ind w:left="0" w:firstLine="0"/>
      </w:pPr>
      <w:rPr>
        <w:rFonts w:hint="eastAsia"/>
      </w:rPr>
    </w:lvl>
    <w:lvl w:ilvl="4" w:tentative="1">
      <w:start w:val="1"/>
      <w:numFmt w:val="none"/>
      <w:suff w:val="nothing"/>
      <w:lvlText w:val=""/>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205455480">
    <w:nsid w:val="0C3F0078"/>
    <w:multiLevelType w:val="multilevel"/>
    <w:tmpl w:val="0C3F0078"/>
    <w:lvl w:ilvl="0" w:tentative="1">
      <w:start w:val="1"/>
      <w:numFmt w:val="decimal"/>
      <w:pStyle w:val="114"/>
      <w:lvlText w:val="%1."/>
      <w:lvlJc w:val="left"/>
      <w:pPr>
        <w:tabs>
          <w:tab w:val="left" w:pos="425"/>
        </w:tabs>
        <w:ind w:left="425" w:hanging="425"/>
      </w:pPr>
      <w:rPr>
        <w:rFonts w:hint="eastAsia"/>
      </w:rPr>
    </w:lvl>
    <w:lvl w:ilvl="1" w:tentative="1">
      <w:start w:val="1"/>
      <w:numFmt w:val="decimal"/>
      <w:lvlText w:val="%1.%2."/>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num w:numId="1">
    <w:abstractNumId w:val="1060204004"/>
  </w:num>
  <w:num w:numId="2">
    <w:abstractNumId w:val="1771195154"/>
  </w:num>
  <w:num w:numId="3">
    <w:abstractNumId w:val="1167552848"/>
  </w:num>
  <w:num w:numId="4">
    <w:abstractNumId w:val="1736657625"/>
  </w:num>
  <w:num w:numId="5">
    <w:abstractNumId w:val="205455480"/>
  </w:num>
  <w:num w:numId="6">
    <w:abstractNumId w:val="322927245"/>
  </w:num>
  <w:num w:numId="7">
    <w:abstractNumId w:val="1030299266"/>
  </w:num>
  <w:num w:numId="8">
    <w:abstractNumId w:val="502748078"/>
  </w:num>
  <w:num w:numId="9">
    <w:abstractNumId w:val="1466656011"/>
  </w:num>
  <w:num w:numId="10">
    <w:abstractNumId w:val="966349657"/>
  </w:num>
  <w:num w:numId="11">
    <w:abstractNumId w:val="162939322"/>
  </w:num>
  <w:num w:numId="12">
    <w:abstractNumId w:val="1666083811"/>
  </w:num>
  <w:num w:numId="13">
    <w:abstractNumId w:val="3294745873"/>
    <w:lvlOverride w:ilvl="0">
      <w:startOverride w:val="1"/>
    </w:lvlOverride>
  </w:num>
  <w:num w:numId="14">
    <w:abstractNumId w:val="3245232811"/>
    <w:lvlOverride w:ilvl="0">
      <w:startOverride w:val="1"/>
    </w:lvlOverride>
  </w:num>
  <w:num w:numId="15">
    <w:abstractNumId w:val="3330597679"/>
    <w:lvlOverride w:ilvl="0">
      <w:startOverride w:val="1"/>
    </w:lvlOverride>
  </w:num>
  <w:num w:numId="16">
    <w:abstractNumId w:val="2769666319"/>
    <w:lvlOverride w:ilvl="0">
      <w:startOverride w:val="1"/>
    </w:lvlOverride>
  </w:num>
  <w:num w:numId="17">
    <w:abstractNumId w:val="1019284376"/>
  </w:num>
  <w:num w:numId="18">
    <w:abstractNumId w:val="1000814005"/>
  </w:num>
  <w:num w:numId="19">
    <w:abstractNumId w:val="1340426689"/>
  </w:num>
  <w:num w:numId="20">
    <w:abstractNumId w:val="1022587972"/>
  </w:num>
  <w:num w:numId="21">
    <w:abstractNumId w:val="1024525308"/>
  </w:num>
  <w:num w:numId="22">
    <w:abstractNumId w:val="1975330382"/>
  </w:num>
  <w:num w:numId="23">
    <w:abstractNumId w:val="2699790765"/>
  </w:num>
  <w:num w:numId="24">
    <w:abstractNumId w:val="896517395"/>
  </w:num>
  <w:num w:numId="25">
    <w:abstractNumId w:val="769467727"/>
  </w:num>
  <w:num w:numId="26">
    <w:abstractNumId w:val="2797938631"/>
    <w:lvlOverride w:ilvl="0">
      <w:startOverride w:val="1"/>
    </w:lvlOverride>
  </w:num>
  <w:num w:numId="27">
    <w:abstractNumId w:val="8462866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trackRevisions w:val="1"/>
  <w:documentProtection w:enforcement="0"/>
  <w:defaultTabStop w:val="0"/>
  <w:drawingGridHorizontalSpacing w:val="11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7786B"/>
    <w:rsid w:val="000023FF"/>
    <w:rsid w:val="00003A5D"/>
    <w:rsid w:val="00004552"/>
    <w:rsid w:val="000111C2"/>
    <w:rsid w:val="000122AE"/>
    <w:rsid w:val="00017C0B"/>
    <w:rsid w:val="000205ED"/>
    <w:rsid w:val="0002512F"/>
    <w:rsid w:val="00026B62"/>
    <w:rsid w:val="00031A25"/>
    <w:rsid w:val="00035459"/>
    <w:rsid w:val="000405F4"/>
    <w:rsid w:val="0004103C"/>
    <w:rsid w:val="00042BE6"/>
    <w:rsid w:val="00042CCF"/>
    <w:rsid w:val="00043682"/>
    <w:rsid w:val="00043C2F"/>
    <w:rsid w:val="00045E06"/>
    <w:rsid w:val="0005159E"/>
    <w:rsid w:val="00056CA3"/>
    <w:rsid w:val="00056E0D"/>
    <w:rsid w:val="0005703B"/>
    <w:rsid w:val="00057F56"/>
    <w:rsid w:val="00064986"/>
    <w:rsid w:val="000678FA"/>
    <w:rsid w:val="00072D46"/>
    <w:rsid w:val="0007359E"/>
    <w:rsid w:val="00074FCA"/>
    <w:rsid w:val="00075CBA"/>
    <w:rsid w:val="000805E4"/>
    <w:rsid w:val="000817BE"/>
    <w:rsid w:val="000827E3"/>
    <w:rsid w:val="000874C5"/>
    <w:rsid w:val="00090630"/>
    <w:rsid w:val="00091A72"/>
    <w:rsid w:val="000926BE"/>
    <w:rsid w:val="00095E12"/>
    <w:rsid w:val="0009776D"/>
    <w:rsid w:val="00097BCB"/>
    <w:rsid w:val="000A00C9"/>
    <w:rsid w:val="000A1316"/>
    <w:rsid w:val="000A17F8"/>
    <w:rsid w:val="000A1869"/>
    <w:rsid w:val="000A229A"/>
    <w:rsid w:val="000B1FAA"/>
    <w:rsid w:val="000B459F"/>
    <w:rsid w:val="000B461C"/>
    <w:rsid w:val="000B5316"/>
    <w:rsid w:val="000B56B9"/>
    <w:rsid w:val="000C032F"/>
    <w:rsid w:val="000C0B05"/>
    <w:rsid w:val="000C0ECF"/>
    <w:rsid w:val="000C27FB"/>
    <w:rsid w:val="000C4B43"/>
    <w:rsid w:val="000D28AD"/>
    <w:rsid w:val="000D3C4A"/>
    <w:rsid w:val="000D45A3"/>
    <w:rsid w:val="000E1590"/>
    <w:rsid w:val="000E2472"/>
    <w:rsid w:val="000E58D1"/>
    <w:rsid w:val="000E67F9"/>
    <w:rsid w:val="000F1FE9"/>
    <w:rsid w:val="000F41EC"/>
    <w:rsid w:val="000F436B"/>
    <w:rsid w:val="000F4C41"/>
    <w:rsid w:val="000F5878"/>
    <w:rsid w:val="000F7B57"/>
    <w:rsid w:val="0010175A"/>
    <w:rsid w:val="00105BFF"/>
    <w:rsid w:val="0010678C"/>
    <w:rsid w:val="0010740C"/>
    <w:rsid w:val="001120B6"/>
    <w:rsid w:val="00112BDD"/>
    <w:rsid w:val="001143DD"/>
    <w:rsid w:val="00125A85"/>
    <w:rsid w:val="00126170"/>
    <w:rsid w:val="00130F60"/>
    <w:rsid w:val="00133816"/>
    <w:rsid w:val="001353D7"/>
    <w:rsid w:val="001364A1"/>
    <w:rsid w:val="00136551"/>
    <w:rsid w:val="00140C06"/>
    <w:rsid w:val="00141240"/>
    <w:rsid w:val="00151110"/>
    <w:rsid w:val="00152FC5"/>
    <w:rsid w:val="00153553"/>
    <w:rsid w:val="00155053"/>
    <w:rsid w:val="00156294"/>
    <w:rsid w:val="00156963"/>
    <w:rsid w:val="001635DD"/>
    <w:rsid w:val="001648E3"/>
    <w:rsid w:val="0016507B"/>
    <w:rsid w:val="00166203"/>
    <w:rsid w:val="00170494"/>
    <w:rsid w:val="00171511"/>
    <w:rsid w:val="001715F4"/>
    <w:rsid w:val="00172B10"/>
    <w:rsid w:val="0017453C"/>
    <w:rsid w:val="001770E1"/>
    <w:rsid w:val="00177776"/>
    <w:rsid w:val="00181A6B"/>
    <w:rsid w:val="00182733"/>
    <w:rsid w:val="00191779"/>
    <w:rsid w:val="001931E3"/>
    <w:rsid w:val="00193291"/>
    <w:rsid w:val="001957E1"/>
    <w:rsid w:val="001B0EDE"/>
    <w:rsid w:val="001B11F8"/>
    <w:rsid w:val="001B1973"/>
    <w:rsid w:val="001B1E87"/>
    <w:rsid w:val="001B2ADA"/>
    <w:rsid w:val="001B3A45"/>
    <w:rsid w:val="001B5216"/>
    <w:rsid w:val="001C799F"/>
    <w:rsid w:val="001D0DAD"/>
    <w:rsid w:val="001D175D"/>
    <w:rsid w:val="001D1C72"/>
    <w:rsid w:val="001D4109"/>
    <w:rsid w:val="001D4C35"/>
    <w:rsid w:val="001D7993"/>
    <w:rsid w:val="001E2CD9"/>
    <w:rsid w:val="001E6E76"/>
    <w:rsid w:val="001E757B"/>
    <w:rsid w:val="001F1BED"/>
    <w:rsid w:val="001F6810"/>
    <w:rsid w:val="001F7A15"/>
    <w:rsid w:val="0020005E"/>
    <w:rsid w:val="00202C29"/>
    <w:rsid w:val="00202C93"/>
    <w:rsid w:val="002039FA"/>
    <w:rsid w:val="00206A13"/>
    <w:rsid w:val="0021713F"/>
    <w:rsid w:val="0022610D"/>
    <w:rsid w:val="0022656A"/>
    <w:rsid w:val="00233769"/>
    <w:rsid w:val="002372D5"/>
    <w:rsid w:val="0024301D"/>
    <w:rsid w:val="00245478"/>
    <w:rsid w:val="00246402"/>
    <w:rsid w:val="00250017"/>
    <w:rsid w:val="00254702"/>
    <w:rsid w:val="002606A2"/>
    <w:rsid w:val="00262CB6"/>
    <w:rsid w:val="00264324"/>
    <w:rsid w:val="002700DB"/>
    <w:rsid w:val="00273410"/>
    <w:rsid w:val="002753C3"/>
    <w:rsid w:val="00276DC2"/>
    <w:rsid w:val="0028311B"/>
    <w:rsid w:val="00284136"/>
    <w:rsid w:val="00285091"/>
    <w:rsid w:val="002857BC"/>
    <w:rsid w:val="00287687"/>
    <w:rsid w:val="002921D1"/>
    <w:rsid w:val="0029419C"/>
    <w:rsid w:val="002A0159"/>
    <w:rsid w:val="002A1F4F"/>
    <w:rsid w:val="002A38EC"/>
    <w:rsid w:val="002A458E"/>
    <w:rsid w:val="002A6A5B"/>
    <w:rsid w:val="002B0417"/>
    <w:rsid w:val="002B11D6"/>
    <w:rsid w:val="002B500D"/>
    <w:rsid w:val="002B619F"/>
    <w:rsid w:val="002B6F5B"/>
    <w:rsid w:val="002B7B0C"/>
    <w:rsid w:val="002C0C82"/>
    <w:rsid w:val="002C1705"/>
    <w:rsid w:val="002C1C61"/>
    <w:rsid w:val="002C5A63"/>
    <w:rsid w:val="002C693A"/>
    <w:rsid w:val="002C6981"/>
    <w:rsid w:val="002D1A7F"/>
    <w:rsid w:val="002D1E77"/>
    <w:rsid w:val="002D21EB"/>
    <w:rsid w:val="002D4102"/>
    <w:rsid w:val="002D52A0"/>
    <w:rsid w:val="002D5884"/>
    <w:rsid w:val="002D61FB"/>
    <w:rsid w:val="002D6261"/>
    <w:rsid w:val="002E26AB"/>
    <w:rsid w:val="002E308B"/>
    <w:rsid w:val="002E475E"/>
    <w:rsid w:val="002E507D"/>
    <w:rsid w:val="002F1C11"/>
    <w:rsid w:val="002F3B9B"/>
    <w:rsid w:val="00300DB7"/>
    <w:rsid w:val="00302F03"/>
    <w:rsid w:val="003032C3"/>
    <w:rsid w:val="00310B2D"/>
    <w:rsid w:val="0031228C"/>
    <w:rsid w:val="00316012"/>
    <w:rsid w:val="003177FA"/>
    <w:rsid w:val="00321002"/>
    <w:rsid w:val="003250DF"/>
    <w:rsid w:val="00326995"/>
    <w:rsid w:val="00326BF4"/>
    <w:rsid w:val="00332C14"/>
    <w:rsid w:val="00333A24"/>
    <w:rsid w:val="00337401"/>
    <w:rsid w:val="00342851"/>
    <w:rsid w:val="003428A3"/>
    <w:rsid w:val="003469C9"/>
    <w:rsid w:val="00347384"/>
    <w:rsid w:val="00347C4E"/>
    <w:rsid w:val="00347F05"/>
    <w:rsid w:val="003506E4"/>
    <w:rsid w:val="00352D00"/>
    <w:rsid w:val="003530AC"/>
    <w:rsid w:val="00354DB3"/>
    <w:rsid w:val="00355E32"/>
    <w:rsid w:val="00356BC9"/>
    <w:rsid w:val="003570DF"/>
    <w:rsid w:val="00357386"/>
    <w:rsid w:val="003609C5"/>
    <w:rsid w:val="003618CC"/>
    <w:rsid w:val="0036455D"/>
    <w:rsid w:val="00365ACA"/>
    <w:rsid w:val="00370E6D"/>
    <w:rsid w:val="00372C06"/>
    <w:rsid w:val="00375252"/>
    <w:rsid w:val="003758D5"/>
    <w:rsid w:val="003759F4"/>
    <w:rsid w:val="003775A9"/>
    <w:rsid w:val="0038097A"/>
    <w:rsid w:val="00381B87"/>
    <w:rsid w:val="0038267C"/>
    <w:rsid w:val="00383A08"/>
    <w:rsid w:val="00384306"/>
    <w:rsid w:val="00384AA6"/>
    <w:rsid w:val="00391C97"/>
    <w:rsid w:val="00397AC2"/>
    <w:rsid w:val="003A1388"/>
    <w:rsid w:val="003B15B6"/>
    <w:rsid w:val="003B3EEF"/>
    <w:rsid w:val="003B51D5"/>
    <w:rsid w:val="003D53DD"/>
    <w:rsid w:val="003D6C78"/>
    <w:rsid w:val="003D6EAA"/>
    <w:rsid w:val="003E0637"/>
    <w:rsid w:val="003E20CE"/>
    <w:rsid w:val="003E38CB"/>
    <w:rsid w:val="003E454F"/>
    <w:rsid w:val="003E63D7"/>
    <w:rsid w:val="003E6D81"/>
    <w:rsid w:val="003F28A4"/>
    <w:rsid w:val="003F2D41"/>
    <w:rsid w:val="003F3148"/>
    <w:rsid w:val="003F3A05"/>
    <w:rsid w:val="003F5A4B"/>
    <w:rsid w:val="003F7879"/>
    <w:rsid w:val="004052D2"/>
    <w:rsid w:val="0041154E"/>
    <w:rsid w:val="00413B36"/>
    <w:rsid w:val="00420D4A"/>
    <w:rsid w:val="00420D9B"/>
    <w:rsid w:val="0042507E"/>
    <w:rsid w:val="0042559A"/>
    <w:rsid w:val="00426566"/>
    <w:rsid w:val="00432F1D"/>
    <w:rsid w:val="00434A07"/>
    <w:rsid w:val="004350C4"/>
    <w:rsid w:val="004352A0"/>
    <w:rsid w:val="004353A2"/>
    <w:rsid w:val="00437BAA"/>
    <w:rsid w:val="00437BE5"/>
    <w:rsid w:val="00443009"/>
    <w:rsid w:val="004479A9"/>
    <w:rsid w:val="00447F1E"/>
    <w:rsid w:val="00450AEA"/>
    <w:rsid w:val="004511E2"/>
    <w:rsid w:val="00451F75"/>
    <w:rsid w:val="00461DAF"/>
    <w:rsid w:val="00462ED2"/>
    <w:rsid w:val="0046395C"/>
    <w:rsid w:val="004643B9"/>
    <w:rsid w:val="00464E5E"/>
    <w:rsid w:val="00473748"/>
    <w:rsid w:val="00474F84"/>
    <w:rsid w:val="00484039"/>
    <w:rsid w:val="00485B89"/>
    <w:rsid w:val="004911AE"/>
    <w:rsid w:val="0049266A"/>
    <w:rsid w:val="004935F2"/>
    <w:rsid w:val="00493920"/>
    <w:rsid w:val="00494150"/>
    <w:rsid w:val="00495F13"/>
    <w:rsid w:val="004B101A"/>
    <w:rsid w:val="004B2699"/>
    <w:rsid w:val="004B6167"/>
    <w:rsid w:val="004B7F2C"/>
    <w:rsid w:val="004C13DE"/>
    <w:rsid w:val="004C1E96"/>
    <w:rsid w:val="004C3071"/>
    <w:rsid w:val="004C5363"/>
    <w:rsid w:val="004C7921"/>
    <w:rsid w:val="004C7B62"/>
    <w:rsid w:val="004D01FE"/>
    <w:rsid w:val="004D0364"/>
    <w:rsid w:val="004D06F8"/>
    <w:rsid w:val="004D271F"/>
    <w:rsid w:val="004D27C7"/>
    <w:rsid w:val="004D667C"/>
    <w:rsid w:val="004D676C"/>
    <w:rsid w:val="004E1F8D"/>
    <w:rsid w:val="004E26A0"/>
    <w:rsid w:val="004E3C58"/>
    <w:rsid w:val="004E3E0A"/>
    <w:rsid w:val="004E3E67"/>
    <w:rsid w:val="004E4EFF"/>
    <w:rsid w:val="004F3D1F"/>
    <w:rsid w:val="005046AD"/>
    <w:rsid w:val="00505F66"/>
    <w:rsid w:val="00506CFF"/>
    <w:rsid w:val="00511225"/>
    <w:rsid w:val="00513867"/>
    <w:rsid w:val="00513EF7"/>
    <w:rsid w:val="0051679B"/>
    <w:rsid w:val="005175E1"/>
    <w:rsid w:val="00520624"/>
    <w:rsid w:val="00523FB1"/>
    <w:rsid w:val="0052504A"/>
    <w:rsid w:val="00525576"/>
    <w:rsid w:val="00525895"/>
    <w:rsid w:val="0052785D"/>
    <w:rsid w:val="00527E75"/>
    <w:rsid w:val="00530AEA"/>
    <w:rsid w:val="00533A1E"/>
    <w:rsid w:val="00534339"/>
    <w:rsid w:val="00541207"/>
    <w:rsid w:val="00542CE3"/>
    <w:rsid w:val="005476E0"/>
    <w:rsid w:val="00552535"/>
    <w:rsid w:val="0055377E"/>
    <w:rsid w:val="00554D92"/>
    <w:rsid w:val="00555326"/>
    <w:rsid w:val="0055712A"/>
    <w:rsid w:val="005576C7"/>
    <w:rsid w:val="0056099F"/>
    <w:rsid w:val="00562B09"/>
    <w:rsid w:val="0056507A"/>
    <w:rsid w:val="0056765A"/>
    <w:rsid w:val="00567F04"/>
    <w:rsid w:val="00580163"/>
    <w:rsid w:val="005802E2"/>
    <w:rsid w:val="00582BFB"/>
    <w:rsid w:val="00585507"/>
    <w:rsid w:val="0058732A"/>
    <w:rsid w:val="00590E6C"/>
    <w:rsid w:val="00591C42"/>
    <w:rsid w:val="00591CFF"/>
    <w:rsid w:val="0059377C"/>
    <w:rsid w:val="00595A13"/>
    <w:rsid w:val="00597334"/>
    <w:rsid w:val="005A4A59"/>
    <w:rsid w:val="005A5EF5"/>
    <w:rsid w:val="005A656B"/>
    <w:rsid w:val="005B05FE"/>
    <w:rsid w:val="005B150F"/>
    <w:rsid w:val="005B5841"/>
    <w:rsid w:val="005B788F"/>
    <w:rsid w:val="005B7BFF"/>
    <w:rsid w:val="005C1742"/>
    <w:rsid w:val="005C2FB4"/>
    <w:rsid w:val="005C7E9B"/>
    <w:rsid w:val="005D1396"/>
    <w:rsid w:val="005D13B3"/>
    <w:rsid w:val="005D3023"/>
    <w:rsid w:val="005D7C6C"/>
    <w:rsid w:val="005E3A53"/>
    <w:rsid w:val="005E544D"/>
    <w:rsid w:val="005E6C63"/>
    <w:rsid w:val="005F396D"/>
    <w:rsid w:val="005F3DA5"/>
    <w:rsid w:val="005F4B80"/>
    <w:rsid w:val="0060009D"/>
    <w:rsid w:val="0060409C"/>
    <w:rsid w:val="00606822"/>
    <w:rsid w:val="006109BA"/>
    <w:rsid w:val="00613336"/>
    <w:rsid w:val="00617D5E"/>
    <w:rsid w:val="00621A35"/>
    <w:rsid w:val="006227C5"/>
    <w:rsid w:val="006264BD"/>
    <w:rsid w:val="00630B7B"/>
    <w:rsid w:val="0063315A"/>
    <w:rsid w:val="00636090"/>
    <w:rsid w:val="00637B9C"/>
    <w:rsid w:val="00637EB9"/>
    <w:rsid w:val="00642FCE"/>
    <w:rsid w:val="00646AF8"/>
    <w:rsid w:val="00646EFD"/>
    <w:rsid w:val="006507E8"/>
    <w:rsid w:val="006511DA"/>
    <w:rsid w:val="00652FEC"/>
    <w:rsid w:val="006541ED"/>
    <w:rsid w:val="00654273"/>
    <w:rsid w:val="006563C3"/>
    <w:rsid w:val="00656677"/>
    <w:rsid w:val="00656B97"/>
    <w:rsid w:val="006572B1"/>
    <w:rsid w:val="00657B38"/>
    <w:rsid w:val="00662332"/>
    <w:rsid w:val="00662E38"/>
    <w:rsid w:val="0067381C"/>
    <w:rsid w:val="006764D2"/>
    <w:rsid w:val="00677B5D"/>
    <w:rsid w:val="006811B9"/>
    <w:rsid w:val="006819BA"/>
    <w:rsid w:val="00682A2F"/>
    <w:rsid w:val="00683DC9"/>
    <w:rsid w:val="00686E9C"/>
    <w:rsid w:val="00690D06"/>
    <w:rsid w:val="00695390"/>
    <w:rsid w:val="0069572C"/>
    <w:rsid w:val="00696505"/>
    <w:rsid w:val="00697D27"/>
    <w:rsid w:val="006A1EBD"/>
    <w:rsid w:val="006A224D"/>
    <w:rsid w:val="006A3453"/>
    <w:rsid w:val="006A3F50"/>
    <w:rsid w:val="006A466E"/>
    <w:rsid w:val="006A50A1"/>
    <w:rsid w:val="006A6D0C"/>
    <w:rsid w:val="006B6503"/>
    <w:rsid w:val="006B6FCF"/>
    <w:rsid w:val="006C5198"/>
    <w:rsid w:val="006C6356"/>
    <w:rsid w:val="006D1453"/>
    <w:rsid w:val="006D571D"/>
    <w:rsid w:val="006D5FB6"/>
    <w:rsid w:val="006E1176"/>
    <w:rsid w:val="006E2B34"/>
    <w:rsid w:val="006E2E76"/>
    <w:rsid w:val="006E3C8C"/>
    <w:rsid w:val="006E5080"/>
    <w:rsid w:val="006F1B35"/>
    <w:rsid w:val="006F5629"/>
    <w:rsid w:val="006F7125"/>
    <w:rsid w:val="007028BB"/>
    <w:rsid w:val="0070649C"/>
    <w:rsid w:val="007105D6"/>
    <w:rsid w:val="00711203"/>
    <w:rsid w:val="00712E3C"/>
    <w:rsid w:val="007166FF"/>
    <w:rsid w:val="00717AE7"/>
    <w:rsid w:val="00717D21"/>
    <w:rsid w:val="007321F7"/>
    <w:rsid w:val="00733794"/>
    <w:rsid w:val="007371AD"/>
    <w:rsid w:val="00737206"/>
    <w:rsid w:val="007400CB"/>
    <w:rsid w:val="0074469A"/>
    <w:rsid w:val="00747C9A"/>
    <w:rsid w:val="00747D06"/>
    <w:rsid w:val="00750934"/>
    <w:rsid w:val="00751559"/>
    <w:rsid w:val="00751744"/>
    <w:rsid w:val="00751A39"/>
    <w:rsid w:val="0075249C"/>
    <w:rsid w:val="00753BCA"/>
    <w:rsid w:val="00753C73"/>
    <w:rsid w:val="00754E13"/>
    <w:rsid w:val="00755751"/>
    <w:rsid w:val="00763242"/>
    <w:rsid w:val="0076474F"/>
    <w:rsid w:val="00770F2C"/>
    <w:rsid w:val="00774505"/>
    <w:rsid w:val="00775D98"/>
    <w:rsid w:val="0078075E"/>
    <w:rsid w:val="00780F70"/>
    <w:rsid w:val="007830BF"/>
    <w:rsid w:val="00783AFA"/>
    <w:rsid w:val="00791A9C"/>
    <w:rsid w:val="00792EBA"/>
    <w:rsid w:val="00794118"/>
    <w:rsid w:val="00795D4D"/>
    <w:rsid w:val="00796D58"/>
    <w:rsid w:val="0079701A"/>
    <w:rsid w:val="007973CB"/>
    <w:rsid w:val="00797A0A"/>
    <w:rsid w:val="00797FE6"/>
    <w:rsid w:val="007A4088"/>
    <w:rsid w:val="007A40D7"/>
    <w:rsid w:val="007A47AA"/>
    <w:rsid w:val="007A4B35"/>
    <w:rsid w:val="007A76F1"/>
    <w:rsid w:val="007A7E36"/>
    <w:rsid w:val="007B023E"/>
    <w:rsid w:val="007B0546"/>
    <w:rsid w:val="007B1652"/>
    <w:rsid w:val="007B1704"/>
    <w:rsid w:val="007B1B34"/>
    <w:rsid w:val="007B29BF"/>
    <w:rsid w:val="007B42C0"/>
    <w:rsid w:val="007C424D"/>
    <w:rsid w:val="007C484B"/>
    <w:rsid w:val="007C711E"/>
    <w:rsid w:val="007D1527"/>
    <w:rsid w:val="007D32C6"/>
    <w:rsid w:val="007D5250"/>
    <w:rsid w:val="007D5342"/>
    <w:rsid w:val="007D5D68"/>
    <w:rsid w:val="007D7533"/>
    <w:rsid w:val="007D7CAD"/>
    <w:rsid w:val="007E6322"/>
    <w:rsid w:val="007F19E4"/>
    <w:rsid w:val="007F1E76"/>
    <w:rsid w:val="007F2488"/>
    <w:rsid w:val="007F2F2C"/>
    <w:rsid w:val="007F33B3"/>
    <w:rsid w:val="007F3A69"/>
    <w:rsid w:val="007F68BF"/>
    <w:rsid w:val="00800CBC"/>
    <w:rsid w:val="00804504"/>
    <w:rsid w:val="008064A5"/>
    <w:rsid w:val="00813021"/>
    <w:rsid w:val="0081494B"/>
    <w:rsid w:val="00817A75"/>
    <w:rsid w:val="00821996"/>
    <w:rsid w:val="00826A38"/>
    <w:rsid w:val="00826F4F"/>
    <w:rsid w:val="0083378D"/>
    <w:rsid w:val="00834298"/>
    <w:rsid w:val="008360A2"/>
    <w:rsid w:val="00836132"/>
    <w:rsid w:val="00837F1A"/>
    <w:rsid w:val="008407FC"/>
    <w:rsid w:val="008478E8"/>
    <w:rsid w:val="008517B5"/>
    <w:rsid w:val="008524ED"/>
    <w:rsid w:val="00856440"/>
    <w:rsid w:val="00856918"/>
    <w:rsid w:val="008606C4"/>
    <w:rsid w:val="008622DA"/>
    <w:rsid w:val="0086440A"/>
    <w:rsid w:val="008757A4"/>
    <w:rsid w:val="00877D09"/>
    <w:rsid w:val="00880291"/>
    <w:rsid w:val="00880F83"/>
    <w:rsid w:val="008827E2"/>
    <w:rsid w:val="008837DD"/>
    <w:rsid w:val="0088601F"/>
    <w:rsid w:val="00886C3F"/>
    <w:rsid w:val="00890F46"/>
    <w:rsid w:val="008915DF"/>
    <w:rsid w:val="008963F7"/>
    <w:rsid w:val="0089723D"/>
    <w:rsid w:val="008A0192"/>
    <w:rsid w:val="008A055E"/>
    <w:rsid w:val="008A10C3"/>
    <w:rsid w:val="008A15F8"/>
    <w:rsid w:val="008A1E24"/>
    <w:rsid w:val="008A2838"/>
    <w:rsid w:val="008A5804"/>
    <w:rsid w:val="008A7665"/>
    <w:rsid w:val="008B1424"/>
    <w:rsid w:val="008B1A7E"/>
    <w:rsid w:val="008B1F85"/>
    <w:rsid w:val="008B21A7"/>
    <w:rsid w:val="008B4D32"/>
    <w:rsid w:val="008B675D"/>
    <w:rsid w:val="008C0104"/>
    <w:rsid w:val="008C3AD2"/>
    <w:rsid w:val="008C5F4E"/>
    <w:rsid w:val="008D36AD"/>
    <w:rsid w:val="008D3EC4"/>
    <w:rsid w:val="008D4774"/>
    <w:rsid w:val="008D7770"/>
    <w:rsid w:val="008E39B4"/>
    <w:rsid w:val="008E53B8"/>
    <w:rsid w:val="008E71F5"/>
    <w:rsid w:val="008F0241"/>
    <w:rsid w:val="008F136F"/>
    <w:rsid w:val="008F3EE0"/>
    <w:rsid w:val="008F4385"/>
    <w:rsid w:val="008F58F9"/>
    <w:rsid w:val="008F5B57"/>
    <w:rsid w:val="0090125E"/>
    <w:rsid w:val="009059CD"/>
    <w:rsid w:val="009073E7"/>
    <w:rsid w:val="0091071D"/>
    <w:rsid w:val="009114AF"/>
    <w:rsid w:val="00911AD0"/>
    <w:rsid w:val="00912734"/>
    <w:rsid w:val="009128B0"/>
    <w:rsid w:val="00913EFB"/>
    <w:rsid w:val="00914F92"/>
    <w:rsid w:val="00915038"/>
    <w:rsid w:val="00920FB9"/>
    <w:rsid w:val="00922231"/>
    <w:rsid w:val="0092337A"/>
    <w:rsid w:val="00923668"/>
    <w:rsid w:val="00924F49"/>
    <w:rsid w:val="009304D4"/>
    <w:rsid w:val="009318ED"/>
    <w:rsid w:val="00932A6F"/>
    <w:rsid w:val="00934DBD"/>
    <w:rsid w:val="0093617D"/>
    <w:rsid w:val="0094179F"/>
    <w:rsid w:val="00943E33"/>
    <w:rsid w:val="009452A3"/>
    <w:rsid w:val="00950875"/>
    <w:rsid w:val="009538A5"/>
    <w:rsid w:val="009562DF"/>
    <w:rsid w:val="00957C78"/>
    <w:rsid w:val="009622E3"/>
    <w:rsid w:val="009628DE"/>
    <w:rsid w:val="00963326"/>
    <w:rsid w:val="00963691"/>
    <w:rsid w:val="00971E46"/>
    <w:rsid w:val="00971F4F"/>
    <w:rsid w:val="0097571D"/>
    <w:rsid w:val="009816BE"/>
    <w:rsid w:val="00982741"/>
    <w:rsid w:val="0098326B"/>
    <w:rsid w:val="00985390"/>
    <w:rsid w:val="00986A45"/>
    <w:rsid w:val="0099265D"/>
    <w:rsid w:val="00993A0E"/>
    <w:rsid w:val="00993EB1"/>
    <w:rsid w:val="00997B2D"/>
    <w:rsid w:val="009A2D1C"/>
    <w:rsid w:val="009A2E8C"/>
    <w:rsid w:val="009A4276"/>
    <w:rsid w:val="009A6EFD"/>
    <w:rsid w:val="009A737D"/>
    <w:rsid w:val="009B0344"/>
    <w:rsid w:val="009B33E7"/>
    <w:rsid w:val="009B3E14"/>
    <w:rsid w:val="009B517A"/>
    <w:rsid w:val="009C1430"/>
    <w:rsid w:val="009C44E9"/>
    <w:rsid w:val="009C458B"/>
    <w:rsid w:val="009C4A38"/>
    <w:rsid w:val="009C5977"/>
    <w:rsid w:val="009C5B3E"/>
    <w:rsid w:val="009C664C"/>
    <w:rsid w:val="009D092A"/>
    <w:rsid w:val="009D1A78"/>
    <w:rsid w:val="009D29A6"/>
    <w:rsid w:val="009D2E08"/>
    <w:rsid w:val="009D6987"/>
    <w:rsid w:val="009D6EF5"/>
    <w:rsid w:val="009E729C"/>
    <w:rsid w:val="009E7855"/>
    <w:rsid w:val="009F0D64"/>
    <w:rsid w:val="009F197F"/>
    <w:rsid w:val="009F3BD5"/>
    <w:rsid w:val="009F4C0D"/>
    <w:rsid w:val="00A005FF"/>
    <w:rsid w:val="00A04330"/>
    <w:rsid w:val="00A04D1C"/>
    <w:rsid w:val="00A1082F"/>
    <w:rsid w:val="00A1354E"/>
    <w:rsid w:val="00A13DE5"/>
    <w:rsid w:val="00A146AF"/>
    <w:rsid w:val="00A167B7"/>
    <w:rsid w:val="00A16DE7"/>
    <w:rsid w:val="00A17838"/>
    <w:rsid w:val="00A20915"/>
    <w:rsid w:val="00A26F58"/>
    <w:rsid w:val="00A33994"/>
    <w:rsid w:val="00A34F5E"/>
    <w:rsid w:val="00A35645"/>
    <w:rsid w:val="00A36DF1"/>
    <w:rsid w:val="00A37906"/>
    <w:rsid w:val="00A404FF"/>
    <w:rsid w:val="00A40FCE"/>
    <w:rsid w:val="00A42E18"/>
    <w:rsid w:val="00A456D1"/>
    <w:rsid w:val="00A45E59"/>
    <w:rsid w:val="00A50975"/>
    <w:rsid w:val="00A537D9"/>
    <w:rsid w:val="00A53D76"/>
    <w:rsid w:val="00A57B26"/>
    <w:rsid w:val="00A57B33"/>
    <w:rsid w:val="00A637A2"/>
    <w:rsid w:val="00A63E16"/>
    <w:rsid w:val="00A65FEE"/>
    <w:rsid w:val="00A665B7"/>
    <w:rsid w:val="00A70DFD"/>
    <w:rsid w:val="00A71228"/>
    <w:rsid w:val="00A7797D"/>
    <w:rsid w:val="00A80372"/>
    <w:rsid w:val="00A81251"/>
    <w:rsid w:val="00A842E2"/>
    <w:rsid w:val="00A8798F"/>
    <w:rsid w:val="00A962DF"/>
    <w:rsid w:val="00AA1F9C"/>
    <w:rsid w:val="00AA3359"/>
    <w:rsid w:val="00AA56FD"/>
    <w:rsid w:val="00AB119E"/>
    <w:rsid w:val="00AB48B2"/>
    <w:rsid w:val="00AC1411"/>
    <w:rsid w:val="00AC22EA"/>
    <w:rsid w:val="00AC28ED"/>
    <w:rsid w:val="00AC68A5"/>
    <w:rsid w:val="00AD2B51"/>
    <w:rsid w:val="00AD3CE4"/>
    <w:rsid w:val="00AD4FF1"/>
    <w:rsid w:val="00AE0E5D"/>
    <w:rsid w:val="00AE15D4"/>
    <w:rsid w:val="00AE2D1B"/>
    <w:rsid w:val="00AE3965"/>
    <w:rsid w:val="00AE6DEA"/>
    <w:rsid w:val="00AE7977"/>
    <w:rsid w:val="00AF0B3E"/>
    <w:rsid w:val="00AF17C7"/>
    <w:rsid w:val="00AF3304"/>
    <w:rsid w:val="00AF3B09"/>
    <w:rsid w:val="00AF3B77"/>
    <w:rsid w:val="00AF54F9"/>
    <w:rsid w:val="00AF751A"/>
    <w:rsid w:val="00B0489C"/>
    <w:rsid w:val="00B11EB4"/>
    <w:rsid w:val="00B14561"/>
    <w:rsid w:val="00B235FB"/>
    <w:rsid w:val="00B24BCD"/>
    <w:rsid w:val="00B26237"/>
    <w:rsid w:val="00B32AF4"/>
    <w:rsid w:val="00B341B8"/>
    <w:rsid w:val="00B43FF4"/>
    <w:rsid w:val="00B44491"/>
    <w:rsid w:val="00B462D7"/>
    <w:rsid w:val="00B617DA"/>
    <w:rsid w:val="00B61CF6"/>
    <w:rsid w:val="00B61D90"/>
    <w:rsid w:val="00B62A87"/>
    <w:rsid w:val="00B634E7"/>
    <w:rsid w:val="00B63A9B"/>
    <w:rsid w:val="00B64CD9"/>
    <w:rsid w:val="00B73049"/>
    <w:rsid w:val="00B73B2C"/>
    <w:rsid w:val="00B75C5D"/>
    <w:rsid w:val="00B817F3"/>
    <w:rsid w:val="00B85DD5"/>
    <w:rsid w:val="00B867B7"/>
    <w:rsid w:val="00B9323E"/>
    <w:rsid w:val="00BA0E2E"/>
    <w:rsid w:val="00BA108D"/>
    <w:rsid w:val="00BA2145"/>
    <w:rsid w:val="00BA2A73"/>
    <w:rsid w:val="00BA4168"/>
    <w:rsid w:val="00BA79AF"/>
    <w:rsid w:val="00BB01D6"/>
    <w:rsid w:val="00BB09DD"/>
    <w:rsid w:val="00BB16B3"/>
    <w:rsid w:val="00BB1C81"/>
    <w:rsid w:val="00BB2A2B"/>
    <w:rsid w:val="00BB35DC"/>
    <w:rsid w:val="00BC0FED"/>
    <w:rsid w:val="00BC1153"/>
    <w:rsid w:val="00BC3EE4"/>
    <w:rsid w:val="00BC512D"/>
    <w:rsid w:val="00BC7AE7"/>
    <w:rsid w:val="00BD1B9D"/>
    <w:rsid w:val="00BD71DC"/>
    <w:rsid w:val="00BD7340"/>
    <w:rsid w:val="00BE00FB"/>
    <w:rsid w:val="00BE0141"/>
    <w:rsid w:val="00BE0AF4"/>
    <w:rsid w:val="00BE2741"/>
    <w:rsid w:val="00BE3500"/>
    <w:rsid w:val="00BE3CC2"/>
    <w:rsid w:val="00BE7F30"/>
    <w:rsid w:val="00BF021A"/>
    <w:rsid w:val="00BF1FF5"/>
    <w:rsid w:val="00BF25AE"/>
    <w:rsid w:val="00BF2F9A"/>
    <w:rsid w:val="00C01DDF"/>
    <w:rsid w:val="00C02E33"/>
    <w:rsid w:val="00C05099"/>
    <w:rsid w:val="00C11143"/>
    <w:rsid w:val="00C13658"/>
    <w:rsid w:val="00C156C2"/>
    <w:rsid w:val="00C25278"/>
    <w:rsid w:val="00C26058"/>
    <w:rsid w:val="00C33C4E"/>
    <w:rsid w:val="00C33DD0"/>
    <w:rsid w:val="00C34183"/>
    <w:rsid w:val="00C47249"/>
    <w:rsid w:val="00C47601"/>
    <w:rsid w:val="00C501C2"/>
    <w:rsid w:val="00C52515"/>
    <w:rsid w:val="00C5290E"/>
    <w:rsid w:val="00C55BDF"/>
    <w:rsid w:val="00C56C0D"/>
    <w:rsid w:val="00C57B1E"/>
    <w:rsid w:val="00C57DA2"/>
    <w:rsid w:val="00C66E7C"/>
    <w:rsid w:val="00C700C9"/>
    <w:rsid w:val="00C71A1B"/>
    <w:rsid w:val="00C7502A"/>
    <w:rsid w:val="00C76FEB"/>
    <w:rsid w:val="00C772F4"/>
    <w:rsid w:val="00C83E10"/>
    <w:rsid w:val="00C840B8"/>
    <w:rsid w:val="00C85A80"/>
    <w:rsid w:val="00C90405"/>
    <w:rsid w:val="00C91B88"/>
    <w:rsid w:val="00C9437A"/>
    <w:rsid w:val="00C954A2"/>
    <w:rsid w:val="00C9793F"/>
    <w:rsid w:val="00CA2E8F"/>
    <w:rsid w:val="00CA640B"/>
    <w:rsid w:val="00CA70FC"/>
    <w:rsid w:val="00CB531F"/>
    <w:rsid w:val="00CB5707"/>
    <w:rsid w:val="00CB58A5"/>
    <w:rsid w:val="00CB676E"/>
    <w:rsid w:val="00CB72BB"/>
    <w:rsid w:val="00CC038E"/>
    <w:rsid w:val="00CC31AB"/>
    <w:rsid w:val="00CD2729"/>
    <w:rsid w:val="00CD4992"/>
    <w:rsid w:val="00CD5474"/>
    <w:rsid w:val="00CD77FD"/>
    <w:rsid w:val="00CE2086"/>
    <w:rsid w:val="00CE23E3"/>
    <w:rsid w:val="00CE32C9"/>
    <w:rsid w:val="00CE35BC"/>
    <w:rsid w:val="00CE3F87"/>
    <w:rsid w:val="00CF2422"/>
    <w:rsid w:val="00CF5834"/>
    <w:rsid w:val="00D004AA"/>
    <w:rsid w:val="00D05F23"/>
    <w:rsid w:val="00D06748"/>
    <w:rsid w:val="00D11104"/>
    <w:rsid w:val="00D128B1"/>
    <w:rsid w:val="00D15647"/>
    <w:rsid w:val="00D159A1"/>
    <w:rsid w:val="00D16D49"/>
    <w:rsid w:val="00D221E1"/>
    <w:rsid w:val="00D23601"/>
    <w:rsid w:val="00D23BD7"/>
    <w:rsid w:val="00D265FB"/>
    <w:rsid w:val="00D3220E"/>
    <w:rsid w:val="00D333DB"/>
    <w:rsid w:val="00D34BA5"/>
    <w:rsid w:val="00D34EE8"/>
    <w:rsid w:val="00D351C7"/>
    <w:rsid w:val="00D35D0E"/>
    <w:rsid w:val="00D365F0"/>
    <w:rsid w:val="00D36AED"/>
    <w:rsid w:val="00D36B73"/>
    <w:rsid w:val="00D37C04"/>
    <w:rsid w:val="00D40886"/>
    <w:rsid w:val="00D4794C"/>
    <w:rsid w:val="00D501EB"/>
    <w:rsid w:val="00D51493"/>
    <w:rsid w:val="00D546DB"/>
    <w:rsid w:val="00D556D5"/>
    <w:rsid w:val="00D56A03"/>
    <w:rsid w:val="00D56AB6"/>
    <w:rsid w:val="00D651BD"/>
    <w:rsid w:val="00D67CDF"/>
    <w:rsid w:val="00D715C2"/>
    <w:rsid w:val="00D72245"/>
    <w:rsid w:val="00D73FC7"/>
    <w:rsid w:val="00D7740C"/>
    <w:rsid w:val="00D8160C"/>
    <w:rsid w:val="00D8286A"/>
    <w:rsid w:val="00D83E03"/>
    <w:rsid w:val="00D86588"/>
    <w:rsid w:val="00D9046D"/>
    <w:rsid w:val="00D90F68"/>
    <w:rsid w:val="00D94CFA"/>
    <w:rsid w:val="00D96877"/>
    <w:rsid w:val="00DA2BA1"/>
    <w:rsid w:val="00DA653D"/>
    <w:rsid w:val="00DA6DF3"/>
    <w:rsid w:val="00DB3BFE"/>
    <w:rsid w:val="00DB7489"/>
    <w:rsid w:val="00DB7EA4"/>
    <w:rsid w:val="00DC2028"/>
    <w:rsid w:val="00DC20E7"/>
    <w:rsid w:val="00DC221B"/>
    <w:rsid w:val="00DC47CB"/>
    <w:rsid w:val="00DC4C61"/>
    <w:rsid w:val="00DC5A5A"/>
    <w:rsid w:val="00DC76E6"/>
    <w:rsid w:val="00DD24DF"/>
    <w:rsid w:val="00DD264B"/>
    <w:rsid w:val="00DD3F6F"/>
    <w:rsid w:val="00DD420A"/>
    <w:rsid w:val="00DD5197"/>
    <w:rsid w:val="00DE050E"/>
    <w:rsid w:val="00DE118A"/>
    <w:rsid w:val="00DE1B0D"/>
    <w:rsid w:val="00DE5F15"/>
    <w:rsid w:val="00DE7B45"/>
    <w:rsid w:val="00DE7EA7"/>
    <w:rsid w:val="00DE7F7F"/>
    <w:rsid w:val="00DF1729"/>
    <w:rsid w:val="00DF3594"/>
    <w:rsid w:val="00DF3857"/>
    <w:rsid w:val="00DF40F3"/>
    <w:rsid w:val="00E02487"/>
    <w:rsid w:val="00E0710D"/>
    <w:rsid w:val="00E10F3B"/>
    <w:rsid w:val="00E12071"/>
    <w:rsid w:val="00E20421"/>
    <w:rsid w:val="00E218E6"/>
    <w:rsid w:val="00E242E5"/>
    <w:rsid w:val="00E259E3"/>
    <w:rsid w:val="00E27046"/>
    <w:rsid w:val="00E27D7B"/>
    <w:rsid w:val="00E30D71"/>
    <w:rsid w:val="00E31E1D"/>
    <w:rsid w:val="00E3518C"/>
    <w:rsid w:val="00E36AEE"/>
    <w:rsid w:val="00E410D5"/>
    <w:rsid w:val="00E43D5C"/>
    <w:rsid w:val="00E4653A"/>
    <w:rsid w:val="00E51A46"/>
    <w:rsid w:val="00E53A80"/>
    <w:rsid w:val="00E541CC"/>
    <w:rsid w:val="00E550E5"/>
    <w:rsid w:val="00E559AD"/>
    <w:rsid w:val="00E6043E"/>
    <w:rsid w:val="00E61FF3"/>
    <w:rsid w:val="00E63950"/>
    <w:rsid w:val="00E651A9"/>
    <w:rsid w:val="00E66F20"/>
    <w:rsid w:val="00E714E0"/>
    <w:rsid w:val="00E7297D"/>
    <w:rsid w:val="00E74DEB"/>
    <w:rsid w:val="00E7786B"/>
    <w:rsid w:val="00E80902"/>
    <w:rsid w:val="00E81DE3"/>
    <w:rsid w:val="00E829D5"/>
    <w:rsid w:val="00E84F10"/>
    <w:rsid w:val="00E87841"/>
    <w:rsid w:val="00E909B3"/>
    <w:rsid w:val="00E90D5A"/>
    <w:rsid w:val="00E91F22"/>
    <w:rsid w:val="00E92B1E"/>
    <w:rsid w:val="00E92F4B"/>
    <w:rsid w:val="00E93BEF"/>
    <w:rsid w:val="00E95BFE"/>
    <w:rsid w:val="00EA0B11"/>
    <w:rsid w:val="00EA1494"/>
    <w:rsid w:val="00EA23E4"/>
    <w:rsid w:val="00EA36C6"/>
    <w:rsid w:val="00EA46A3"/>
    <w:rsid w:val="00EA5F2F"/>
    <w:rsid w:val="00EA662E"/>
    <w:rsid w:val="00EB49FB"/>
    <w:rsid w:val="00EB4AF2"/>
    <w:rsid w:val="00EB52C0"/>
    <w:rsid w:val="00EB5654"/>
    <w:rsid w:val="00EB6F62"/>
    <w:rsid w:val="00EC10C1"/>
    <w:rsid w:val="00EC1415"/>
    <w:rsid w:val="00EC2EE3"/>
    <w:rsid w:val="00EC4C53"/>
    <w:rsid w:val="00EC60D2"/>
    <w:rsid w:val="00ED0D82"/>
    <w:rsid w:val="00ED1B65"/>
    <w:rsid w:val="00ED6C2B"/>
    <w:rsid w:val="00ED6D40"/>
    <w:rsid w:val="00EE08E3"/>
    <w:rsid w:val="00EE32A4"/>
    <w:rsid w:val="00EE4419"/>
    <w:rsid w:val="00EF0CAD"/>
    <w:rsid w:val="00EF22F2"/>
    <w:rsid w:val="00EF2902"/>
    <w:rsid w:val="00EF4C7C"/>
    <w:rsid w:val="00EF7E04"/>
    <w:rsid w:val="00F02F3D"/>
    <w:rsid w:val="00F03061"/>
    <w:rsid w:val="00F03F4C"/>
    <w:rsid w:val="00F05954"/>
    <w:rsid w:val="00F12819"/>
    <w:rsid w:val="00F20E83"/>
    <w:rsid w:val="00F22873"/>
    <w:rsid w:val="00F24796"/>
    <w:rsid w:val="00F257C8"/>
    <w:rsid w:val="00F3089E"/>
    <w:rsid w:val="00F30C29"/>
    <w:rsid w:val="00F32C1C"/>
    <w:rsid w:val="00F42E7D"/>
    <w:rsid w:val="00F44A2F"/>
    <w:rsid w:val="00F465FC"/>
    <w:rsid w:val="00F51515"/>
    <w:rsid w:val="00F53C34"/>
    <w:rsid w:val="00F57B22"/>
    <w:rsid w:val="00F626F0"/>
    <w:rsid w:val="00F6270C"/>
    <w:rsid w:val="00F652AC"/>
    <w:rsid w:val="00F7043D"/>
    <w:rsid w:val="00F73F2C"/>
    <w:rsid w:val="00F74850"/>
    <w:rsid w:val="00F76825"/>
    <w:rsid w:val="00F80565"/>
    <w:rsid w:val="00F825CF"/>
    <w:rsid w:val="00F8330C"/>
    <w:rsid w:val="00F83773"/>
    <w:rsid w:val="00F83DB9"/>
    <w:rsid w:val="00F844B5"/>
    <w:rsid w:val="00F85337"/>
    <w:rsid w:val="00F86C0C"/>
    <w:rsid w:val="00F91DDE"/>
    <w:rsid w:val="00F93730"/>
    <w:rsid w:val="00F96695"/>
    <w:rsid w:val="00F96C77"/>
    <w:rsid w:val="00F96F77"/>
    <w:rsid w:val="00FA15AA"/>
    <w:rsid w:val="00FA2D51"/>
    <w:rsid w:val="00FB25D0"/>
    <w:rsid w:val="00FB66E6"/>
    <w:rsid w:val="00FB7547"/>
    <w:rsid w:val="00FC0935"/>
    <w:rsid w:val="00FC1AE3"/>
    <w:rsid w:val="00FC5175"/>
    <w:rsid w:val="00FD30C9"/>
    <w:rsid w:val="00FD5B28"/>
    <w:rsid w:val="00FD5DF5"/>
    <w:rsid w:val="00FD7489"/>
    <w:rsid w:val="00FD79C7"/>
    <w:rsid w:val="00FD7B99"/>
    <w:rsid w:val="00FE283E"/>
    <w:rsid w:val="00FE2BB9"/>
    <w:rsid w:val="00FE7DBE"/>
    <w:rsid w:val="00FF381C"/>
    <w:rsid w:val="00FF3F23"/>
    <w:rsid w:val="00FF45F6"/>
    <w:rsid w:val="00FF50F0"/>
    <w:rsid w:val="00FF57C8"/>
    <w:rsid w:val="00FF6DEB"/>
    <w:rsid w:val="01501F35"/>
    <w:rsid w:val="020F66BF"/>
    <w:rsid w:val="034F6F1A"/>
    <w:rsid w:val="06131C8E"/>
    <w:rsid w:val="07362268"/>
    <w:rsid w:val="07A225EC"/>
    <w:rsid w:val="08486D2F"/>
    <w:rsid w:val="0A150A53"/>
    <w:rsid w:val="0A59182E"/>
    <w:rsid w:val="0C7C0C8C"/>
    <w:rsid w:val="0CD6481E"/>
    <w:rsid w:val="0DB0440B"/>
    <w:rsid w:val="0DDE44B9"/>
    <w:rsid w:val="0DEC5DB2"/>
    <w:rsid w:val="0DFB4560"/>
    <w:rsid w:val="0E4F0390"/>
    <w:rsid w:val="0E570074"/>
    <w:rsid w:val="0FCD67B4"/>
    <w:rsid w:val="10C2608D"/>
    <w:rsid w:val="10D90853"/>
    <w:rsid w:val="10F20824"/>
    <w:rsid w:val="12454A41"/>
    <w:rsid w:val="12DC7C21"/>
    <w:rsid w:val="13200CB0"/>
    <w:rsid w:val="13255877"/>
    <w:rsid w:val="1331199F"/>
    <w:rsid w:val="133F07D0"/>
    <w:rsid w:val="144935B2"/>
    <w:rsid w:val="147C7151"/>
    <w:rsid w:val="15464E0B"/>
    <w:rsid w:val="15A70A6D"/>
    <w:rsid w:val="15B8429F"/>
    <w:rsid w:val="17314300"/>
    <w:rsid w:val="17777A2D"/>
    <w:rsid w:val="178B0B76"/>
    <w:rsid w:val="19680239"/>
    <w:rsid w:val="19AC1303"/>
    <w:rsid w:val="19B10934"/>
    <w:rsid w:val="1A8F0467"/>
    <w:rsid w:val="1AB320C6"/>
    <w:rsid w:val="1BD21EF1"/>
    <w:rsid w:val="1CBA412F"/>
    <w:rsid w:val="1CEE6F63"/>
    <w:rsid w:val="1D7A6FEC"/>
    <w:rsid w:val="1D9248E9"/>
    <w:rsid w:val="1E1D0A7B"/>
    <w:rsid w:val="201363C9"/>
    <w:rsid w:val="20525F14"/>
    <w:rsid w:val="211A1674"/>
    <w:rsid w:val="219E6BEB"/>
    <w:rsid w:val="223D43F2"/>
    <w:rsid w:val="22A76D58"/>
    <w:rsid w:val="23096188"/>
    <w:rsid w:val="232B0BC0"/>
    <w:rsid w:val="234A4266"/>
    <w:rsid w:val="23AC2413"/>
    <w:rsid w:val="245C31C7"/>
    <w:rsid w:val="24B710F5"/>
    <w:rsid w:val="24E75798"/>
    <w:rsid w:val="25657C68"/>
    <w:rsid w:val="26875867"/>
    <w:rsid w:val="274554FD"/>
    <w:rsid w:val="27DC1333"/>
    <w:rsid w:val="280542B6"/>
    <w:rsid w:val="28464E3E"/>
    <w:rsid w:val="28E76AE9"/>
    <w:rsid w:val="29396C32"/>
    <w:rsid w:val="2A6F3F87"/>
    <w:rsid w:val="2A880EE6"/>
    <w:rsid w:val="2B4302F1"/>
    <w:rsid w:val="2D561210"/>
    <w:rsid w:val="2DA467B9"/>
    <w:rsid w:val="2DEB577C"/>
    <w:rsid w:val="2DEE29E5"/>
    <w:rsid w:val="2E172574"/>
    <w:rsid w:val="2E6149A2"/>
    <w:rsid w:val="2EAC37A0"/>
    <w:rsid w:val="2FEC4747"/>
    <w:rsid w:val="302617E8"/>
    <w:rsid w:val="30401638"/>
    <w:rsid w:val="304E5D40"/>
    <w:rsid w:val="309336BF"/>
    <w:rsid w:val="30D32C5B"/>
    <w:rsid w:val="31843E6A"/>
    <w:rsid w:val="32041A59"/>
    <w:rsid w:val="325B66A1"/>
    <w:rsid w:val="335B3691"/>
    <w:rsid w:val="33EB6BBB"/>
    <w:rsid w:val="33F67ED7"/>
    <w:rsid w:val="34810420"/>
    <w:rsid w:val="35CE52FA"/>
    <w:rsid w:val="35D05ECA"/>
    <w:rsid w:val="36294164"/>
    <w:rsid w:val="36773B8C"/>
    <w:rsid w:val="36B96EB8"/>
    <w:rsid w:val="36CC470D"/>
    <w:rsid w:val="376F7781"/>
    <w:rsid w:val="38F378D5"/>
    <w:rsid w:val="3A0A31AB"/>
    <w:rsid w:val="3A3F00CE"/>
    <w:rsid w:val="3A727C78"/>
    <w:rsid w:val="3A7C7928"/>
    <w:rsid w:val="3C3242E9"/>
    <w:rsid w:val="3C9D7B20"/>
    <w:rsid w:val="3D687BF8"/>
    <w:rsid w:val="3DDF3B95"/>
    <w:rsid w:val="3E933490"/>
    <w:rsid w:val="3EC04FCF"/>
    <w:rsid w:val="3F135889"/>
    <w:rsid w:val="3FA9516F"/>
    <w:rsid w:val="403D2E66"/>
    <w:rsid w:val="4307310B"/>
    <w:rsid w:val="45D57B05"/>
    <w:rsid w:val="45D62C8A"/>
    <w:rsid w:val="48A707A7"/>
    <w:rsid w:val="49193347"/>
    <w:rsid w:val="4923103F"/>
    <w:rsid w:val="4923745F"/>
    <w:rsid w:val="494F4715"/>
    <w:rsid w:val="49AC1744"/>
    <w:rsid w:val="4AF74F7E"/>
    <w:rsid w:val="4AFA0465"/>
    <w:rsid w:val="4C9C4045"/>
    <w:rsid w:val="51260CB2"/>
    <w:rsid w:val="51EB4251"/>
    <w:rsid w:val="53404468"/>
    <w:rsid w:val="534A62D6"/>
    <w:rsid w:val="535B342F"/>
    <w:rsid w:val="5360353E"/>
    <w:rsid w:val="53F236B7"/>
    <w:rsid w:val="5409774D"/>
    <w:rsid w:val="54387726"/>
    <w:rsid w:val="55EB2205"/>
    <w:rsid w:val="56175E36"/>
    <w:rsid w:val="56DC6974"/>
    <w:rsid w:val="576306B2"/>
    <w:rsid w:val="57AB2867"/>
    <w:rsid w:val="57D841EA"/>
    <w:rsid w:val="588034CB"/>
    <w:rsid w:val="58AB1F2D"/>
    <w:rsid w:val="5A463D28"/>
    <w:rsid w:val="5A507EBB"/>
    <w:rsid w:val="5B976358"/>
    <w:rsid w:val="5BA537F5"/>
    <w:rsid w:val="5BF61AEC"/>
    <w:rsid w:val="5D8335A6"/>
    <w:rsid w:val="5DC30B5A"/>
    <w:rsid w:val="5F1011F1"/>
    <w:rsid w:val="5F4F24EC"/>
    <w:rsid w:val="5F55184E"/>
    <w:rsid w:val="5FE373E6"/>
    <w:rsid w:val="60E670F5"/>
    <w:rsid w:val="6147745F"/>
    <w:rsid w:val="6170126D"/>
    <w:rsid w:val="62670B56"/>
    <w:rsid w:val="62911344"/>
    <w:rsid w:val="62D5404B"/>
    <w:rsid w:val="634F29FC"/>
    <w:rsid w:val="63ED649B"/>
    <w:rsid w:val="666E0A31"/>
    <w:rsid w:val="66E11DCA"/>
    <w:rsid w:val="674E548A"/>
    <w:rsid w:val="67766874"/>
    <w:rsid w:val="680F708F"/>
    <w:rsid w:val="682A5870"/>
    <w:rsid w:val="68467A3B"/>
    <w:rsid w:val="6B0911D8"/>
    <w:rsid w:val="6B1A465B"/>
    <w:rsid w:val="6BDE7808"/>
    <w:rsid w:val="6C3C1C3B"/>
    <w:rsid w:val="6D7875A9"/>
    <w:rsid w:val="6E8222AD"/>
    <w:rsid w:val="6EFC51A7"/>
    <w:rsid w:val="6FC9276F"/>
    <w:rsid w:val="708968F1"/>
    <w:rsid w:val="714D0842"/>
    <w:rsid w:val="731F6568"/>
    <w:rsid w:val="74956EB9"/>
    <w:rsid w:val="75195207"/>
    <w:rsid w:val="75601828"/>
    <w:rsid w:val="75771AD4"/>
    <w:rsid w:val="75867A54"/>
    <w:rsid w:val="759418DE"/>
    <w:rsid w:val="75CA1A52"/>
    <w:rsid w:val="76706C2B"/>
    <w:rsid w:val="769D6858"/>
    <w:rsid w:val="779D7E32"/>
    <w:rsid w:val="77B57573"/>
    <w:rsid w:val="78206F94"/>
    <w:rsid w:val="784B0E08"/>
    <w:rsid w:val="78FB565D"/>
    <w:rsid w:val="79CD2E18"/>
    <w:rsid w:val="79E35AF6"/>
    <w:rsid w:val="7AE86073"/>
    <w:rsid w:val="7CCE6EE2"/>
    <w:rsid w:val="7EAD2C3E"/>
    <w:rsid w:val="7FEC3E7E"/>
    <w:rsid w:val="7FF34F7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99" w:semiHidden="0" w:name="caption"/>
    <w:lsdException w:qFormat="1" w:unhideWhenUsed="0" w:uiPriority="99" w:semiHidden="0" w:name="table of figures"/>
    <w:lsdException w:qFormat="1" w:unhideWhenUsed="0" w:uiPriority="0" w:semiHidden="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iPriority="99"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qFormat="1"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qFormat="1"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0"/>
    <w:pPr>
      <w:spacing w:line="702" w:lineRule="exact"/>
      <w:jc w:val="center"/>
      <w:outlineLvl w:val="0"/>
    </w:pPr>
    <w:rPr>
      <w:rFonts w:ascii="Microsoft JhengHei" w:hAnsi="Microsoft JhengHei" w:eastAsia="Microsoft JhengHei" w:cs="Microsoft JhengHei"/>
      <w:b/>
      <w:bCs/>
      <w:sz w:val="44"/>
      <w:szCs w:val="44"/>
    </w:rPr>
  </w:style>
  <w:style w:type="paragraph" w:styleId="5">
    <w:name w:val="heading 2"/>
    <w:basedOn w:val="1"/>
    <w:next w:val="1"/>
    <w:link w:val="162"/>
    <w:qFormat/>
    <w:uiPriority w:val="0"/>
    <w:pPr>
      <w:ind w:left="641" w:hanging="401"/>
      <w:outlineLvl w:val="1"/>
    </w:pPr>
    <w:rPr>
      <w:rFonts w:ascii="Microsoft JhengHei" w:hAnsi="Microsoft JhengHei" w:eastAsia="Microsoft JhengHei" w:cs="Microsoft JhengHei"/>
      <w:b/>
      <w:bCs/>
      <w:sz w:val="32"/>
      <w:szCs w:val="32"/>
    </w:rPr>
  </w:style>
  <w:style w:type="paragraph" w:styleId="6">
    <w:name w:val="heading 3"/>
    <w:basedOn w:val="1"/>
    <w:next w:val="1"/>
    <w:link w:val="163"/>
    <w:qFormat/>
    <w:uiPriority w:val="0"/>
    <w:pPr>
      <w:ind w:left="866" w:hanging="489"/>
      <w:outlineLvl w:val="2"/>
    </w:pPr>
    <w:rPr>
      <w:sz w:val="28"/>
      <w:szCs w:val="28"/>
    </w:rPr>
  </w:style>
  <w:style w:type="paragraph" w:styleId="7">
    <w:name w:val="heading 4"/>
    <w:basedOn w:val="1"/>
    <w:next w:val="1"/>
    <w:link w:val="164"/>
    <w:qFormat/>
    <w:uiPriority w:val="0"/>
    <w:pPr>
      <w:ind w:left="240" w:firstLine="479"/>
      <w:jc w:val="both"/>
      <w:outlineLvl w:val="3"/>
    </w:pPr>
    <w:rPr>
      <w:sz w:val="24"/>
      <w:szCs w:val="24"/>
    </w:rPr>
  </w:style>
  <w:style w:type="paragraph" w:styleId="8">
    <w:name w:val="heading 5"/>
    <w:basedOn w:val="1"/>
    <w:next w:val="9"/>
    <w:link w:val="165"/>
    <w:qFormat/>
    <w:uiPriority w:val="0"/>
    <w:pPr>
      <w:ind w:left="1188" w:hanging="526"/>
      <w:outlineLvl w:val="4"/>
    </w:pPr>
    <w:rPr>
      <w:rFonts w:ascii="Microsoft JhengHei" w:hAnsi="Microsoft JhengHei" w:eastAsia="Microsoft JhengHei" w:cs="Microsoft JhengHei"/>
      <w:b/>
      <w:bCs/>
      <w:sz w:val="21"/>
      <w:szCs w:val="21"/>
    </w:rPr>
  </w:style>
  <w:style w:type="paragraph" w:styleId="10">
    <w:name w:val="heading 6"/>
    <w:basedOn w:val="1"/>
    <w:next w:val="9"/>
    <w:link w:val="166"/>
    <w:qFormat/>
    <w:uiPriority w:val="0"/>
    <w:pPr>
      <w:keepNext/>
      <w:keepLines/>
      <w:spacing w:before="240" w:after="64" w:line="320" w:lineRule="auto"/>
      <w:jc w:val="both"/>
      <w:outlineLvl w:val="5"/>
    </w:pPr>
    <w:rPr>
      <w:rFonts w:ascii="Arial" w:hAnsi="Arial" w:eastAsia="黑体" w:cs="Times New Roman"/>
      <w:b/>
      <w:bCs/>
      <w:kern w:val="2"/>
      <w:sz w:val="24"/>
      <w:szCs w:val="24"/>
      <w:lang w:val="en-US" w:bidi="ar-SA"/>
    </w:rPr>
  </w:style>
  <w:style w:type="paragraph" w:styleId="11">
    <w:name w:val="heading 7"/>
    <w:basedOn w:val="1"/>
    <w:next w:val="1"/>
    <w:link w:val="167"/>
    <w:qFormat/>
    <w:uiPriority w:val="0"/>
    <w:pPr>
      <w:keepNext/>
      <w:keepLines/>
      <w:spacing w:before="240" w:after="64" w:line="320" w:lineRule="auto"/>
      <w:jc w:val="both"/>
      <w:outlineLvl w:val="6"/>
    </w:pPr>
    <w:rPr>
      <w:rFonts w:ascii="Times New Roman" w:hAnsi="Times New Roman" w:cs="Times New Roman"/>
      <w:b/>
      <w:bCs/>
      <w:kern w:val="2"/>
      <w:sz w:val="24"/>
      <w:szCs w:val="24"/>
      <w:lang w:val="en-US" w:bidi="ar-SA"/>
    </w:rPr>
  </w:style>
  <w:style w:type="paragraph" w:styleId="12">
    <w:name w:val="heading 8"/>
    <w:basedOn w:val="1"/>
    <w:next w:val="1"/>
    <w:link w:val="168"/>
    <w:unhideWhenUsed/>
    <w:qFormat/>
    <w:uiPriority w:val="0"/>
    <w:pPr>
      <w:keepNext/>
      <w:keepLines/>
      <w:spacing w:before="240" w:after="64" w:line="320" w:lineRule="auto"/>
      <w:outlineLvl w:val="7"/>
    </w:pPr>
    <w:rPr>
      <w:rFonts w:ascii="Cambria" w:hAnsi="Cambria" w:cs="黑体"/>
      <w:sz w:val="24"/>
      <w:szCs w:val="24"/>
    </w:rPr>
  </w:style>
  <w:style w:type="paragraph" w:styleId="13">
    <w:name w:val="heading 9"/>
    <w:basedOn w:val="1"/>
    <w:next w:val="1"/>
    <w:link w:val="169"/>
    <w:qFormat/>
    <w:uiPriority w:val="0"/>
    <w:pPr>
      <w:keepNext/>
      <w:keepLines/>
      <w:spacing w:before="240" w:after="64" w:line="320" w:lineRule="auto"/>
      <w:jc w:val="both"/>
      <w:outlineLvl w:val="8"/>
    </w:pPr>
    <w:rPr>
      <w:rFonts w:ascii="Arial" w:hAnsi="Arial" w:eastAsia="黑体" w:cs="Times New Roman"/>
      <w:kern w:val="2"/>
      <w:sz w:val="21"/>
      <w:szCs w:val="21"/>
      <w:lang w:val="en-US" w:bidi="ar-SA"/>
    </w:rPr>
  </w:style>
  <w:style w:type="character" w:default="1" w:styleId="50">
    <w:name w:val="Default Paragraph Font"/>
    <w:unhideWhenUsed/>
    <w:qFormat/>
    <w:uiPriority w:val="1"/>
  </w:style>
  <w:style w:type="table" w:default="1" w:styleId="56">
    <w:name w:val="Normal Table"/>
    <w:unhideWhenUsed/>
    <w:qFormat/>
    <w:uiPriority w:val="99"/>
    <w:tblPr>
      <w:tblStyle w:val="56"/>
      <w:tblLayout w:type="fixed"/>
      <w:tblCellMar>
        <w:top w:w="0" w:type="dxa"/>
        <w:left w:w="108" w:type="dxa"/>
        <w:bottom w:w="0" w:type="dxa"/>
        <w:right w:w="108" w:type="dxa"/>
      </w:tblCellMar>
    </w:tblPr>
    <w:tcPr>
      <w:textDirection w:val="lrTb"/>
    </w:tcPr>
  </w:style>
  <w:style w:type="paragraph" w:styleId="2">
    <w:name w:val="Body Text First Indent 2"/>
    <w:basedOn w:val="3"/>
    <w:qFormat/>
    <w:uiPriority w:val="0"/>
    <w:pPr>
      <w:ind w:firstLine="420"/>
    </w:pPr>
    <w:rPr>
      <w:rFonts w:cs="Calibri"/>
      <w:kern w:val="2"/>
      <w:sz w:val="21"/>
      <w:szCs w:val="21"/>
    </w:rPr>
  </w:style>
  <w:style w:type="paragraph" w:styleId="3">
    <w:name w:val="Body Text Indent"/>
    <w:basedOn w:val="1"/>
    <w:link w:val="172"/>
    <w:qFormat/>
    <w:uiPriority w:val="0"/>
    <w:pPr>
      <w:spacing w:after="120"/>
      <w:ind w:left="420" w:leftChars="200"/>
    </w:pPr>
  </w:style>
  <w:style w:type="paragraph" w:styleId="9">
    <w:name w:val="Normal Indent"/>
    <w:basedOn w:val="1"/>
    <w:link w:val="180"/>
    <w:qFormat/>
    <w:uiPriority w:val="0"/>
    <w:pPr>
      <w:adjustRightInd w:val="0"/>
      <w:spacing w:line="315" w:lineRule="atLeast"/>
      <w:ind w:firstLine="420"/>
    </w:pPr>
    <w:rPr>
      <w:rFonts w:ascii="楷体_GB2312" w:hAnsi="Times New Roman" w:eastAsia="楷体_GB2312" w:cs="Times New Roman"/>
      <w:sz w:val="28"/>
      <w:szCs w:val="20"/>
      <w:lang w:val="en-US" w:bidi="ar-SA"/>
    </w:rPr>
  </w:style>
  <w:style w:type="paragraph" w:styleId="14">
    <w:name w:val="annotation subject"/>
    <w:basedOn w:val="15"/>
    <w:next w:val="15"/>
    <w:link w:val="176"/>
    <w:qFormat/>
    <w:uiPriority w:val="99"/>
    <w:rPr>
      <w:b/>
      <w:bCs/>
    </w:rPr>
  </w:style>
  <w:style w:type="paragraph" w:styleId="15">
    <w:name w:val="annotation text"/>
    <w:basedOn w:val="1"/>
    <w:link w:val="170"/>
    <w:qFormat/>
    <w:uiPriority w:val="0"/>
  </w:style>
  <w:style w:type="paragraph" w:styleId="16">
    <w:name w:val="toc 7"/>
    <w:basedOn w:val="1"/>
    <w:next w:val="1"/>
    <w:unhideWhenUsed/>
    <w:qFormat/>
    <w:uiPriority w:val="39"/>
    <w:pPr>
      <w:ind w:left="2520" w:leftChars="1200"/>
      <w:jc w:val="both"/>
    </w:pPr>
    <w:rPr>
      <w:rFonts w:ascii="Calibri" w:hAnsi="Calibri" w:cs="黑体"/>
      <w:kern w:val="2"/>
      <w:sz w:val="21"/>
      <w:lang w:val="en-US" w:bidi="ar-SA"/>
    </w:rPr>
  </w:style>
  <w:style w:type="paragraph" w:styleId="17">
    <w:name w:val="Body Text First Indent"/>
    <w:basedOn w:val="18"/>
    <w:link w:val="219"/>
    <w:qFormat/>
    <w:uiPriority w:val="0"/>
    <w:pPr>
      <w:widowControl/>
      <w:spacing w:line="360" w:lineRule="auto"/>
      <w:ind w:firstLine="454"/>
      <w:jc w:val="both"/>
    </w:pPr>
    <w:rPr>
      <w:rFonts w:hAnsi="Times New Roman" w:cs="Times New Roman"/>
      <w:lang w:val="en-US" w:bidi="ar-SA"/>
    </w:rPr>
  </w:style>
  <w:style w:type="paragraph" w:styleId="18">
    <w:name w:val="Body Text"/>
    <w:basedOn w:val="1"/>
    <w:link w:val="171"/>
    <w:qFormat/>
    <w:uiPriority w:val="0"/>
    <w:rPr>
      <w:sz w:val="21"/>
      <w:szCs w:val="21"/>
    </w:rPr>
  </w:style>
  <w:style w:type="paragraph" w:styleId="19">
    <w:name w:val="table of authorities"/>
    <w:basedOn w:val="1"/>
    <w:next w:val="1"/>
    <w:unhideWhenUsed/>
    <w:qFormat/>
    <w:uiPriority w:val="99"/>
    <w:pPr>
      <w:ind w:left="420" w:leftChars="200"/>
      <w:jc w:val="both"/>
    </w:pPr>
    <w:rPr>
      <w:rFonts w:ascii="Calibri" w:hAnsi="Calibri" w:cs="Times New Roman"/>
      <w:kern w:val="2"/>
      <w:sz w:val="21"/>
      <w:lang w:val="en-US" w:bidi="ar-SA"/>
    </w:rPr>
  </w:style>
  <w:style w:type="paragraph" w:styleId="20">
    <w:name w:val="caption"/>
    <w:basedOn w:val="1"/>
    <w:next w:val="1"/>
    <w:link w:val="206"/>
    <w:unhideWhenUsed/>
    <w:qFormat/>
    <w:uiPriority w:val="99"/>
    <w:pPr>
      <w:adjustRightInd w:val="0"/>
      <w:spacing w:line="300" w:lineRule="auto"/>
      <w:jc w:val="center"/>
      <w:textAlignment w:val="baseline"/>
    </w:pPr>
    <w:rPr>
      <w:rFonts w:ascii="Cambria" w:hAnsi="Cambria" w:eastAsia="黑体" w:cs="Times New Roman"/>
      <w:sz w:val="24"/>
      <w:szCs w:val="20"/>
      <w:lang w:val="en-US" w:bidi="ar-SA"/>
    </w:rPr>
  </w:style>
  <w:style w:type="paragraph" w:styleId="21">
    <w:name w:val="envelope address"/>
    <w:basedOn w:val="1"/>
    <w:qFormat/>
    <w:uiPriority w:val="0"/>
    <w:pPr>
      <w:framePr w:w="7920" w:h="1980" w:hRule="exact" w:hSpace="180" w:wrap="around" w:vAnchor="margin" w:hAnchor="page" w:xAlign="center" w:yAlign="bottom"/>
      <w:adjustRightInd w:val="0"/>
      <w:snapToGrid w:val="0"/>
      <w:spacing w:line="500" w:lineRule="exact"/>
      <w:ind w:left="100" w:leftChars="1400"/>
      <w:textAlignment w:val="baseline"/>
    </w:pPr>
    <w:rPr>
      <w:rFonts w:ascii="Arial" w:hAnsi="Arial" w:cs="Arial"/>
      <w:sz w:val="24"/>
      <w:szCs w:val="24"/>
      <w:lang w:val="en-US" w:bidi="ar-SA"/>
    </w:rPr>
  </w:style>
  <w:style w:type="paragraph" w:styleId="22">
    <w:name w:val="Document Map"/>
    <w:basedOn w:val="1"/>
    <w:link w:val="181"/>
    <w:qFormat/>
    <w:uiPriority w:val="99"/>
    <w:pPr>
      <w:jc w:val="both"/>
    </w:pPr>
    <w:rPr>
      <w:rFonts w:hAnsi="Times New Roman" w:cs="Times New Roman"/>
      <w:kern w:val="2"/>
      <w:sz w:val="18"/>
      <w:szCs w:val="18"/>
      <w:lang w:val="en-US" w:bidi="ar-SA"/>
    </w:rPr>
  </w:style>
  <w:style w:type="paragraph" w:styleId="23">
    <w:name w:val="Salutation"/>
    <w:basedOn w:val="1"/>
    <w:next w:val="1"/>
    <w:link w:val="209"/>
    <w:qFormat/>
    <w:uiPriority w:val="0"/>
    <w:pPr>
      <w:jc w:val="both"/>
    </w:pPr>
    <w:rPr>
      <w:rFonts w:ascii="Calibri" w:hAnsi="Calibri" w:cs="黑体"/>
      <w:kern w:val="2"/>
      <w:sz w:val="24"/>
      <w:szCs w:val="24"/>
      <w:lang w:val="en-US" w:bidi="ar-SA"/>
    </w:rPr>
  </w:style>
  <w:style w:type="paragraph" w:styleId="24">
    <w:name w:val="Body Text 3"/>
    <w:basedOn w:val="1"/>
    <w:link w:val="182"/>
    <w:qFormat/>
    <w:uiPriority w:val="0"/>
    <w:pPr>
      <w:spacing w:after="120"/>
      <w:jc w:val="both"/>
    </w:pPr>
    <w:rPr>
      <w:rFonts w:ascii="Times New Roman" w:hAnsi="Times New Roman" w:cs="Times New Roman"/>
      <w:kern w:val="2"/>
      <w:sz w:val="16"/>
      <w:szCs w:val="16"/>
      <w:lang w:val="en-US" w:bidi="ar-SA"/>
    </w:rPr>
  </w:style>
  <w:style w:type="paragraph" w:styleId="25">
    <w:name w:val="List 2"/>
    <w:basedOn w:val="1"/>
    <w:qFormat/>
    <w:uiPriority w:val="0"/>
    <w:pPr>
      <w:ind w:left="100" w:leftChars="200" w:hanging="200" w:hangingChars="200"/>
      <w:jc w:val="both"/>
    </w:pPr>
    <w:rPr>
      <w:rFonts w:ascii="Times New Roman" w:hAnsi="Times New Roman" w:cs="Times New Roman"/>
      <w:kern w:val="2"/>
      <w:sz w:val="21"/>
      <w:szCs w:val="24"/>
      <w:lang w:val="en-US" w:bidi="ar-SA"/>
    </w:rPr>
  </w:style>
  <w:style w:type="paragraph" w:styleId="26">
    <w:name w:val="List Continue"/>
    <w:basedOn w:val="1"/>
    <w:qFormat/>
    <w:uiPriority w:val="0"/>
    <w:pPr>
      <w:adjustRightInd w:val="0"/>
      <w:spacing w:after="120" w:line="300" w:lineRule="auto"/>
      <w:ind w:left="420" w:leftChars="200" w:firstLine="480" w:firstLineChars="200"/>
      <w:jc w:val="both"/>
      <w:textAlignment w:val="baseline"/>
    </w:pPr>
    <w:rPr>
      <w:rFonts w:ascii="Times New Roman" w:hAnsi="Times New Roman" w:cs="Times New Roman"/>
      <w:sz w:val="24"/>
      <w:szCs w:val="20"/>
      <w:lang w:val="en-US" w:bidi="ar-SA"/>
    </w:rPr>
  </w:style>
  <w:style w:type="paragraph" w:styleId="27">
    <w:name w:val="toc 5"/>
    <w:basedOn w:val="1"/>
    <w:next w:val="1"/>
    <w:unhideWhenUsed/>
    <w:qFormat/>
    <w:uiPriority w:val="39"/>
    <w:pPr>
      <w:ind w:left="1680" w:leftChars="800"/>
      <w:jc w:val="both"/>
    </w:pPr>
    <w:rPr>
      <w:rFonts w:ascii="Calibri" w:hAnsi="Calibri" w:cs="黑体"/>
      <w:kern w:val="2"/>
      <w:sz w:val="21"/>
      <w:lang w:val="en-US" w:bidi="ar-SA"/>
    </w:rPr>
  </w:style>
  <w:style w:type="paragraph" w:styleId="28">
    <w:name w:val="toc 3"/>
    <w:basedOn w:val="1"/>
    <w:next w:val="1"/>
    <w:qFormat/>
    <w:uiPriority w:val="39"/>
    <w:pPr>
      <w:spacing w:before="2"/>
      <w:ind w:left="1450" w:hanging="370"/>
    </w:pPr>
    <w:rPr>
      <w:sz w:val="21"/>
      <w:szCs w:val="21"/>
    </w:rPr>
  </w:style>
  <w:style w:type="paragraph" w:styleId="29">
    <w:name w:val="Plain Text"/>
    <w:basedOn w:val="1"/>
    <w:link w:val="183"/>
    <w:qFormat/>
    <w:uiPriority w:val="0"/>
    <w:pPr>
      <w:jc w:val="both"/>
    </w:pPr>
    <w:rPr>
      <w:rFonts w:hAnsi="Courier New" w:cs="Times New Roman"/>
      <w:kern w:val="2"/>
      <w:sz w:val="21"/>
      <w:szCs w:val="20"/>
      <w:lang w:val="en-US" w:bidi="ar-SA"/>
    </w:rPr>
  </w:style>
  <w:style w:type="paragraph" w:styleId="30">
    <w:name w:val="toc 8"/>
    <w:basedOn w:val="1"/>
    <w:next w:val="1"/>
    <w:unhideWhenUsed/>
    <w:qFormat/>
    <w:uiPriority w:val="39"/>
    <w:pPr>
      <w:ind w:left="2940" w:leftChars="1400"/>
      <w:jc w:val="both"/>
    </w:pPr>
    <w:rPr>
      <w:rFonts w:ascii="Calibri" w:hAnsi="Calibri" w:cs="黑体"/>
      <w:kern w:val="2"/>
      <w:sz w:val="21"/>
      <w:lang w:val="en-US" w:bidi="ar-SA"/>
    </w:rPr>
  </w:style>
  <w:style w:type="paragraph" w:styleId="31">
    <w:name w:val="Date"/>
    <w:basedOn w:val="1"/>
    <w:next w:val="1"/>
    <w:link w:val="184"/>
    <w:qFormat/>
    <w:uiPriority w:val="0"/>
    <w:pPr>
      <w:ind w:left="100" w:leftChars="2500"/>
      <w:jc w:val="both"/>
    </w:pPr>
    <w:rPr>
      <w:rFonts w:ascii="Times New Roman" w:hAnsi="Times New Roman" w:cs="Times New Roman"/>
      <w:kern w:val="2"/>
      <w:sz w:val="21"/>
      <w:szCs w:val="20"/>
      <w:lang w:val="en-US" w:bidi="ar-SA"/>
    </w:rPr>
  </w:style>
  <w:style w:type="paragraph" w:styleId="32">
    <w:name w:val="Body Text Indent 2"/>
    <w:basedOn w:val="1"/>
    <w:link w:val="185"/>
    <w:qFormat/>
    <w:uiPriority w:val="0"/>
    <w:pPr>
      <w:spacing w:line="480" w:lineRule="auto"/>
      <w:ind w:firstLine="480" w:firstLineChars="200"/>
      <w:jc w:val="both"/>
    </w:pPr>
    <w:rPr>
      <w:rFonts w:ascii="仿宋_GB2312" w:eastAsia="仿宋_GB2312" w:cs="Times New Roman"/>
      <w:kern w:val="2"/>
      <w:sz w:val="24"/>
      <w:szCs w:val="24"/>
      <w:lang w:val="en-US" w:bidi="ar-SA"/>
    </w:rPr>
  </w:style>
  <w:style w:type="paragraph" w:styleId="33">
    <w:name w:val="endnote text"/>
    <w:basedOn w:val="1"/>
    <w:link w:val="212"/>
    <w:qFormat/>
    <w:uiPriority w:val="0"/>
    <w:pPr>
      <w:widowControl/>
      <w:overflowPunct w:val="0"/>
      <w:adjustRightInd w:val="0"/>
      <w:textAlignment w:val="baseline"/>
    </w:pPr>
    <w:rPr>
      <w:rFonts w:ascii="Calibri" w:hAnsi="Calibri" w:cs="黑体"/>
      <w:sz w:val="20"/>
      <w:szCs w:val="20"/>
      <w:lang w:val="en-US" w:bidi="ar-SA"/>
    </w:rPr>
  </w:style>
  <w:style w:type="paragraph" w:styleId="34">
    <w:name w:val="Balloon Text"/>
    <w:basedOn w:val="1"/>
    <w:link w:val="186"/>
    <w:qFormat/>
    <w:uiPriority w:val="99"/>
    <w:pPr>
      <w:jc w:val="both"/>
    </w:pPr>
    <w:rPr>
      <w:rFonts w:ascii="Times New Roman" w:hAnsi="Times New Roman" w:cs="Times New Roman"/>
      <w:kern w:val="2"/>
      <w:sz w:val="18"/>
      <w:szCs w:val="18"/>
      <w:lang w:val="en-US" w:bidi="ar-SA"/>
    </w:rPr>
  </w:style>
  <w:style w:type="paragraph" w:styleId="35">
    <w:name w:val="footer"/>
    <w:basedOn w:val="1"/>
    <w:link w:val="173"/>
    <w:qFormat/>
    <w:uiPriority w:val="0"/>
    <w:pPr>
      <w:tabs>
        <w:tab w:val="center" w:pos="4153"/>
        <w:tab w:val="right" w:pos="8306"/>
      </w:tabs>
      <w:snapToGrid w:val="0"/>
    </w:pPr>
    <w:rPr>
      <w:rFonts w:ascii="Calibri" w:hAnsi="Calibri" w:eastAsia="Calibri" w:cs="黑体"/>
      <w:sz w:val="18"/>
      <w:lang w:val="en-US" w:eastAsia="en-US" w:bidi="ar-SA"/>
    </w:rPr>
  </w:style>
  <w:style w:type="paragraph" w:styleId="36">
    <w:name w:val="header"/>
    <w:basedOn w:val="1"/>
    <w:link w:val="174"/>
    <w:qFormat/>
    <w:uiPriority w:val="99"/>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39"/>
    <w:pPr>
      <w:spacing w:before="2"/>
      <w:ind w:left="240"/>
    </w:pPr>
    <w:rPr>
      <w:sz w:val="21"/>
      <w:szCs w:val="21"/>
    </w:rPr>
  </w:style>
  <w:style w:type="paragraph" w:styleId="38">
    <w:name w:val="toc 4"/>
    <w:basedOn w:val="1"/>
    <w:next w:val="1"/>
    <w:unhideWhenUsed/>
    <w:qFormat/>
    <w:uiPriority w:val="39"/>
    <w:pPr>
      <w:ind w:left="1260" w:leftChars="600"/>
      <w:jc w:val="both"/>
    </w:pPr>
    <w:rPr>
      <w:rFonts w:ascii="Calibri" w:hAnsi="Calibri" w:cs="黑体"/>
      <w:kern w:val="2"/>
      <w:sz w:val="21"/>
      <w:lang w:val="en-US" w:bidi="ar-SA"/>
    </w:rPr>
  </w:style>
  <w:style w:type="paragraph" w:styleId="39">
    <w:name w:val="Subtitle"/>
    <w:basedOn w:val="1"/>
    <w:next w:val="1"/>
    <w:link w:val="214"/>
    <w:qFormat/>
    <w:uiPriority w:val="0"/>
    <w:pPr>
      <w:spacing w:before="240" w:after="60" w:line="312" w:lineRule="auto"/>
      <w:jc w:val="center"/>
      <w:outlineLvl w:val="1"/>
    </w:pPr>
    <w:rPr>
      <w:rFonts w:ascii="Cambria" w:hAnsi="Cambria" w:cs="黑体"/>
      <w:b/>
      <w:bCs/>
      <w:kern w:val="28"/>
      <w:sz w:val="32"/>
      <w:szCs w:val="32"/>
      <w:lang w:val="en-US" w:bidi="ar-SA"/>
    </w:rPr>
  </w:style>
  <w:style w:type="paragraph" w:styleId="40">
    <w:name w:val="footnote text"/>
    <w:basedOn w:val="1"/>
    <w:link w:val="217"/>
    <w:qFormat/>
    <w:uiPriority w:val="0"/>
    <w:pPr>
      <w:snapToGrid w:val="0"/>
    </w:pPr>
    <w:rPr>
      <w:rFonts w:ascii="Calibri" w:hAnsi="Calibri" w:cs="黑体"/>
      <w:kern w:val="2"/>
      <w:sz w:val="18"/>
      <w:szCs w:val="18"/>
      <w:lang w:val="en-US" w:bidi="ar-SA"/>
    </w:rPr>
  </w:style>
  <w:style w:type="paragraph" w:styleId="41">
    <w:name w:val="toc 6"/>
    <w:basedOn w:val="1"/>
    <w:next w:val="1"/>
    <w:unhideWhenUsed/>
    <w:qFormat/>
    <w:uiPriority w:val="39"/>
    <w:pPr>
      <w:ind w:left="2100" w:leftChars="1000"/>
      <w:jc w:val="both"/>
    </w:pPr>
    <w:rPr>
      <w:rFonts w:ascii="Calibri" w:hAnsi="Calibri" w:cs="黑体"/>
      <w:kern w:val="2"/>
      <w:sz w:val="21"/>
      <w:lang w:val="en-US" w:bidi="ar-SA"/>
    </w:rPr>
  </w:style>
  <w:style w:type="paragraph" w:styleId="42">
    <w:name w:val="Body Text Indent 3"/>
    <w:basedOn w:val="1"/>
    <w:link w:val="187"/>
    <w:qFormat/>
    <w:uiPriority w:val="0"/>
    <w:pPr>
      <w:spacing w:after="120" w:line="360" w:lineRule="atLeast"/>
      <w:ind w:firstLine="720" w:firstLineChars="300"/>
      <w:jc w:val="both"/>
    </w:pPr>
    <w:rPr>
      <w:rFonts w:ascii="Times New Roman" w:hAnsi="Times New Roman" w:cs="Times New Roman"/>
      <w:kern w:val="2"/>
      <w:sz w:val="24"/>
      <w:szCs w:val="20"/>
      <w:lang w:val="en-US" w:bidi="ar-SA"/>
    </w:rPr>
  </w:style>
  <w:style w:type="paragraph" w:styleId="43">
    <w:name w:val="table of figures"/>
    <w:basedOn w:val="1"/>
    <w:next w:val="1"/>
    <w:qFormat/>
    <w:uiPriority w:val="99"/>
    <w:pPr>
      <w:adjustRightInd w:val="0"/>
      <w:spacing w:before="120" w:after="120"/>
      <w:textAlignment w:val="baseline"/>
    </w:pPr>
    <w:rPr>
      <w:rFonts w:ascii="Times New Roman" w:hAnsi="Times New Roman" w:eastAsia="黑体" w:cs="Times New Roman"/>
      <w:color w:val="000000"/>
      <w:sz w:val="24"/>
      <w:szCs w:val="20"/>
      <w:lang w:val="en-US" w:bidi="ar-SA"/>
    </w:rPr>
  </w:style>
  <w:style w:type="paragraph" w:styleId="44">
    <w:name w:val="toc 2"/>
    <w:basedOn w:val="1"/>
    <w:next w:val="1"/>
    <w:link w:val="175"/>
    <w:qFormat/>
    <w:uiPriority w:val="39"/>
    <w:pPr>
      <w:spacing w:before="2"/>
      <w:ind w:left="924" w:hanging="264"/>
    </w:pPr>
    <w:rPr>
      <w:sz w:val="21"/>
      <w:szCs w:val="21"/>
    </w:rPr>
  </w:style>
  <w:style w:type="paragraph" w:styleId="45">
    <w:name w:val="toc 9"/>
    <w:basedOn w:val="1"/>
    <w:next w:val="1"/>
    <w:unhideWhenUsed/>
    <w:qFormat/>
    <w:uiPriority w:val="39"/>
    <w:pPr>
      <w:ind w:left="3360" w:leftChars="1600"/>
      <w:jc w:val="both"/>
    </w:pPr>
    <w:rPr>
      <w:rFonts w:ascii="Calibri" w:hAnsi="Calibri" w:cs="黑体"/>
      <w:kern w:val="2"/>
      <w:sz w:val="21"/>
      <w:lang w:val="en-US" w:bidi="ar-SA"/>
    </w:rPr>
  </w:style>
  <w:style w:type="paragraph" w:styleId="46">
    <w:name w:val="Body Text 2"/>
    <w:basedOn w:val="1"/>
    <w:link w:val="188"/>
    <w:unhideWhenUsed/>
    <w:qFormat/>
    <w:uiPriority w:val="0"/>
    <w:pPr>
      <w:spacing w:after="120" w:line="480" w:lineRule="auto"/>
      <w:jc w:val="both"/>
    </w:pPr>
    <w:rPr>
      <w:rFonts w:ascii="Times New Roman" w:hAnsi="Times New Roman" w:cs="Times New Roman"/>
      <w:kern w:val="2"/>
      <w:sz w:val="21"/>
      <w:szCs w:val="24"/>
      <w:lang w:val="en-US" w:bidi="ar-SA"/>
    </w:rPr>
  </w:style>
  <w:style w:type="paragraph" w:styleId="47">
    <w:name w:val="HTML Preformatted"/>
    <w:basedOn w:val="1"/>
    <w:link w:val="18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val="en-US" w:bidi="ar-SA"/>
    </w:rPr>
  </w:style>
  <w:style w:type="paragraph" w:styleId="48">
    <w:name w:val="Normal (Web)"/>
    <w:basedOn w:val="1"/>
    <w:qFormat/>
    <w:uiPriority w:val="99"/>
    <w:pPr>
      <w:widowControl/>
    </w:pPr>
    <w:rPr>
      <w:rFonts w:ascii="Arial Narrow" w:hAnsi="Arial Narrow" w:eastAsia="Calibri"/>
      <w:sz w:val="18"/>
      <w:szCs w:val="18"/>
      <w:lang w:val="en-US" w:eastAsia="en-US" w:bidi="ar-SA"/>
    </w:rPr>
  </w:style>
  <w:style w:type="paragraph" w:styleId="49">
    <w:name w:val="Title"/>
    <w:basedOn w:val="1"/>
    <w:next w:val="1"/>
    <w:link w:val="190"/>
    <w:qFormat/>
    <w:uiPriority w:val="10"/>
    <w:pPr>
      <w:spacing w:before="240" w:after="60"/>
      <w:jc w:val="center"/>
      <w:outlineLvl w:val="0"/>
    </w:pPr>
    <w:rPr>
      <w:rFonts w:ascii="Cambria" w:hAnsi="Cambria" w:cs="Times New Roman"/>
      <w:b/>
      <w:bCs/>
      <w:kern w:val="2"/>
      <w:sz w:val="32"/>
      <w:szCs w:val="32"/>
      <w:lang w:val="en-US" w:bidi="ar-SA"/>
    </w:rPr>
  </w:style>
  <w:style w:type="character" w:styleId="51">
    <w:name w:val="Strong"/>
    <w:qFormat/>
    <w:uiPriority w:val="0"/>
    <w:rPr>
      <w:b/>
      <w:bCs/>
    </w:rPr>
  </w:style>
  <w:style w:type="character" w:styleId="52">
    <w:name w:val="page number"/>
    <w:basedOn w:val="50"/>
    <w:qFormat/>
    <w:uiPriority w:val="0"/>
    <w:rPr/>
  </w:style>
  <w:style w:type="character" w:styleId="53">
    <w:name w:val="FollowedHyperlink"/>
    <w:unhideWhenUsed/>
    <w:qFormat/>
    <w:uiPriority w:val="99"/>
    <w:rPr>
      <w:color w:val="800080"/>
      <w:u w:val="single"/>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table" w:styleId="57">
    <w:name w:val="Table Grid"/>
    <w:basedOn w:val="56"/>
    <w:qFormat/>
    <w:uiPriority w:val="0"/>
    <w:pPr/>
    <w:rPr>
      <w:rFonts w:ascii="Calibri" w:hAnsi="Calibri"/>
    </w:rPr>
    <w:tblPr>
      <w:tblStyle w:val="5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58">
    <w:name w:val="列出段落1"/>
    <w:basedOn w:val="1"/>
    <w:link w:val="177"/>
    <w:qFormat/>
    <w:uiPriority w:val="34"/>
    <w:pPr>
      <w:ind w:left="240" w:firstLine="420"/>
    </w:pPr>
  </w:style>
  <w:style w:type="paragraph" w:customStyle="1" w:styleId="59">
    <w:name w:val="Table Paragraph"/>
    <w:basedOn w:val="1"/>
    <w:qFormat/>
    <w:uiPriority w:val="99"/>
  </w:style>
  <w:style w:type="paragraph" w:customStyle="1" w:styleId="60">
    <w:name w:val="列出段落11"/>
    <w:basedOn w:val="1"/>
    <w:qFormat/>
    <w:uiPriority w:val="0"/>
    <w:pPr>
      <w:widowControl/>
      <w:ind w:firstLine="420" w:firstLineChars="200"/>
    </w:pPr>
    <w:rPr>
      <w:sz w:val="24"/>
    </w:rPr>
  </w:style>
  <w:style w:type="paragraph" w:customStyle="1" w:styleId="61">
    <w:name w:val="TOC 标题1"/>
    <w:basedOn w:val="4"/>
    <w:next w:val="1"/>
    <w:unhideWhenUsed/>
    <w:qFormat/>
    <w:uiPriority w:val="39"/>
    <w:pPr>
      <w:keepNext/>
      <w:keepLines/>
      <w:widowControl/>
      <w:spacing w:before="240" w:line="259" w:lineRule="auto"/>
      <w:jc w:val="left"/>
      <w:outlineLvl w:val="9"/>
    </w:pPr>
    <w:rPr>
      <w:rFonts w:ascii="Cambria" w:hAnsi="Cambria" w:eastAsia="宋体" w:cs="黑体"/>
      <w:b w:val="0"/>
      <w:bCs w:val="0"/>
      <w:color w:val="365F90"/>
      <w:sz w:val="32"/>
      <w:szCs w:val="32"/>
      <w:lang w:val="en-US" w:bidi="ar-SA"/>
    </w:rPr>
  </w:style>
  <w:style w:type="paragraph" w:customStyle="1" w:styleId="62">
    <w:name w:val="￥正文"/>
    <w:basedOn w:val="1"/>
    <w:qFormat/>
    <w:uiPriority w:val="0"/>
    <w:pPr>
      <w:widowControl/>
      <w:shd w:val="clear" w:color="auto" w:fill="FFFFFF"/>
      <w:tabs>
        <w:tab w:val="left" w:pos="426"/>
      </w:tabs>
      <w:adjustRightInd w:val="0"/>
      <w:snapToGrid w:val="0"/>
      <w:spacing w:line="360" w:lineRule="auto"/>
      <w:ind w:firstLine="200" w:firstLineChars="200"/>
    </w:pPr>
    <w:rPr>
      <w:rFonts w:ascii="Calibri" w:hAnsi="Calibri" w:cs="Times New Roman"/>
      <w:kern w:val="2"/>
      <w:sz w:val="24"/>
      <w:szCs w:val="20"/>
      <w:lang w:val="en-US" w:bidi="ar-SA"/>
    </w:rPr>
  </w:style>
  <w:style w:type="paragraph" w:customStyle="1" w:styleId="63">
    <w:name w:val="Char Char Char Char Char Char Char Char Char Char Char Char Char"/>
    <w:basedOn w:val="22"/>
    <w:qFormat/>
    <w:uiPriority w:val="0"/>
    <w:pPr>
      <w:shd w:val="clear" w:color="auto" w:fill="000080"/>
    </w:pPr>
    <w:rPr>
      <w:rFonts w:ascii="Tahoma" w:hAnsi="Tahoma"/>
      <w:sz w:val="24"/>
      <w:szCs w:val="24"/>
    </w:rPr>
  </w:style>
  <w:style w:type="paragraph" w:customStyle="1" w:styleId="6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5">
    <w:name w:val="Blockquote"/>
    <w:basedOn w:val="1"/>
    <w:qFormat/>
    <w:uiPriority w:val="0"/>
    <w:pPr>
      <w:adjustRightInd w:val="0"/>
      <w:spacing w:before="100" w:after="100"/>
      <w:ind w:left="360" w:right="360"/>
    </w:pPr>
    <w:rPr>
      <w:rFonts w:ascii="Times New Roman" w:hAnsi="Times New Roman" w:cs="Times New Roman"/>
      <w:sz w:val="24"/>
      <w:szCs w:val="20"/>
      <w:lang w:val="en-US" w:bidi="ar-SA"/>
    </w:rPr>
  </w:style>
  <w:style w:type="paragraph" w:customStyle="1" w:styleId="66">
    <w:name w:val="bt1bt1"/>
    <w:basedOn w:val="4"/>
    <w:qFormat/>
    <w:uiPriority w:val="0"/>
    <w:pPr>
      <w:keepNext/>
      <w:keepLines/>
      <w:spacing w:before="340" w:after="330" w:line="240" w:lineRule="auto"/>
    </w:pPr>
    <w:rPr>
      <w:rFonts w:ascii="黑体" w:hAnsi="Times New Roman" w:eastAsia="黑体" w:cs="Times New Roman"/>
      <w:b w:val="0"/>
      <w:kern w:val="44"/>
      <w:sz w:val="36"/>
      <w:szCs w:val="36"/>
      <w:lang w:val="en-US" w:bidi="ar-SA"/>
    </w:rPr>
  </w:style>
  <w:style w:type="paragraph" w:customStyle="1" w:styleId="67">
    <w:name w:val="新定义正文"/>
    <w:basedOn w:val="1"/>
    <w:qFormat/>
    <w:uiPriority w:val="0"/>
    <w:pPr>
      <w:widowControl/>
      <w:jc w:val="both"/>
    </w:pPr>
    <w:rPr>
      <w:rFonts w:ascii="Times New Roman" w:hAnsi="Times New Roman" w:cs="Times New Roman"/>
      <w:color w:val="000000"/>
      <w:kern w:val="2"/>
      <w:sz w:val="21"/>
      <w:szCs w:val="21"/>
      <w:lang w:val="en-US" w:bidi="ar-SA"/>
    </w:rPr>
  </w:style>
  <w:style w:type="paragraph" w:customStyle="1" w:styleId="68">
    <w:name w:val="节"/>
    <w:basedOn w:val="5"/>
    <w:qFormat/>
    <w:uiPriority w:val="0"/>
    <w:pPr>
      <w:keepNext/>
      <w:keepLines/>
      <w:spacing w:before="260" w:after="260"/>
      <w:ind w:left="0" w:firstLine="0"/>
      <w:jc w:val="both"/>
    </w:pPr>
    <w:rPr>
      <w:rFonts w:ascii="黑体" w:hAnsi="Arial" w:eastAsia="黑体" w:cs="Times New Roman"/>
      <w:b w:val="0"/>
      <w:kern w:val="2"/>
      <w:sz w:val="28"/>
      <w:szCs w:val="28"/>
      <w:lang w:val="en-US" w:bidi="ar-SA"/>
    </w:rPr>
  </w:style>
  <w:style w:type="paragraph" w:customStyle="1" w:styleId="69">
    <w:name w:val="蓝色显示"/>
    <w:basedOn w:val="1"/>
    <w:link w:val="197"/>
    <w:qFormat/>
    <w:uiPriority w:val="0"/>
    <w:pPr>
      <w:spacing w:before="340" w:after="330" w:line="400" w:lineRule="exact"/>
      <w:jc w:val="both"/>
    </w:pPr>
    <w:rPr>
      <w:rFonts w:ascii="Times New Roman" w:hAnsi="Times New Roman" w:cs="Times New Roman"/>
      <w:b/>
      <w:color w:val="0070C0"/>
      <w:kern w:val="2"/>
      <w:sz w:val="21"/>
      <w:szCs w:val="24"/>
      <w:lang w:val="en-US" w:bidi="ar-SA"/>
    </w:rPr>
  </w:style>
  <w:style w:type="paragraph" w:customStyle="1" w:styleId="70">
    <w:name w:val="标题3"/>
    <w:basedOn w:val="9"/>
    <w:link w:val="198"/>
    <w:qFormat/>
    <w:uiPriority w:val="0"/>
    <w:pPr>
      <w:numPr>
        <w:ilvl w:val="0"/>
        <w:numId w:val="1"/>
      </w:numPr>
      <w:spacing w:line="240" w:lineRule="auto"/>
    </w:pPr>
    <w:rPr>
      <w:rFonts w:ascii="宋体" w:hAnsi="宋体" w:eastAsia="宋体"/>
      <w:color w:val="000000"/>
      <w:sz w:val="21"/>
      <w:szCs w:val="21"/>
    </w:rPr>
  </w:style>
  <w:style w:type="paragraph" w:customStyle="1" w:styleId="71">
    <w:name w:val="正文00"/>
    <w:basedOn w:val="1"/>
    <w:qFormat/>
    <w:uiPriority w:val="0"/>
    <w:pPr>
      <w:topLinePunct w:val="1"/>
      <w:spacing w:line="360" w:lineRule="auto"/>
      <w:ind w:firstLine="200" w:firstLineChars="200"/>
      <w:jc w:val="both"/>
    </w:pPr>
    <w:rPr>
      <w:rFonts w:ascii="Times New Roman" w:hAnsi="Times New Roman" w:cs="Times New Roman"/>
      <w:kern w:val="2"/>
      <w:sz w:val="24"/>
      <w:szCs w:val="21"/>
      <w:lang w:val="en-US" w:bidi="ar-SA"/>
    </w:rPr>
  </w:style>
  <w:style w:type="paragraph" w:customStyle="1" w:styleId="72">
    <w:name w:val="标题 10"/>
    <w:basedOn w:val="5"/>
    <w:qFormat/>
    <w:uiPriority w:val="0"/>
    <w:pPr>
      <w:keepNext/>
      <w:keepLines/>
      <w:tabs>
        <w:tab w:val="left" w:pos="425"/>
      </w:tabs>
      <w:spacing w:before="260" w:after="260" w:line="416" w:lineRule="auto"/>
      <w:ind w:left="425" w:hanging="425"/>
      <w:jc w:val="center"/>
    </w:pPr>
    <w:rPr>
      <w:rFonts w:ascii="Arial" w:hAnsi="Arial" w:eastAsia="黑体" w:cs="Times New Roman"/>
      <w:sz w:val="28"/>
      <w:lang w:val="en-US" w:bidi="ar-SA"/>
    </w:rPr>
  </w:style>
  <w:style w:type="paragraph" w:customStyle="1" w:styleId="73">
    <w:name w:val="标题 55"/>
    <w:basedOn w:val="8"/>
    <w:qFormat/>
    <w:uiPriority w:val="0"/>
    <w:pPr>
      <w:keepNext/>
      <w:keepLines/>
      <w:spacing w:before="280" w:after="290" w:line="376" w:lineRule="auto"/>
      <w:ind w:left="0" w:firstLine="0"/>
      <w:jc w:val="both"/>
    </w:pPr>
    <w:rPr>
      <w:rFonts w:ascii="方正黑体简体" w:hAnsi="Times New Roman" w:eastAsia="方正黑体简体" w:cs="Times New Roman"/>
      <w:b w:val="0"/>
      <w:bCs w:val="0"/>
      <w:kern w:val="2"/>
      <w:sz w:val="28"/>
      <w:szCs w:val="28"/>
      <w:lang w:val="en-US" w:bidi="ar-SA"/>
    </w:rPr>
  </w:style>
  <w:style w:type="paragraph" w:customStyle="1" w:styleId="74">
    <w:name w:val="标题 60"/>
    <w:basedOn w:val="10"/>
    <w:qFormat/>
    <w:uiPriority w:val="0"/>
    <w:pPr>
      <w:topLinePunct w:val="1"/>
      <w:spacing w:line="319" w:lineRule="auto"/>
      <w:ind w:firstLine="200" w:firstLineChars="200"/>
    </w:pPr>
    <w:rPr>
      <w:b w:val="0"/>
      <w:bCs w:val="0"/>
    </w:rPr>
  </w:style>
  <w:style w:type="paragraph" w:customStyle="1" w:styleId="75">
    <w:name w:val="TOC 标题11"/>
    <w:basedOn w:val="4"/>
    <w:next w:val="1"/>
    <w:qFormat/>
    <w:uiPriority w:val="39"/>
    <w:pPr>
      <w:keepNext/>
      <w:keepLines/>
      <w:widowControl/>
      <w:numPr>
        <w:ilvl w:val="0"/>
        <w:numId w:val="2"/>
      </w:numPr>
      <w:spacing w:before="480" w:line="276" w:lineRule="auto"/>
      <w:ind w:left="0" w:firstLine="0"/>
      <w:jc w:val="left"/>
      <w:outlineLvl w:val="9"/>
    </w:pPr>
    <w:rPr>
      <w:rFonts w:ascii="Cambria" w:hAnsi="Cambria" w:eastAsia="黑体" w:cs="Times New Roman"/>
      <w:color w:val="365F91"/>
      <w:sz w:val="28"/>
      <w:szCs w:val="28"/>
      <w:lang w:val="en-US" w:bidi="ar-SA"/>
    </w:rPr>
  </w:style>
  <w:style w:type="paragraph" w:customStyle="1" w:styleId="76">
    <w:name w:val="列出段落2"/>
    <w:basedOn w:val="1"/>
    <w:qFormat/>
    <w:uiPriority w:val="0"/>
    <w:pPr>
      <w:ind w:firstLine="420" w:firstLineChars="200"/>
      <w:jc w:val="both"/>
    </w:pPr>
    <w:rPr>
      <w:rFonts w:ascii="Calibri" w:hAnsi="Calibri" w:cs="Times New Roman"/>
      <w:kern w:val="2"/>
      <w:sz w:val="21"/>
      <w:lang w:val="en-US" w:bidi="ar-SA"/>
    </w:rPr>
  </w:style>
  <w:style w:type="paragraph" w:customStyle="1" w:styleId="77">
    <w:name w:val="注"/>
    <w:basedOn w:val="71"/>
    <w:qFormat/>
    <w:uiPriority w:val="0"/>
    <w:pPr>
      <w:spacing w:line="288" w:lineRule="auto"/>
      <w:ind w:firstLine="0" w:firstLineChars="0"/>
    </w:pPr>
    <w:rPr>
      <w:sz w:val="20"/>
    </w:rPr>
  </w:style>
  <w:style w:type="paragraph" w:customStyle="1" w:styleId="78">
    <w:name w:val="文档正文"/>
    <w:basedOn w:val="1"/>
    <w:link w:val="202"/>
    <w:qFormat/>
    <w:uiPriority w:val="0"/>
    <w:pPr>
      <w:adjustRightInd w:val="0"/>
      <w:spacing w:line="480" w:lineRule="atLeast"/>
      <w:ind w:firstLine="567"/>
      <w:jc w:val="both"/>
      <w:textAlignment w:val="baseline"/>
    </w:pPr>
    <w:rPr>
      <w:rFonts w:ascii="长城仿宋" w:hAnsi="Times New Roman" w:eastAsia="长城仿宋" w:cs="Times New Roman"/>
      <w:sz w:val="28"/>
      <w:szCs w:val="20"/>
      <w:lang w:val="en-US" w:bidi="ar-SA"/>
    </w:rPr>
  </w:style>
  <w:style w:type="paragraph" w:customStyle="1" w:styleId="79">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无间隔1"/>
    <w:link w:val="203"/>
    <w:qFormat/>
    <w:uiPriority w:val="1"/>
    <w:pPr>
      <w:widowControl w:val="0"/>
      <w:jc w:val="both"/>
    </w:pPr>
    <w:rPr>
      <w:rFonts w:ascii="Calibri" w:hAnsi="Calibri" w:eastAsia="宋体" w:cs="黑体"/>
      <w:kern w:val="2"/>
      <w:sz w:val="21"/>
      <w:szCs w:val="22"/>
      <w:lang w:val="en-US" w:eastAsia="zh-CN" w:bidi="ar-SA"/>
    </w:rPr>
  </w:style>
  <w:style w:type="paragraph" w:customStyle="1" w:styleId="81">
    <w:name w:val="表格文字"/>
    <w:basedOn w:val="1"/>
    <w:qFormat/>
    <w:uiPriority w:val="0"/>
    <w:rPr>
      <w:rFonts w:ascii="Times New Roman" w:hAnsi="Times New Roman" w:cs="Times New Roman"/>
      <w:kern w:val="2"/>
      <w:sz w:val="21"/>
      <w:lang w:val="en-US" w:bidi="ar-SA"/>
    </w:rPr>
  </w:style>
  <w:style w:type="paragraph" w:customStyle="1" w:styleId="82">
    <w:name w:val="目录0（两个字）"/>
    <w:basedOn w:val="1"/>
    <w:next w:val="37"/>
    <w:qFormat/>
    <w:uiPriority w:val="0"/>
    <w:pPr>
      <w:widowControl/>
      <w:tabs>
        <w:tab w:val="right" w:leader="middleDot" w:pos="8931"/>
      </w:tabs>
      <w:spacing w:before="120" w:after="120"/>
      <w:jc w:val="center"/>
    </w:pPr>
    <w:rPr>
      <w:rFonts w:ascii="Times New Roman" w:hAnsi="Times New Roman" w:eastAsia="黑体" w:cs="Times New Roman"/>
      <w:b/>
      <w:bCs/>
      <w:color w:val="000000"/>
      <w:sz w:val="32"/>
      <w:szCs w:val="24"/>
      <w:lang w:val="en-US" w:bidi="ar-SA"/>
    </w:rPr>
  </w:style>
  <w:style w:type="paragraph" w:customStyle="1" w:styleId="83">
    <w:name w:val="初步设计 表格内容"/>
    <w:basedOn w:val="1"/>
    <w:link w:val="221"/>
    <w:qFormat/>
    <w:uiPriority w:val="0"/>
    <w:pPr>
      <w:adjustRightInd w:val="0"/>
      <w:snapToGrid w:val="0"/>
      <w:spacing w:before="60" w:after="60"/>
      <w:ind w:left="11"/>
      <w:jc w:val="center"/>
    </w:pPr>
    <w:rPr>
      <w:rFonts w:ascii="Times New Roman" w:hAnsi="Times New Roman" w:cs="Times New Roman"/>
      <w:sz w:val="21"/>
      <w:szCs w:val="20"/>
      <w:lang w:val="en-US" w:bidi="ar-SA"/>
    </w:rPr>
  </w:style>
  <w:style w:type="paragraph" w:customStyle="1" w:styleId="84">
    <w:name w:val="标题4"/>
    <w:basedOn w:val="1"/>
    <w:next w:val="1"/>
    <w:link w:val="222"/>
    <w:qFormat/>
    <w:uiPriority w:val="0"/>
    <w:pPr>
      <w:adjustRightInd w:val="0"/>
      <w:spacing w:line="300" w:lineRule="auto"/>
      <w:textAlignment w:val="baseline"/>
      <w:outlineLvl w:val="3"/>
    </w:pPr>
    <w:rPr>
      <w:rFonts w:ascii="Times New Roman" w:hAnsi="Times New Roman" w:eastAsia="黑体" w:cs="Times New Roman"/>
      <w:sz w:val="24"/>
      <w:szCs w:val="20"/>
      <w:lang w:val="en-US" w:bidi="ar-SA"/>
    </w:rPr>
  </w:style>
  <w:style w:type="paragraph" w:customStyle="1" w:styleId="85">
    <w:name w:val="表格标题(居中)"/>
    <w:basedOn w:val="1"/>
    <w:link w:val="223"/>
    <w:qFormat/>
    <w:uiPriority w:val="0"/>
    <w:pPr>
      <w:snapToGrid w:val="0"/>
      <w:spacing w:line="300" w:lineRule="auto"/>
      <w:ind w:firstLine="480" w:firstLineChars="200"/>
      <w:jc w:val="center"/>
    </w:pPr>
    <w:rPr>
      <w:rFonts w:ascii="Times New Roman" w:hAnsi="Times New Roman" w:eastAsia="黑体" w:cs="Times New Roman"/>
      <w:kern w:val="2"/>
      <w:sz w:val="24"/>
      <w:szCs w:val="20"/>
      <w:lang w:val="en-US" w:bidi="ar-SA"/>
    </w:rPr>
  </w:style>
  <w:style w:type="paragraph" w:customStyle="1" w:styleId="86">
    <w:name w:val="!图片题注"/>
    <w:basedOn w:val="1"/>
    <w:next w:val="1"/>
    <w:link w:val="224"/>
    <w:qFormat/>
    <w:uiPriority w:val="0"/>
    <w:pPr>
      <w:adjustRightInd w:val="0"/>
      <w:spacing w:after="240" w:line="300" w:lineRule="auto"/>
      <w:ind w:firstLine="200" w:firstLineChars="200"/>
      <w:jc w:val="center"/>
      <w:textAlignment w:val="baseline"/>
    </w:pPr>
    <w:rPr>
      <w:rFonts w:ascii="Times New Roman" w:hAnsi="Times New Roman" w:eastAsia="黑体"/>
      <w:sz w:val="24"/>
      <w:szCs w:val="24"/>
      <w:lang w:val="en-US" w:bidi="ar-SA"/>
    </w:rPr>
  </w:style>
  <w:style w:type="paragraph" w:customStyle="1" w:styleId="87">
    <w:name w:val="KS标题2"/>
    <w:basedOn w:val="5"/>
    <w:next w:val="1"/>
    <w:link w:val="225"/>
    <w:qFormat/>
    <w:uiPriority w:val="0"/>
    <w:pPr>
      <w:widowControl/>
      <w:spacing w:before="120" w:beforeLines="50" w:after="120" w:afterLines="50" w:line="360" w:lineRule="auto"/>
      <w:ind w:left="567" w:hanging="567"/>
    </w:pPr>
    <w:rPr>
      <w:rFonts w:ascii="Calibri" w:hAnsi="Calibri" w:eastAsia="黑体" w:cs="黑体"/>
      <w:lang w:val="en-US" w:bidi="ar-SA"/>
    </w:rPr>
  </w:style>
  <w:style w:type="paragraph" w:customStyle="1" w:styleId="88">
    <w:name w:val="KS标题3"/>
    <w:basedOn w:val="6"/>
    <w:next w:val="1"/>
    <w:link w:val="226"/>
    <w:qFormat/>
    <w:uiPriority w:val="0"/>
    <w:pPr>
      <w:keepNext/>
      <w:keepLines/>
      <w:widowControl/>
      <w:spacing w:before="163" w:beforeLines="50" w:afterLines="50" w:line="360" w:lineRule="auto"/>
      <w:ind w:left="709" w:hanging="709"/>
    </w:pPr>
    <w:rPr>
      <w:rFonts w:ascii="Calibri" w:hAnsi="Calibri" w:eastAsia="黑体" w:cs="黑体"/>
      <w:b/>
      <w:bCs/>
      <w:sz w:val="30"/>
      <w:szCs w:val="32"/>
      <w:lang w:val="en-US" w:bidi="ar-SA"/>
    </w:rPr>
  </w:style>
  <w:style w:type="paragraph" w:customStyle="1" w:styleId="89">
    <w:name w:val="KS标题1"/>
    <w:basedOn w:val="4"/>
    <w:next w:val="1"/>
    <w:link w:val="227"/>
    <w:qFormat/>
    <w:uiPriority w:val="0"/>
    <w:pPr>
      <w:keepNext/>
      <w:keepLines/>
      <w:pageBreakBefore/>
      <w:widowControl/>
      <w:pBdr>
        <w:bottom w:val="thickThinSmallGap" w:color="548DD4" w:sz="24" w:space="1"/>
      </w:pBdr>
      <w:spacing w:before="120" w:beforeLines="50" w:after="120" w:afterLines="50" w:line="360" w:lineRule="auto"/>
      <w:jc w:val="left"/>
    </w:pPr>
    <w:rPr>
      <w:rFonts w:ascii="Calibri" w:hAnsi="Calibri" w:eastAsia="黑体" w:cs="黑体"/>
      <w:kern w:val="44"/>
      <w:sz w:val="36"/>
      <w:lang w:val="en-US" w:bidi="ar-SA"/>
    </w:rPr>
  </w:style>
  <w:style w:type="paragraph" w:customStyle="1" w:styleId="90">
    <w:name w:val="KS表格"/>
    <w:basedOn w:val="1"/>
    <w:link w:val="228"/>
    <w:qFormat/>
    <w:uiPriority w:val="0"/>
    <w:pPr>
      <w:spacing w:beforeLines="50" w:afterLines="50" w:line="300" w:lineRule="auto"/>
      <w:jc w:val="both"/>
    </w:pPr>
    <w:rPr>
      <w:rFonts w:ascii="Calibri" w:hAnsi="Calibri" w:cs="黑体"/>
      <w:sz w:val="20"/>
      <w:szCs w:val="20"/>
      <w:lang w:val="en-US" w:bidi="ar-SA"/>
    </w:rPr>
  </w:style>
  <w:style w:type="paragraph" w:customStyle="1" w:styleId="91">
    <w:name w:val="正文首行缩进（安恒信息）"/>
    <w:basedOn w:val="1"/>
    <w:next w:val="1"/>
    <w:link w:val="229"/>
    <w:qFormat/>
    <w:uiPriority w:val="0"/>
    <w:pPr>
      <w:widowControl/>
      <w:spacing w:after="50" w:line="300" w:lineRule="auto"/>
      <w:ind w:firstLine="200" w:firstLineChars="200"/>
    </w:pPr>
    <w:rPr>
      <w:rFonts w:ascii="Arial" w:hAnsi="Arial" w:cs="Times New Roman"/>
      <w:sz w:val="24"/>
      <w:szCs w:val="21"/>
      <w:lang w:val="en-US" w:bidi="ar-SA"/>
    </w:rPr>
  </w:style>
  <w:style w:type="paragraph" w:customStyle="1" w:styleId="92">
    <w:name w:val="样式1"/>
    <w:basedOn w:val="1"/>
    <w:link w:val="230"/>
    <w:qFormat/>
    <w:uiPriority w:val="0"/>
    <w:pPr>
      <w:spacing w:line="300" w:lineRule="auto"/>
      <w:jc w:val="both"/>
    </w:pPr>
    <w:rPr>
      <w:rFonts w:ascii="Times New Roman" w:hAnsi="Times New Roman" w:cs="Times New Roman"/>
      <w:kern w:val="2"/>
      <w:sz w:val="24"/>
      <w:szCs w:val="24"/>
      <w:lang w:val="en-US" w:bidi="ar-SA"/>
    </w:rPr>
  </w:style>
  <w:style w:type="paragraph" w:customStyle="1" w:styleId="93">
    <w:name w:val="5级"/>
    <w:basedOn w:val="1"/>
    <w:qFormat/>
    <w:uiPriority w:val="0"/>
    <w:pPr>
      <w:spacing w:line="300" w:lineRule="auto"/>
      <w:jc w:val="both"/>
    </w:pPr>
    <w:rPr>
      <w:rFonts w:ascii="Times New Roman" w:hAnsi="Times New Roman" w:cs="Times New Roman"/>
      <w:kern w:val="2"/>
      <w:sz w:val="24"/>
      <w:szCs w:val="24"/>
      <w:lang w:val="en-US" w:bidi="ar-SA"/>
    </w:rPr>
  </w:style>
  <w:style w:type="paragraph" w:customStyle="1" w:styleId="94">
    <w:name w:val="06-正文"/>
    <w:basedOn w:val="1"/>
    <w:link w:val="231"/>
    <w:qFormat/>
    <w:uiPriority w:val="0"/>
    <w:pPr>
      <w:outlineLvl w:val="0"/>
    </w:pPr>
    <w:rPr>
      <w:b/>
      <w:kern w:val="2"/>
      <w:sz w:val="24"/>
      <w:szCs w:val="24"/>
      <w:lang w:val="en-US" w:bidi="ar-SA"/>
    </w:rPr>
  </w:style>
  <w:style w:type="paragraph" w:customStyle="1" w:styleId="95">
    <w:name w:val="10-小标题"/>
    <w:basedOn w:val="1"/>
    <w:link w:val="232"/>
    <w:qFormat/>
    <w:uiPriority w:val="0"/>
    <w:pPr>
      <w:spacing w:after="60" w:line="360" w:lineRule="auto"/>
      <w:ind w:firstLine="200" w:firstLineChars="200"/>
      <w:jc w:val="both"/>
    </w:pPr>
    <w:rPr>
      <w:rFonts w:cs="Times New Roman"/>
      <w:b/>
      <w:kern w:val="2"/>
      <w:sz w:val="24"/>
      <w:szCs w:val="24"/>
      <w:lang w:val="en-US" w:bidi="ar-SA"/>
    </w:rPr>
  </w:style>
  <w:style w:type="paragraph" w:customStyle="1" w:styleId="96">
    <w:name w:val="09-插入表"/>
    <w:basedOn w:val="1"/>
    <w:link w:val="233"/>
    <w:qFormat/>
    <w:uiPriority w:val="0"/>
    <w:rPr>
      <w:rFonts w:ascii="Arial" w:hAnsi="Arial" w:cs="Times New Roman"/>
      <w:kern w:val="2"/>
      <w:sz w:val="24"/>
      <w:szCs w:val="21"/>
      <w:lang w:val="en-US" w:bidi="ar-SA"/>
    </w:rPr>
  </w:style>
  <w:style w:type="paragraph" w:customStyle="1" w:styleId="97">
    <w:name w:val="BMS正文"/>
    <w:link w:val="234"/>
    <w:qFormat/>
    <w:uiPriority w:val="0"/>
    <w:pPr>
      <w:spacing w:line="560" w:lineRule="exact"/>
      <w:ind w:firstLine="600" w:firstLineChars="200"/>
    </w:pPr>
    <w:rPr>
      <w:rFonts w:ascii="仿宋_GB2312" w:hAnsi="华文中宋" w:eastAsia="仿宋_GB2312" w:cs="黑体"/>
      <w:sz w:val="30"/>
      <w:szCs w:val="30"/>
      <w:lang w:val="en-US" w:eastAsia="zh-CN" w:bidi="ar-SA"/>
    </w:rPr>
  </w:style>
  <w:style w:type="paragraph" w:customStyle="1" w:styleId="98">
    <w:name w:val="图片"/>
    <w:basedOn w:val="1"/>
    <w:link w:val="235"/>
    <w:qFormat/>
    <w:uiPriority w:val="0"/>
    <w:pPr>
      <w:adjustRightInd w:val="0"/>
      <w:spacing w:line="300" w:lineRule="auto"/>
      <w:jc w:val="center"/>
      <w:textAlignment w:val="baseline"/>
    </w:pPr>
    <w:rPr>
      <w:rFonts w:ascii="Times New Roman" w:hAnsi="Times New Roman" w:eastAsia="黑体" w:cs="Times New Roman"/>
      <w:sz w:val="24"/>
      <w:szCs w:val="20"/>
      <w:lang w:val="en-US" w:bidi="ar-SA"/>
    </w:rPr>
  </w:style>
  <w:style w:type="paragraph" w:customStyle="1" w:styleId="99">
    <w:name w:val="编号无缩进"/>
    <w:basedOn w:val="1"/>
    <w:link w:val="236"/>
    <w:qFormat/>
    <w:uiPriority w:val="0"/>
    <w:pPr>
      <w:numPr>
        <w:ilvl w:val="1"/>
        <w:numId w:val="3"/>
      </w:numPr>
      <w:tabs>
        <w:tab w:val="left" w:pos="0"/>
      </w:tabs>
      <w:adjustRightInd w:val="0"/>
      <w:snapToGrid w:val="0"/>
      <w:spacing w:line="300" w:lineRule="auto"/>
      <w:ind w:firstLine="0"/>
      <w:textAlignment w:val="top"/>
    </w:pPr>
    <w:rPr>
      <w:rFonts w:ascii="Times New Roman" w:hAnsi="Times New Roman" w:cs="Times New Roman"/>
      <w:color w:val="000000"/>
      <w:sz w:val="24"/>
      <w:szCs w:val="20"/>
      <w:lang w:val="en-US" w:bidi="ar-SA"/>
    </w:rPr>
  </w:style>
  <w:style w:type="paragraph" w:customStyle="1" w:styleId="100">
    <w:name w:val="无缩进"/>
    <w:basedOn w:val="1"/>
    <w:next w:val="1"/>
    <w:link w:val="237"/>
    <w:qFormat/>
    <w:uiPriority w:val="0"/>
    <w:pPr>
      <w:spacing w:line="300" w:lineRule="auto"/>
    </w:pPr>
    <w:rPr>
      <w:rFonts w:ascii="Times New Roman" w:hAnsi="Times New Roman" w:cs="Times New Roman"/>
      <w:color w:val="000000"/>
      <w:sz w:val="24"/>
      <w:szCs w:val="20"/>
      <w:lang w:val="en-US" w:bidi="ar-SA"/>
    </w:rPr>
  </w:style>
  <w:style w:type="paragraph" w:customStyle="1" w:styleId="101">
    <w:name w:val="!我的正文 Ctr+Q"/>
    <w:basedOn w:val="1"/>
    <w:link w:val="238"/>
    <w:qFormat/>
    <w:uiPriority w:val="0"/>
    <w:pPr>
      <w:adjustRightInd w:val="0"/>
      <w:snapToGrid w:val="0"/>
      <w:spacing w:line="360" w:lineRule="auto"/>
      <w:ind w:firstLine="480" w:firstLineChars="200"/>
      <w:jc w:val="both"/>
    </w:pPr>
    <w:rPr>
      <w:rFonts w:ascii="Arial" w:hAnsi="Arial" w:cs="黑体"/>
      <w:sz w:val="24"/>
      <w:szCs w:val="21"/>
      <w:lang w:val="en-US" w:bidi="ar-SA"/>
    </w:rPr>
  </w:style>
  <w:style w:type="paragraph" w:customStyle="1" w:styleId="102">
    <w:name w:val="编号"/>
    <w:basedOn w:val="1"/>
    <w:qFormat/>
    <w:uiPriority w:val="0"/>
    <w:pPr>
      <w:spacing w:line="300" w:lineRule="auto"/>
      <w:jc w:val="both"/>
    </w:pPr>
    <w:rPr>
      <w:rFonts w:ascii="Times New Roman" w:hAnsi="Times New Roman" w:cs="Times New Roman"/>
      <w:kern w:val="2"/>
      <w:sz w:val="24"/>
      <w:szCs w:val="20"/>
      <w:lang w:val="en-US" w:bidi="ar-SA"/>
    </w:rPr>
  </w:style>
  <w:style w:type="paragraph" w:customStyle="1" w:styleId="103">
    <w:name w:val="l 圆点列表1（Alt+A）"/>
    <w:basedOn w:val="1"/>
    <w:qFormat/>
    <w:uiPriority w:val="0"/>
    <w:pPr>
      <w:tabs>
        <w:tab w:val="left" w:pos="360"/>
      </w:tabs>
      <w:spacing w:line="360" w:lineRule="auto"/>
      <w:jc w:val="both"/>
    </w:pPr>
    <w:rPr>
      <w:rFonts w:ascii="Times New Roman" w:hAnsi="Times New Roman" w:cs="Times New Roman"/>
      <w:kern w:val="2"/>
      <w:sz w:val="24"/>
      <w:szCs w:val="20"/>
      <w:lang w:val="en-US" w:bidi="ar-SA"/>
    </w:rPr>
  </w:style>
  <w:style w:type="paragraph" w:customStyle="1" w:styleId="104">
    <w:name w:val="para"/>
    <w:basedOn w:val="1"/>
    <w:link w:val="239"/>
    <w:qFormat/>
    <w:uiPriority w:val="0"/>
    <w:pPr>
      <w:widowControl/>
      <w:spacing w:after="120"/>
      <w:jc w:val="both"/>
    </w:pPr>
    <w:rPr>
      <w:rFonts w:ascii="Times New Roman" w:hAnsi="Times New Roman" w:cs="Times New Roman"/>
      <w:sz w:val="24"/>
      <w:szCs w:val="20"/>
      <w:lang w:bidi="ar-SA"/>
    </w:rPr>
  </w:style>
  <w:style w:type="paragraph" w:customStyle="1" w:styleId="105">
    <w:name w:val="text1"/>
    <w:basedOn w:val="1"/>
    <w:link w:val="240"/>
    <w:qFormat/>
    <w:uiPriority w:val="0"/>
    <w:pPr>
      <w:widowControl/>
      <w:spacing w:line="360" w:lineRule="auto"/>
      <w:ind w:firstLine="480" w:firstLineChars="200"/>
    </w:pPr>
    <w:rPr>
      <w:sz w:val="24"/>
      <w:szCs w:val="24"/>
      <w:lang w:val="en-US" w:bidi="ar-SA"/>
    </w:rPr>
  </w:style>
  <w:style w:type="paragraph" w:customStyle="1" w:styleId="106">
    <w:name w:val="图编号"/>
    <w:basedOn w:val="1"/>
    <w:link w:val="241"/>
    <w:qFormat/>
    <w:uiPriority w:val="0"/>
    <w:pPr>
      <w:numPr>
        <w:ilvl w:val="2"/>
        <w:numId w:val="4"/>
      </w:numPr>
      <w:tabs>
        <w:tab w:val="left" w:pos="0"/>
      </w:tabs>
      <w:spacing w:line="360" w:lineRule="auto"/>
      <w:ind w:firstLine="0"/>
      <w:jc w:val="center"/>
    </w:pPr>
    <w:rPr>
      <w:rFonts w:cs="Times New Roman"/>
      <w:kern w:val="2"/>
      <w:sz w:val="24"/>
      <w:szCs w:val="20"/>
      <w:lang w:val="en-US" w:bidi="ar-SA"/>
    </w:rPr>
  </w:style>
  <w:style w:type="paragraph" w:customStyle="1" w:styleId="107">
    <w:name w:val="样式2"/>
    <w:basedOn w:val="1"/>
    <w:link w:val="242"/>
    <w:qFormat/>
    <w:uiPriority w:val="0"/>
    <w:pPr>
      <w:adjustRightInd w:val="0"/>
      <w:spacing w:line="360" w:lineRule="auto"/>
      <w:ind w:firstLine="200" w:firstLineChars="200"/>
      <w:jc w:val="both"/>
      <w:textAlignment w:val="baseline"/>
    </w:pPr>
    <w:rPr>
      <w:rFonts w:ascii="Times New Roman" w:hAnsi="Times New Roman" w:cs="Times New Roman"/>
      <w:sz w:val="24"/>
      <w:szCs w:val="20"/>
      <w:lang w:val="en-US" w:bidi="ar-SA"/>
    </w:rPr>
  </w:style>
  <w:style w:type="paragraph" w:customStyle="1" w:styleId="108">
    <w:name w:val="表头"/>
    <w:basedOn w:val="1"/>
    <w:link w:val="243"/>
    <w:qFormat/>
    <w:uiPriority w:val="0"/>
    <w:pPr>
      <w:widowControl/>
      <w:adjustRightInd w:val="0"/>
      <w:spacing w:line="360" w:lineRule="auto"/>
      <w:jc w:val="center"/>
      <w:textAlignment w:val="bottom"/>
    </w:pPr>
    <w:rPr>
      <w:rFonts w:ascii="Times New Roman" w:hAnsi="Times New Roman" w:eastAsia="黑体" w:cs="Times New Roman"/>
      <w:sz w:val="28"/>
      <w:szCs w:val="20"/>
      <w:lang w:val="en-US" w:bidi="ar-SA"/>
    </w:rPr>
  </w:style>
  <w:style w:type="paragraph" w:customStyle="1" w:styleId="109">
    <w:name w:val="段"/>
    <w:link w:val="244"/>
    <w:qFormat/>
    <w:uiPriority w:val="0"/>
    <w:pPr>
      <w:autoSpaceDE w:val="0"/>
      <w:autoSpaceDN w:val="0"/>
      <w:spacing w:line="360" w:lineRule="auto"/>
      <w:ind w:firstLine="420" w:firstLineChars="200"/>
      <w:jc w:val="both"/>
    </w:pPr>
    <w:rPr>
      <w:rFonts w:ascii="宋体" w:hAnsi="Times New Roman" w:eastAsia="宋体" w:cs="Times New Roman"/>
      <w:sz w:val="21"/>
      <w:lang w:val="en-US" w:eastAsia="zh-CN" w:bidi="ar-SA"/>
    </w:rPr>
  </w:style>
  <w:style w:type="paragraph" w:customStyle="1" w:styleId="110">
    <w:name w:val="三级标题"/>
    <w:basedOn w:val="1"/>
    <w:next w:val="1"/>
    <w:link w:val="245"/>
    <w:qFormat/>
    <w:uiPriority w:val="0"/>
    <w:pPr>
      <w:tabs>
        <w:tab w:val="left" w:pos="0"/>
      </w:tabs>
      <w:adjustRightInd w:val="0"/>
      <w:spacing w:beforeLines="50" w:afterLines="50" w:line="360" w:lineRule="auto"/>
      <w:ind w:firstLine="200"/>
      <w:textAlignment w:val="baseline"/>
    </w:pPr>
    <w:rPr>
      <w:rFonts w:ascii="黑体" w:hAnsi="Times New Roman" w:eastAsia="黑体" w:cs="Times New Roman"/>
      <w:b/>
      <w:sz w:val="24"/>
      <w:szCs w:val="20"/>
      <w:lang w:val="en-US" w:bidi="ar-SA"/>
    </w:rPr>
  </w:style>
  <w:style w:type="paragraph" w:customStyle="1" w:styleId="111">
    <w:name w:val="一级标题"/>
    <w:basedOn w:val="1"/>
    <w:next w:val="112"/>
    <w:link w:val="246"/>
    <w:qFormat/>
    <w:uiPriority w:val="0"/>
    <w:pPr>
      <w:tabs>
        <w:tab w:val="left" w:pos="915"/>
      </w:tabs>
      <w:adjustRightInd w:val="0"/>
      <w:spacing w:beforeLines="50" w:afterLines="50" w:line="360" w:lineRule="auto"/>
      <w:ind w:left="915" w:firstLine="375"/>
      <w:textAlignment w:val="baseline"/>
      <w:outlineLvl w:val="0"/>
    </w:pPr>
    <w:rPr>
      <w:rFonts w:ascii="Times New Roman" w:hAnsi="Times New Roman" w:eastAsia="黑体" w:cs="Times New Roman"/>
      <w:b/>
      <w:sz w:val="28"/>
      <w:szCs w:val="20"/>
      <w:lang w:val="en-US" w:bidi="ar-SA"/>
    </w:rPr>
  </w:style>
  <w:style w:type="paragraph" w:customStyle="1" w:styleId="112">
    <w:name w:val="二级标题"/>
    <w:basedOn w:val="1"/>
    <w:next w:val="110"/>
    <w:qFormat/>
    <w:uiPriority w:val="0"/>
    <w:pPr>
      <w:tabs>
        <w:tab w:val="left" w:pos="1260"/>
      </w:tabs>
      <w:adjustRightInd w:val="0"/>
      <w:spacing w:beforeLines="50" w:afterLines="50" w:line="360" w:lineRule="auto"/>
      <w:ind w:left="1260" w:hanging="360"/>
      <w:textAlignment w:val="baseline"/>
      <w:outlineLvl w:val="1"/>
    </w:pPr>
    <w:rPr>
      <w:rFonts w:ascii="黑体" w:eastAsia="黑体" w:cs="Times New Roman"/>
      <w:b/>
      <w:sz w:val="24"/>
      <w:szCs w:val="24"/>
      <w:lang w:val="en-US" w:bidi="ar-SA"/>
    </w:rPr>
  </w:style>
  <w:style w:type="paragraph" w:customStyle="1" w:styleId="113">
    <w:name w:val="样式 一级标题 + 段前: 0.1 行 段后: 0.1 行"/>
    <w:basedOn w:val="111"/>
    <w:qFormat/>
    <w:uiPriority w:val="0"/>
    <w:rPr>
      <w:rFonts w:cs="宋体"/>
      <w:b w:val="0"/>
    </w:rPr>
  </w:style>
  <w:style w:type="paragraph" w:customStyle="1" w:styleId="114">
    <w:name w:val="五级标题"/>
    <w:basedOn w:val="1"/>
    <w:next w:val="1"/>
    <w:link w:val="247"/>
    <w:qFormat/>
    <w:uiPriority w:val="0"/>
    <w:pPr>
      <w:numPr>
        <w:ilvl w:val="0"/>
        <w:numId w:val="5"/>
      </w:numPr>
      <w:adjustRightInd w:val="0"/>
      <w:spacing w:line="360" w:lineRule="auto"/>
      <w:ind w:left="0" w:firstLine="0"/>
      <w:textAlignment w:val="baseline"/>
    </w:pPr>
    <w:rPr>
      <w:rFonts w:ascii="Times New Roman" w:hAnsi="Times New Roman" w:cs="Times New Roman"/>
      <w:sz w:val="24"/>
      <w:szCs w:val="24"/>
      <w:lang w:val="en-US" w:bidi="ar-SA"/>
    </w:rPr>
  </w:style>
  <w:style w:type="paragraph" w:customStyle="1" w:styleId="115">
    <w:name w:val="标题1"/>
    <w:basedOn w:val="4"/>
    <w:next w:val="18"/>
    <w:link w:val="248"/>
    <w:qFormat/>
    <w:uiPriority w:val="0"/>
    <w:pPr>
      <w:keepNext/>
      <w:keepLines/>
      <w:widowControl/>
      <w:numPr>
        <w:ilvl w:val="0"/>
        <w:numId w:val="6"/>
      </w:numPr>
      <w:tabs>
        <w:tab w:val="left" w:pos="432"/>
        <w:tab w:val="clear" w:pos="425"/>
      </w:tabs>
      <w:snapToGrid w:val="0"/>
      <w:spacing w:before="240" w:after="120" w:line="240" w:lineRule="auto"/>
      <w:ind w:left="432" w:hanging="432"/>
      <w:jc w:val="left"/>
    </w:pPr>
    <w:rPr>
      <w:rFonts w:ascii="Tahoma" w:hAnsi="Tahoma" w:eastAsia="宋体" w:cs="Times New Roman"/>
      <w:kern w:val="2"/>
      <w:sz w:val="24"/>
      <w:szCs w:val="24"/>
      <w:lang w:val="en-US" w:bidi="ar-SA"/>
    </w:rPr>
  </w:style>
  <w:style w:type="paragraph" w:customStyle="1" w:styleId="116">
    <w:name w:val="t2"/>
    <w:basedOn w:val="5"/>
    <w:next w:val="1"/>
    <w:link w:val="249"/>
    <w:qFormat/>
    <w:uiPriority w:val="0"/>
    <w:pPr>
      <w:widowControl/>
      <w:tabs>
        <w:tab w:val="left" w:pos="0"/>
        <w:tab w:val="left" w:pos="420"/>
      </w:tabs>
      <w:spacing w:before="120" w:beforeLines="50" w:after="120" w:afterLines="50" w:line="360" w:lineRule="auto"/>
      <w:ind w:left="840" w:firstLine="0"/>
    </w:pPr>
    <w:rPr>
      <w:rFonts w:ascii="黑体" w:hAnsi="黑体" w:eastAsia="黑体" w:cs="Times New Roman"/>
      <w:b w:val="0"/>
      <w:kern w:val="2"/>
      <w:sz w:val="24"/>
      <w:szCs w:val="20"/>
      <w:lang w:val="en-US" w:bidi="ar-SA"/>
    </w:rPr>
  </w:style>
  <w:style w:type="paragraph" w:customStyle="1" w:styleId="117">
    <w:name w:val="t1"/>
    <w:basedOn w:val="4"/>
    <w:next w:val="1"/>
    <w:qFormat/>
    <w:uiPriority w:val="0"/>
    <w:pPr>
      <w:keepNext/>
      <w:keepLines/>
      <w:widowControl/>
      <w:spacing w:before="120" w:beforeLines="50" w:after="120" w:afterLines="50" w:line="360" w:lineRule="auto"/>
      <w:jc w:val="left"/>
    </w:pPr>
    <w:rPr>
      <w:rFonts w:ascii="黑体" w:hAnsi="仿宋_GB2312" w:eastAsia="黑体" w:cs="Times New Roman"/>
      <w:b w:val="0"/>
      <w:kern w:val="2"/>
      <w:sz w:val="24"/>
      <w:szCs w:val="24"/>
      <w:lang w:val="en-US" w:bidi="ar-SA"/>
    </w:rPr>
  </w:style>
  <w:style w:type="paragraph" w:customStyle="1" w:styleId="118">
    <w:name w:val="四级标识"/>
    <w:basedOn w:val="1"/>
    <w:qFormat/>
    <w:uiPriority w:val="0"/>
    <w:pPr>
      <w:adjustRightInd w:val="0"/>
      <w:spacing w:line="400" w:lineRule="exact"/>
      <w:jc w:val="both"/>
      <w:textAlignment w:val="baseline"/>
    </w:pPr>
    <w:rPr>
      <w:rFonts w:ascii="Times New Roman" w:hAnsi="Times New Roman" w:cs="Times New Roman"/>
      <w:sz w:val="24"/>
      <w:szCs w:val="20"/>
      <w:lang w:val="en-US" w:bidi="ar-SA"/>
    </w:rPr>
  </w:style>
  <w:style w:type="paragraph" w:customStyle="1" w:styleId="119">
    <w:name w:val="t0"/>
    <w:basedOn w:val="4"/>
    <w:next w:val="105"/>
    <w:qFormat/>
    <w:uiPriority w:val="0"/>
    <w:pPr>
      <w:keepNext/>
      <w:keepLines/>
      <w:widowControl/>
      <w:spacing w:before="10" w:after="10" w:line="360" w:lineRule="auto"/>
      <w:jc w:val="left"/>
    </w:pPr>
    <w:rPr>
      <w:rFonts w:ascii="黑体" w:hAnsi="Times New Roman" w:eastAsia="黑体" w:cs="Times New Roman"/>
      <w:kern w:val="44"/>
      <w:sz w:val="28"/>
      <w:szCs w:val="28"/>
      <w:lang w:val="en-US" w:bidi="ar-SA"/>
    </w:rPr>
  </w:style>
  <w:style w:type="paragraph" w:customStyle="1" w:styleId="120">
    <w:name w:val="rrt_列表"/>
    <w:basedOn w:val="1"/>
    <w:qFormat/>
    <w:uiPriority w:val="0"/>
    <w:pPr>
      <w:spacing w:line="360" w:lineRule="auto"/>
      <w:jc w:val="both"/>
    </w:pPr>
    <w:rPr>
      <w:rFonts w:ascii="Calibri" w:hAnsi="Calibri" w:cs="Times New Roman"/>
      <w:kern w:val="2"/>
      <w:sz w:val="24"/>
      <w:szCs w:val="24"/>
      <w:lang w:val="en-US" w:bidi="ar-SA"/>
    </w:rPr>
  </w:style>
  <w:style w:type="paragraph" w:customStyle="1" w:styleId="121">
    <w:name w:val="标书应答"/>
    <w:basedOn w:val="1"/>
    <w:qFormat/>
    <w:uiPriority w:val="0"/>
    <w:pPr>
      <w:spacing w:line="360" w:lineRule="auto"/>
      <w:jc w:val="both"/>
    </w:pPr>
    <w:rPr>
      <w:rFonts w:ascii="Times New Roman" w:hAnsi="Times New Roman" w:cs="Times New Roman"/>
      <w:b/>
      <w:color w:val="0000FF"/>
      <w:kern w:val="2"/>
      <w:sz w:val="24"/>
      <w:szCs w:val="24"/>
      <w:u w:val="single"/>
      <w:lang w:val="en-US" w:bidi="ar-SA"/>
    </w:rPr>
  </w:style>
  <w:style w:type="paragraph" w:customStyle="1" w:styleId="122">
    <w:name w:val="正文标准格式"/>
    <w:link w:val="250"/>
    <w:qFormat/>
    <w:uiPriority w:val="0"/>
    <w:pPr>
      <w:spacing w:line="360" w:lineRule="auto"/>
      <w:ind w:firstLine="431"/>
      <w:jc w:val="both"/>
    </w:pPr>
    <w:rPr>
      <w:rFonts w:ascii="Verdana" w:hAnsi="Verdana" w:eastAsia="华文细黑" w:cs="黑体"/>
      <w:szCs w:val="24"/>
      <w:lang w:val="en-US" w:eastAsia="zh-CN" w:bidi="ar-SA"/>
    </w:rPr>
  </w:style>
  <w:style w:type="paragraph" w:customStyle="1" w:styleId="123">
    <w:name w:val="正表头"/>
    <w:basedOn w:val="108"/>
    <w:qFormat/>
    <w:uiPriority w:val="0"/>
    <w:pPr>
      <w:numPr>
        <w:ilvl w:val="1"/>
        <w:numId w:val="7"/>
      </w:numPr>
      <w:tabs>
        <w:tab w:val="left" w:pos="480"/>
      </w:tabs>
      <w:spacing w:line="240" w:lineRule="auto"/>
      <w:ind w:left="0" w:firstLine="0"/>
    </w:pPr>
    <w:rPr>
      <w:rFonts w:ascii="宋体" w:eastAsia="宋体"/>
      <w:sz w:val="21"/>
    </w:rPr>
  </w:style>
  <w:style w:type="paragraph" w:customStyle="1" w:styleId="124">
    <w:name w:val="正文排序"/>
    <w:basedOn w:val="1"/>
    <w:qFormat/>
    <w:uiPriority w:val="0"/>
    <w:pPr>
      <w:adjustRightInd w:val="0"/>
      <w:spacing w:line="400" w:lineRule="atLeast"/>
      <w:jc w:val="both"/>
    </w:pPr>
    <w:rPr>
      <w:rFonts w:cs="Times New Roman"/>
      <w:spacing w:val="8"/>
      <w:sz w:val="24"/>
      <w:szCs w:val="24"/>
      <w:lang w:val="en-US" w:bidi="ar-SA"/>
    </w:rPr>
  </w:style>
  <w:style w:type="paragraph" w:customStyle="1" w:styleId="125">
    <w:name w:val="正文1111"/>
    <w:basedOn w:val="1"/>
    <w:link w:val="251"/>
    <w:qFormat/>
    <w:uiPriority w:val="0"/>
    <w:pPr>
      <w:adjustRightInd w:val="0"/>
      <w:spacing w:line="400" w:lineRule="atLeast"/>
      <w:ind w:firstLine="512" w:firstLineChars="200"/>
      <w:jc w:val="both"/>
    </w:pPr>
    <w:rPr>
      <w:rFonts w:cs="Times New Roman"/>
      <w:spacing w:val="8"/>
      <w:sz w:val="24"/>
      <w:szCs w:val="24"/>
      <w:lang w:val="en-US" w:bidi="ar-SA"/>
    </w:rPr>
  </w:style>
  <w:style w:type="paragraph" w:customStyle="1" w:styleId="126">
    <w:name w:val="正文图标题"/>
    <w:next w:val="1"/>
    <w:qFormat/>
    <w:uiPriority w:val="0"/>
    <w:pPr>
      <w:tabs>
        <w:tab w:val="left" w:pos="0"/>
      </w:tabs>
      <w:jc w:val="center"/>
    </w:pPr>
    <w:rPr>
      <w:rFonts w:ascii="黑体" w:hAnsi="Times New Roman" w:eastAsia="黑体" w:cs="Times New Roman"/>
      <w:sz w:val="21"/>
      <w:lang w:val="en-US" w:eastAsia="zh-CN" w:bidi="ar-SA"/>
    </w:rPr>
  </w:style>
  <w:style w:type="paragraph" w:customStyle="1" w:styleId="127">
    <w:name w:val="缩进正文"/>
    <w:basedOn w:val="1"/>
    <w:link w:val="252"/>
    <w:qFormat/>
    <w:uiPriority w:val="0"/>
    <w:pPr>
      <w:adjustRightInd w:val="0"/>
      <w:snapToGrid w:val="0"/>
      <w:spacing w:line="460" w:lineRule="atLeast"/>
      <w:ind w:firstLine="200" w:firstLineChars="200"/>
      <w:jc w:val="both"/>
    </w:pPr>
    <w:rPr>
      <w:rFonts w:ascii="Calibri" w:hAnsi="Calibri" w:cs="Times New Roman"/>
      <w:sz w:val="24"/>
      <w:szCs w:val="20"/>
      <w:lang w:val="en-US" w:bidi="ar-SA"/>
    </w:rPr>
  </w:style>
  <w:style w:type="paragraph" w:customStyle="1" w:styleId="128">
    <w:name w:val="表格正文行"/>
    <w:basedOn w:val="1"/>
    <w:link w:val="253"/>
    <w:qFormat/>
    <w:uiPriority w:val="0"/>
    <w:pPr>
      <w:widowControl/>
      <w:numPr>
        <w:ilvl w:val="0"/>
        <w:numId w:val="8"/>
      </w:numPr>
      <w:adjustRightInd w:val="0"/>
      <w:ind w:firstLine="0"/>
      <w:jc w:val="both"/>
      <w:textAlignment w:val="baseline"/>
    </w:pPr>
    <w:rPr>
      <w:color w:val="000000"/>
      <w:sz w:val="21"/>
      <w:szCs w:val="21"/>
      <w:lang w:val="en-US" w:bidi="ar-SA"/>
    </w:rPr>
  </w:style>
  <w:style w:type="paragraph" w:customStyle="1" w:styleId="129">
    <w:name w:val="表格标题行"/>
    <w:basedOn w:val="1"/>
    <w:link w:val="254"/>
    <w:qFormat/>
    <w:uiPriority w:val="0"/>
    <w:pPr>
      <w:widowControl/>
      <w:adjustRightInd w:val="0"/>
      <w:jc w:val="center"/>
      <w:textAlignment w:val="baseline"/>
    </w:pPr>
    <w:rPr>
      <w:b/>
      <w:color w:val="000000"/>
      <w:sz w:val="21"/>
      <w:szCs w:val="21"/>
      <w:lang w:val="en-US" w:bidi="ar-SA"/>
    </w:rPr>
  </w:style>
  <w:style w:type="paragraph" w:customStyle="1" w:styleId="130">
    <w:name w:val="SS正文首行缩进 +"/>
    <w:basedOn w:val="17"/>
    <w:qFormat/>
    <w:uiPriority w:val="0"/>
    <w:pPr>
      <w:widowControl w:val="0"/>
      <w:spacing w:beforeLines="50" w:afterLines="50"/>
      <w:ind w:firstLine="480" w:firstLineChars="200"/>
    </w:pPr>
    <w:rPr>
      <w:rFonts w:ascii="Times New Roman" w:cs="宋体"/>
      <w:kern w:val="2"/>
      <w:sz w:val="24"/>
      <w:szCs w:val="20"/>
    </w:rPr>
  </w:style>
  <w:style w:type="paragraph" w:customStyle="1" w:styleId="131">
    <w:name w:val="正文缩进！"/>
    <w:basedOn w:val="9"/>
    <w:link w:val="255"/>
    <w:qFormat/>
    <w:uiPriority w:val="0"/>
    <w:pPr>
      <w:adjustRightInd/>
      <w:spacing w:line="360" w:lineRule="auto"/>
      <w:ind w:firstLine="200" w:firstLineChars="200"/>
      <w:jc w:val="both"/>
    </w:pPr>
    <w:rPr>
      <w:rFonts w:ascii="Times New Roman" w:eastAsia="宋体"/>
      <w:kern w:val="2"/>
      <w:szCs w:val="24"/>
    </w:rPr>
  </w:style>
  <w:style w:type="paragraph" w:customStyle="1" w:styleId="132">
    <w:name w:val="标题2"/>
    <w:basedOn w:val="1"/>
    <w:link w:val="256"/>
    <w:qFormat/>
    <w:uiPriority w:val="0"/>
    <w:pPr>
      <w:adjustRightInd w:val="0"/>
      <w:snapToGrid w:val="0"/>
      <w:spacing w:before="120" w:line="288" w:lineRule="auto"/>
      <w:jc w:val="both"/>
      <w:outlineLvl w:val="0"/>
    </w:pPr>
    <w:rPr>
      <w:rFonts w:ascii="Times New Roman" w:hAnsi="Times New Roman" w:eastAsia="黑体" w:cs="Times New Roman"/>
      <w:color w:val="000000"/>
      <w:sz w:val="28"/>
      <w:szCs w:val="20"/>
      <w:lang w:val="en-US" w:bidi="ar-SA"/>
    </w:rPr>
  </w:style>
  <w:style w:type="paragraph" w:customStyle="1" w:styleId="133">
    <w:name w:val="正文样式"/>
    <w:basedOn w:val="1"/>
    <w:link w:val="257"/>
    <w:qFormat/>
    <w:uiPriority w:val="0"/>
    <w:pPr>
      <w:adjustRightInd w:val="0"/>
      <w:spacing w:line="288" w:lineRule="auto"/>
      <w:ind w:firstLine="200" w:firstLineChars="200"/>
      <w:jc w:val="both"/>
      <w:textAlignment w:val="baseline"/>
    </w:pPr>
    <w:rPr>
      <w:rFonts w:ascii="Arial" w:hAnsi="Arial" w:cs="Times New Roman"/>
      <w:sz w:val="24"/>
      <w:szCs w:val="24"/>
      <w:lang w:val="en-US" w:bidi="ar-SA"/>
    </w:rPr>
  </w:style>
  <w:style w:type="paragraph" w:customStyle="1" w:styleId="134">
    <w:name w:val="表格图"/>
    <w:basedOn w:val="20"/>
    <w:link w:val="258"/>
    <w:qFormat/>
    <w:uiPriority w:val="0"/>
    <w:pPr>
      <w:keepNext/>
      <w:tabs>
        <w:tab w:val="left" w:pos="0"/>
        <w:tab w:val="left" w:pos="5600"/>
        <w:tab w:val="center" w:pos="8400"/>
      </w:tabs>
      <w:ind w:left="425"/>
    </w:pPr>
    <w:rPr>
      <w:kern w:val="2"/>
    </w:rPr>
  </w:style>
  <w:style w:type="paragraph" w:customStyle="1" w:styleId="135">
    <w:name w:val="正文1级"/>
    <w:qFormat/>
    <w:uiPriority w:val="0"/>
    <w:pPr>
      <w:widowControl w:val="0"/>
      <w:numPr>
        <w:ilvl w:val="3"/>
        <w:numId w:val="9"/>
      </w:numPr>
      <w:tabs>
        <w:tab w:val="left" w:pos="420"/>
      </w:tabs>
      <w:spacing w:after="60" w:line="400" w:lineRule="exact"/>
      <w:ind w:left="839" w:hanging="419"/>
      <w:jc w:val="both"/>
    </w:pPr>
    <w:rPr>
      <w:rFonts w:ascii="Times New Roman" w:hAnsi="Times New Roman" w:eastAsia="宋体" w:cs="Times New Roman"/>
      <w:bCs/>
      <w:kern w:val="44"/>
      <w:sz w:val="24"/>
      <w:szCs w:val="44"/>
      <w:lang w:val="en-US" w:eastAsia="zh-CN" w:bidi="ar-SA"/>
    </w:rPr>
  </w:style>
  <w:style w:type="paragraph" w:customStyle="1" w:styleId="136">
    <w:name w:val="图表"/>
    <w:basedOn w:val="1"/>
    <w:link w:val="259"/>
    <w:qFormat/>
    <w:uiPriority w:val="0"/>
    <w:pPr>
      <w:spacing w:line="300" w:lineRule="auto"/>
      <w:jc w:val="center"/>
    </w:pPr>
    <w:rPr>
      <w:rFonts w:ascii="time new romans" w:hAnsi="time new romans" w:eastAsia="黑体" w:cs="Times New Roman"/>
      <w:kern w:val="2"/>
      <w:sz w:val="24"/>
      <w:szCs w:val="20"/>
      <w:lang w:val="en-US" w:bidi="ar-SA"/>
    </w:rPr>
  </w:style>
  <w:style w:type="paragraph" w:customStyle="1" w:styleId="137">
    <w:name w:val="（1）样式1"/>
    <w:basedOn w:val="1"/>
    <w:link w:val="260"/>
    <w:qFormat/>
    <w:uiPriority w:val="0"/>
    <w:pPr>
      <w:numPr>
        <w:ilvl w:val="0"/>
        <w:numId w:val="10"/>
      </w:numPr>
      <w:spacing w:line="300" w:lineRule="auto"/>
      <w:ind w:firstLine="0"/>
      <w:jc w:val="both"/>
    </w:pPr>
    <w:rPr>
      <w:rFonts w:ascii="Times New Roman" w:hAnsi="Times New Roman" w:cs="Times New Roman"/>
      <w:kern w:val="2"/>
      <w:sz w:val="24"/>
      <w:szCs w:val="20"/>
      <w:lang w:val="en-US" w:bidi="ar-SA"/>
    </w:rPr>
  </w:style>
  <w:style w:type="paragraph" w:customStyle="1" w:styleId="138">
    <w:name w:val="表格名称"/>
    <w:basedOn w:val="1"/>
    <w:link w:val="261"/>
    <w:qFormat/>
    <w:uiPriority w:val="0"/>
    <w:pPr>
      <w:spacing w:line="300" w:lineRule="auto"/>
      <w:jc w:val="center"/>
    </w:pPr>
    <w:rPr>
      <w:rFonts w:ascii="Times New Roman" w:hAnsi="Times New Roman" w:eastAsia="黑体" w:cs="Times New Roman"/>
      <w:kern w:val="2"/>
      <w:sz w:val="24"/>
      <w:szCs w:val="24"/>
      <w:lang w:val="en-US" w:bidi="ar-SA"/>
    </w:rPr>
  </w:style>
  <w:style w:type="paragraph" w:customStyle="1" w:styleId="139">
    <w:name w:val="wyl正文"/>
    <w:basedOn w:val="17"/>
    <w:qFormat/>
    <w:uiPriority w:val="0"/>
    <w:pPr>
      <w:widowControl w:val="0"/>
      <w:ind w:firstLine="461" w:firstLineChars="192"/>
    </w:pPr>
    <w:rPr>
      <w:rFonts w:ascii="Times New Roman" w:hAnsi="宋体" w:cs="宋体"/>
      <w:kern w:val="2"/>
      <w:sz w:val="24"/>
      <w:szCs w:val="20"/>
    </w:rPr>
  </w:style>
  <w:style w:type="paragraph" w:customStyle="1" w:styleId="140">
    <w:name w:val="引用1"/>
    <w:basedOn w:val="1"/>
    <w:next w:val="1"/>
    <w:link w:val="262"/>
    <w:qFormat/>
    <w:uiPriority w:val="29"/>
    <w:pPr>
      <w:spacing w:before="200" w:after="160" w:line="360" w:lineRule="auto"/>
      <w:ind w:left="864" w:right="864"/>
      <w:jc w:val="center"/>
    </w:pPr>
    <w:rPr>
      <w:rFonts w:ascii="Calibri" w:hAnsi="Calibri" w:eastAsia="仿宋_GB2312" w:cs="黑体"/>
      <w:i/>
      <w:iCs/>
      <w:color w:val="404040"/>
      <w:kern w:val="2"/>
      <w:sz w:val="32"/>
      <w:lang w:val="en-US" w:bidi="ar-SA"/>
    </w:rPr>
  </w:style>
  <w:style w:type="paragraph" w:customStyle="1" w:styleId="141">
    <w:name w:val="明显引用1"/>
    <w:basedOn w:val="1"/>
    <w:next w:val="1"/>
    <w:link w:val="265"/>
    <w:qFormat/>
    <w:uiPriority w:val="30"/>
    <w:pPr>
      <w:pBdr>
        <w:bottom w:val="single" w:color="4F81BD" w:sz="4" w:space="4"/>
      </w:pBdr>
      <w:spacing w:before="200" w:after="280" w:line="300" w:lineRule="auto"/>
      <w:ind w:left="936" w:right="936" w:firstLine="200" w:firstLineChars="200"/>
    </w:pPr>
    <w:rPr>
      <w:rFonts w:ascii="Calibri" w:hAnsi="Calibri" w:eastAsia="仿宋_GB2312" w:cs="黑体"/>
      <w:b/>
      <w:bCs/>
      <w:i/>
      <w:iCs/>
      <w:color w:val="4F81BD"/>
      <w:kern w:val="2"/>
      <w:sz w:val="20"/>
      <w:szCs w:val="24"/>
      <w:lang w:val="en-US" w:bidi="ar-SA"/>
    </w:rPr>
  </w:style>
  <w:style w:type="paragraph" w:customStyle="1" w:styleId="142">
    <w:name w:val="T 标题 5"/>
    <w:basedOn w:val="8"/>
    <w:link w:val="268"/>
    <w:qFormat/>
    <w:uiPriority w:val="0"/>
    <w:pPr>
      <w:keepNext/>
      <w:keepLines/>
      <w:spacing w:before="280" w:beforeLines="50" w:after="290" w:afterLines="50" w:line="300" w:lineRule="auto"/>
      <w:ind w:left="0" w:firstLine="0"/>
      <w:jc w:val="both"/>
    </w:pPr>
    <w:rPr>
      <w:rFonts w:ascii="Times New Roman" w:hAnsi="Times New Roman" w:eastAsia="仿宋_GB2312" w:cs="Times New Roman"/>
      <w:b w:val="0"/>
      <w:kern w:val="2"/>
      <w:sz w:val="24"/>
      <w:szCs w:val="24"/>
      <w:lang w:val="en-US" w:bidi="ar-SA"/>
    </w:rPr>
  </w:style>
  <w:style w:type="paragraph" w:customStyle="1" w:styleId="143">
    <w:name w:val="T 章节标题"/>
    <w:basedOn w:val="1"/>
    <w:link w:val="269"/>
    <w:qFormat/>
    <w:uiPriority w:val="0"/>
    <w:pPr>
      <w:spacing w:before="100" w:beforeAutospacing="1" w:after="100" w:afterAutospacing="1" w:line="300" w:lineRule="auto"/>
      <w:jc w:val="center"/>
    </w:pPr>
    <w:rPr>
      <w:rFonts w:ascii="Times New Roman" w:hAnsi="Times New Roman" w:eastAsia="黑体" w:cs="Times New Roman"/>
      <w:kern w:val="2"/>
      <w:sz w:val="32"/>
      <w:szCs w:val="44"/>
      <w:lang w:val="en-US" w:bidi="ar-SA"/>
    </w:rPr>
  </w:style>
  <w:style w:type="paragraph" w:customStyle="1" w:styleId="144">
    <w:name w:val="T 标题 6"/>
    <w:basedOn w:val="142"/>
    <w:link w:val="270"/>
    <w:qFormat/>
    <w:uiPriority w:val="1"/>
    <w:pPr>
      <w:tabs>
        <w:tab w:val="left" w:pos="3926"/>
      </w:tabs>
      <w:ind w:left="3260" w:hanging="1134"/>
      <w:outlineLvl w:val="5"/>
    </w:pPr>
  </w:style>
  <w:style w:type="paragraph" w:customStyle="1" w:styleId="145">
    <w:name w:val="T 文字突显"/>
    <w:basedOn w:val="1"/>
    <w:link w:val="271"/>
    <w:qFormat/>
    <w:uiPriority w:val="1"/>
    <w:pPr>
      <w:spacing w:line="300" w:lineRule="auto"/>
      <w:ind w:firstLine="502" w:firstLineChars="200"/>
      <w:jc w:val="both"/>
    </w:pPr>
    <w:rPr>
      <w:rFonts w:ascii="Times New Roman" w:hAnsi="Times New Roman" w:eastAsia="仿宋_GB2312" w:cs="Times New Roman"/>
      <w:b/>
      <w:i/>
      <w:color w:val="0000FF"/>
      <w:kern w:val="2"/>
      <w:sz w:val="32"/>
      <w:szCs w:val="24"/>
      <w:u w:val="single"/>
      <w:lang w:val="en-US" w:bidi="ar-SA"/>
    </w:rPr>
  </w:style>
  <w:style w:type="paragraph" w:customStyle="1" w:styleId="146">
    <w:name w:val="封面3"/>
    <w:basedOn w:val="1"/>
    <w:link w:val="272"/>
    <w:qFormat/>
    <w:uiPriority w:val="0"/>
    <w:pPr>
      <w:spacing w:beforeLines="100" w:afterLines="100"/>
      <w:jc w:val="center"/>
    </w:pPr>
    <w:rPr>
      <w:rFonts w:ascii="Times New Roman" w:hAnsi="Times New Roman" w:eastAsia="仿宋_GB2312" w:cs="Times New Roman"/>
      <w:b/>
      <w:kern w:val="2"/>
      <w:sz w:val="36"/>
      <w:szCs w:val="24"/>
      <w:lang w:val="en-US" w:bidi="ar-SA"/>
    </w:rPr>
  </w:style>
  <w:style w:type="paragraph" w:customStyle="1" w:styleId="147">
    <w:name w:val="规范正文"/>
    <w:basedOn w:val="1"/>
    <w:link w:val="273"/>
    <w:qFormat/>
    <w:uiPriority w:val="0"/>
    <w:pPr>
      <w:widowControl/>
      <w:spacing w:line="300" w:lineRule="auto"/>
      <w:ind w:firstLine="200" w:firstLineChars="200"/>
    </w:pPr>
    <w:rPr>
      <w:rFonts w:ascii="Times New Roman" w:hAnsi="Times New Roman" w:eastAsia="仿宋_GB2312" w:cs="Times New Roman"/>
      <w:kern w:val="2"/>
      <w:sz w:val="32"/>
      <w:szCs w:val="24"/>
      <w:lang w:val="en-US" w:bidi="ar-SA"/>
    </w:rPr>
  </w:style>
  <w:style w:type="paragraph" w:customStyle="1" w:styleId="148">
    <w:name w:val="标题II"/>
    <w:basedOn w:val="10"/>
    <w:link w:val="274"/>
    <w:qFormat/>
    <w:uiPriority w:val="0"/>
    <w:pPr>
      <w:spacing w:after="100" w:afterAutospacing="1" w:line="360" w:lineRule="auto"/>
    </w:pPr>
    <w:rPr>
      <w:rFonts w:ascii="Times New Roman" w:hAnsi="Times New Roman" w:eastAsia="仿宋_GB2312"/>
      <w:bCs w:val="0"/>
      <w:sz w:val="28"/>
      <w:szCs w:val="28"/>
    </w:rPr>
  </w:style>
  <w:style w:type="paragraph" w:customStyle="1" w:styleId="149">
    <w:name w:val="标题I"/>
    <w:basedOn w:val="8"/>
    <w:link w:val="275"/>
    <w:qFormat/>
    <w:uiPriority w:val="0"/>
    <w:pPr>
      <w:keepNext/>
      <w:keepLines/>
      <w:spacing w:before="100" w:beforeAutospacing="1" w:after="100" w:afterAutospacing="1" w:line="360" w:lineRule="auto"/>
      <w:ind w:left="0" w:firstLine="0"/>
      <w:jc w:val="right"/>
    </w:pPr>
    <w:rPr>
      <w:rFonts w:ascii="宋体" w:hAnsi="宋体" w:eastAsia="仿宋_GB2312" w:cs="Times New Roman"/>
      <w:bCs w:val="0"/>
      <w:kern w:val="2"/>
      <w:sz w:val="36"/>
      <w:szCs w:val="36"/>
      <w:u w:val="single"/>
      <w:lang w:val="en-US" w:bidi="ar-SA"/>
    </w:rPr>
  </w:style>
  <w:style w:type="paragraph" w:customStyle="1" w:styleId="150">
    <w:name w:val="重庆_正文样式"/>
    <w:basedOn w:val="1"/>
    <w:link w:val="276"/>
    <w:qFormat/>
    <w:uiPriority w:val="0"/>
    <w:pPr>
      <w:widowControl/>
      <w:spacing w:line="360" w:lineRule="auto"/>
      <w:ind w:firstLine="538" w:firstLineChars="192"/>
    </w:pPr>
    <w:rPr>
      <w:rFonts w:ascii="Times New Roman" w:hAnsi="Times New Roman" w:eastAsia="仿宋_GB2312" w:cs="Times New Roman"/>
      <w:kern w:val="2"/>
      <w:sz w:val="28"/>
      <w:szCs w:val="28"/>
      <w:lang w:val="en-US" w:bidi="ar-SA"/>
    </w:rPr>
  </w:style>
  <w:style w:type="paragraph" w:customStyle="1" w:styleId="151">
    <w:name w:val="投标标题2"/>
    <w:basedOn w:val="10"/>
    <w:qFormat/>
    <w:uiPriority w:val="0"/>
    <w:pPr>
      <w:numPr>
        <w:ilvl w:val="0"/>
        <w:numId w:val="11"/>
      </w:numPr>
      <w:spacing w:after="100" w:afterAutospacing="1" w:line="300" w:lineRule="auto"/>
    </w:pPr>
    <w:rPr>
      <w:rFonts w:ascii="Times New Roman" w:hAnsi="Times New Roman" w:eastAsia="仿宋_GB2312"/>
      <w:bCs w:val="0"/>
      <w:sz w:val="28"/>
      <w:szCs w:val="28"/>
    </w:rPr>
  </w:style>
  <w:style w:type="paragraph" w:customStyle="1" w:styleId="152">
    <w:name w:val="正文（绿盟科技）"/>
    <w:link w:val="277"/>
    <w:qFormat/>
    <w:uiPriority w:val="0"/>
    <w:pPr>
      <w:spacing w:line="300" w:lineRule="auto"/>
    </w:pPr>
    <w:rPr>
      <w:rFonts w:ascii="Arial" w:hAnsi="Arial" w:eastAsia="宋体" w:cs="Times New Roman"/>
      <w:sz w:val="21"/>
      <w:szCs w:val="21"/>
      <w:lang w:val="en-US" w:eastAsia="zh-CN" w:bidi="ar-SA"/>
    </w:rPr>
  </w:style>
  <w:style w:type="paragraph" w:customStyle="1" w:styleId="153">
    <w:name w:val="图例说明"/>
    <w:basedOn w:val="1"/>
    <w:link w:val="278"/>
    <w:qFormat/>
    <w:uiPriority w:val="0"/>
    <w:pPr>
      <w:spacing w:afterLines="50"/>
      <w:jc w:val="center"/>
    </w:pPr>
    <w:rPr>
      <w:rFonts w:ascii="Times New Roman" w:hAnsi="Times New Roman" w:eastAsia="黑体" w:cs="Times New Roman"/>
      <w:kern w:val="2"/>
      <w:sz w:val="32"/>
      <w:lang w:val="en-US" w:bidi="ar-SA"/>
    </w:rPr>
  </w:style>
  <w:style w:type="paragraph" w:customStyle="1" w:styleId="154">
    <w:name w:val="条文"/>
    <w:basedOn w:val="1"/>
    <w:link w:val="279"/>
    <w:qFormat/>
    <w:uiPriority w:val="0"/>
    <w:pPr>
      <w:widowControl/>
      <w:tabs>
        <w:tab w:val="left" w:pos="1848"/>
      </w:tabs>
      <w:spacing w:beforeLines="50" w:line="300" w:lineRule="auto"/>
      <w:ind w:left="1848" w:hanging="855"/>
      <w:outlineLvl w:val="0"/>
    </w:pPr>
    <w:rPr>
      <w:rFonts w:ascii="仿宋_GB2312" w:eastAsia="仿宋_GB2312" w:cs="Times New Roman"/>
      <w:b/>
      <w:kern w:val="2"/>
      <w:sz w:val="32"/>
      <w:szCs w:val="24"/>
      <w:lang w:val="en-US" w:bidi="ar-SA"/>
    </w:rPr>
  </w:style>
  <w:style w:type="paragraph" w:customStyle="1" w:styleId="155">
    <w:name w:val="初步设计 表头"/>
    <w:basedOn w:val="83"/>
    <w:qFormat/>
    <w:uiPriority w:val="0"/>
    <w:rPr>
      <w:rFonts w:ascii="宋体" w:hAnsi="宋体"/>
      <w:b/>
      <w:bCs/>
    </w:rPr>
  </w:style>
  <w:style w:type="paragraph" w:customStyle="1" w:styleId="156">
    <w:name w:val="正文缩进(ALT+Z)"/>
    <w:basedOn w:val="1"/>
    <w:link w:val="280"/>
    <w:qFormat/>
    <w:uiPriority w:val="0"/>
    <w:pPr>
      <w:spacing w:line="360" w:lineRule="auto"/>
      <w:ind w:firstLine="200" w:firstLineChars="200"/>
      <w:jc w:val="both"/>
    </w:pPr>
    <w:rPr>
      <w:rFonts w:ascii="Times New Roman" w:hAnsi="Times New Roman" w:cs="Times New Roman"/>
      <w:kern w:val="2"/>
      <w:sz w:val="24"/>
      <w:szCs w:val="24"/>
      <w:lang w:bidi="ar-SA"/>
    </w:rPr>
  </w:style>
  <w:style w:type="paragraph" w:customStyle="1" w:styleId="157">
    <w:name w:val="正文－段落"/>
    <w:link w:val="281"/>
    <w:qFormat/>
    <w:uiPriority w:val="0"/>
    <w:pPr>
      <w:spacing w:line="360" w:lineRule="auto"/>
      <w:ind w:firstLine="480" w:firstLineChars="200"/>
    </w:pPr>
    <w:rPr>
      <w:rFonts w:ascii="Calibri" w:hAnsi="Calibri" w:eastAsia="宋体" w:cs="宋体"/>
      <w:sz w:val="24"/>
      <w:szCs w:val="24"/>
      <w:lang w:val="en-US" w:eastAsia="zh-CN" w:bidi="ar-SA"/>
    </w:rPr>
  </w:style>
  <w:style w:type="paragraph" w:customStyle="1" w:styleId="158">
    <w:name w:val="标题5"/>
    <w:basedOn w:val="142"/>
    <w:link w:val="282"/>
    <w:qFormat/>
    <w:uiPriority w:val="0"/>
    <w:pPr>
      <w:spacing w:before="163" w:after="163"/>
    </w:pPr>
    <w:rPr>
      <w:rFonts w:eastAsia="宋体"/>
    </w:rPr>
  </w:style>
  <w:style w:type="paragraph" w:customStyle="1" w:styleId="159">
    <w:name w:val="图表题注样式"/>
    <w:basedOn w:val="1"/>
    <w:link w:val="283"/>
    <w:qFormat/>
    <w:uiPriority w:val="0"/>
    <w:pPr>
      <w:spacing w:line="360" w:lineRule="auto"/>
      <w:jc w:val="center"/>
    </w:pPr>
    <w:rPr>
      <w:rFonts w:ascii="Calibri" w:hAnsi="Calibri" w:eastAsia="黑体" w:cs="黑体"/>
      <w:color w:val="000000"/>
      <w:sz w:val="24"/>
      <w:szCs w:val="24"/>
      <w:lang w:val="en-US" w:bidi="ar-SA"/>
    </w:rPr>
  </w:style>
  <w:style w:type="paragraph" w:customStyle="1" w:styleId="160">
    <w:name w:val="表格(五号)"/>
    <w:basedOn w:val="1"/>
    <w:link w:val="284"/>
    <w:qFormat/>
    <w:uiPriority w:val="0"/>
    <w:pPr>
      <w:adjustRightInd w:val="0"/>
      <w:snapToGrid w:val="0"/>
      <w:spacing w:before="60" w:after="60"/>
      <w:ind w:left="11"/>
      <w:jc w:val="center"/>
    </w:pPr>
    <w:rPr>
      <w:rFonts w:ascii="Calibri" w:hAnsi="Calibri" w:cs="黑体"/>
      <w:color w:val="000000"/>
      <w:sz w:val="20"/>
      <w:szCs w:val="20"/>
      <w:lang w:val="en-US" w:bidi="ar-SA"/>
    </w:rPr>
  </w:style>
  <w:style w:type="paragraph" w:customStyle="1" w:styleId="161">
    <w:name w:val="列出段落3"/>
    <w:basedOn w:val="1"/>
    <w:qFormat/>
    <w:uiPriority w:val="34"/>
    <w:pPr>
      <w:ind w:firstLine="420" w:firstLineChars="200"/>
    </w:pPr>
  </w:style>
  <w:style w:type="character" w:customStyle="1" w:styleId="162">
    <w:name w:val="标题 2 字符1"/>
    <w:link w:val="5"/>
    <w:qFormat/>
    <w:uiPriority w:val="0"/>
    <w:rPr>
      <w:rFonts w:ascii="Microsoft JhengHei" w:hAnsi="Microsoft JhengHei" w:eastAsia="Microsoft JhengHei" w:cs="Microsoft JhengHei"/>
      <w:b/>
      <w:bCs/>
      <w:sz w:val="32"/>
      <w:szCs w:val="32"/>
      <w:lang w:val="zh-CN" w:bidi="zh-CN"/>
    </w:rPr>
  </w:style>
  <w:style w:type="character" w:customStyle="1" w:styleId="163">
    <w:name w:val="标题 3 字符"/>
    <w:link w:val="6"/>
    <w:qFormat/>
    <w:uiPriority w:val="0"/>
    <w:rPr>
      <w:rFonts w:ascii="宋体" w:hAnsi="宋体" w:eastAsia="宋体" w:cs="宋体"/>
      <w:sz w:val="28"/>
      <w:szCs w:val="28"/>
      <w:lang w:val="zh-CN" w:bidi="zh-CN"/>
    </w:rPr>
  </w:style>
  <w:style w:type="character" w:customStyle="1" w:styleId="164">
    <w:name w:val="标题 4 字符"/>
    <w:link w:val="7"/>
    <w:qFormat/>
    <w:uiPriority w:val="0"/>
    <w:rPr>
      <w:rFonts w:ascii="宋体" w:hAnsi="宋体" w:eastAsia="宋体" w:cs="宋体"/>
      <w:sz w:val="24"/>
      <w:szCs w:val="24"/>
      <w:lang w:val="zh-CN" w:bidi="zh-CN"/>
    </w:rPr>
  </w:style>
  <w:style w:type="character" w:customStyle="1" w:styleId="165">
    <w:name w:val="标题 5 字符"/>
    <w:link w:val="8"/>
    <w:qFormat/>
    <w:uiPriority w:val="0"/>
    <w:rPr>
      <w:rFonts w:ascii="Microsoft JhengHei" w:hAnsi="Microsoft JhengHei" w:eastAsia="Microsoft JhengHei" w:cs="Microsoft JhengHei"/>
      <w:b/>
      <w:bCs/>
      <w:sz w:val="21"/>
      <w:szCs w:val="21"/>
      <w:lang w:val="zh-CN" w:bidi="zh-CN"/>
    </w:rPr>
  </w:style>
  <w:style w:type="character" w:customStyle="1" w:styleId="166">
    <w:name w:val="标题 6 字符"/>
    <w:link w:val="10"/>
    <w:qFormat/>
    <w:uiPriority w:val="0"/>
    <w:rPr>
      <w:rFonts w:ascii="Arial" w:hAnsi="Arial" w:eastAsia="黑体" w:cs="Times New Roman"/>
      <w:b/>
      <w:bCs/>
      <w:kern w:val="2"/>
      <w:sz w:val="24"/>
      <w:szCs w:val="24"/>
    </w:rPr>
  </w:style>
  <w:style w:type="character" w:customStyle="1" w:styleId="167">
    <w:name w:val="标题 7 字符"/>
    <w:link w:val="11"/>
    <w:qFormat/>
    <w:uiPriority w:val="0"/>
    <w:rPr>
      <w:rFonts w:ascii="Times New Roman" w:hAnsi="Times New Roman" w:eastAsia="宋体" w:cs="Times New Roman"/>
      <w:b/>
      <w:bCs/>
      <w:kern w:val="2"/>
      <w:sz w:val="24"/>
      <w:szCs w:val="24"/>
    </w:rPr>
  </w:style>
  <w:style w:type="character" w:customStyle="1" w:styleId="168">
    <w:name w:val="标题 8 字符"/>
    <w:link w:val="12"/>
    <w:qFormat/>
    <w:uiPriority w:val="0"/>
    <w:rPr>
      <w:rFonts w:ascii="Cambria" w:hAnsi="Cambria" w:eastAsia="宋体" w:cs="黑体"/>
      <w:sz w:val="24"/>
      <w:szCs w:val="24"/>
      <w:lang w:val="zh-CN" w:bidi="zh-CN"/>
    </w:rPr>
  </w:style>
  <w:style w:type="character" w:customStyle="1" w:styleId="169">
    <w:name w:val="标题 9 字符"/>
    <w:link w:val="13"/>
    <w:qFormat/>
    <w:uiPriority w:val="0"/>
    <w:rPr>
      <w:rFonts w:ascii="Arial" w:hAnsi="Arial" w:eastAsia="黑体" w:cs="Times New Roman"/>
      <w:kern w:val="2"/>
      <w:sz w:val="21"/>
      <w:szCs w:val="21"/>
    </w:rPr>
  </w:style>
  <w:style w:type="character" w:customStyle="1" w:styleId="170">
    <w:name w:val="批注文字 字符2"/>
    <w:link w:val="15"/>
    <w:qFormat/>
    <w:uiPriority w:val="0"/>
    <w:rPr>
      <w:rFonts w:ascii="宋体" w:hAnsi="宋体" w:cs="宋体"/>
      <w:sz w:val="22"/>
      <w:szCs w:val="22"/>
      <w:lang w:val="zh-CN" w:bidi="zh-CN"/>
    </w:rPr>
  </w:style>
  <w:style w:type="character" w:customStyle="1" w:styleId="171">
    <w:name w:val="正文文本 字符"/>
    <w:link w:val="18"/>
    <w:qFormat/>
    <w:uiPriority w:val="0"/>
    <w:rPr>
      <w:rFonts w:ascii="宋体" w:hAnsi="宋体" w:cs="宋体"/>
      <w:sz w:val="21"/>
      <w:szCs w:val="21"/>
      <w:lang w:val="zh-CN" w:bidi="zh-CN"/>
    </w:rPr>
  </w:style>
  <w:style w:type="character" w:customStyle="1" w:styleId="172">
    <w:name w:val="正文文本缩进 字符"/>
    <w:link w:val="3"/>
    <w:qFormat/>
    <w:uiPriority w:val="0"/>
    <w:rPr>
      <w:rFonts w:ascii="宋体" w:hAnsi="宋体" w:cs="宋体"/>
      <w:sz w:val="22"/>
      <w:szCs w:val="22"/>
      <w:lang w:val="zh-CN" w:bidi="zh-CN"/>
    </w:rPr>
  </w:style>
  <w:style w:type="character" w:customStyle="1" w:styleId="173">
    <w:name w:val="页脚 字符"/>
    <w:link w:val="35"/>
    <w:qFormat/>
    <w:uiPriority w:val="0"/>
    <w:rPr>
      <w:rFonts w:ascii="Calibri" w:hAnsi="Calibri" w:eastAsia="Calibri" w:cs="黑体"/>
      <w:sz w:val="18"/>
      <w:szCs w:val="22"/>
      <w:lang w:eastAsia="en-US"/>
    </w:rPr>
  </w:style>
  <w:style w:type="character" w:customStyle="1" w:styleId="174">
    <w:name w:val="页眉 字符"/>
    <w:link w:val="36"/>
    <w:qFormat/>
    <w:uiPriority w:val="99"/>
    <w:rPr>
      <w:rFonts w:ascii="宋体" w:hAnsi="宋体" w:cs="宋体"/>
      <w:sz w:val="18"/>
      <w:szCs w:val="18"/>
      <w:lang w:val="zh-CN" w:bidi="zh-CN"/>
    </w:rPr>
  </w:style>
  <w:style w:type="character" w:customStyle="1" w:styleId="175">
    <w:name w:val="目录 2 字符"/>
    <w:link w:val="44"/>
    <w:qFormat/>
    <w:uiPriority w:val="39"/>
    <w:rPr>
      <w:rFonts w:ascii="宋体" w:hAnsi="宋体" w:eastAsia="宋体" w:cs="宋体"/>
      <w:sz w:val="21"/>
      <w:szCs w:val="21"/>
      <w:lang w:val="zh-CN" w:bidi="zh-CN"/>
    </w:rPr>
  </w:style>
  <w:style w:type="character" w:customStyle="1" w:styleId="176">
    <w:name w:val="批注主题 字符"/>
    <w:link w:val="14"/>
    <w:qFormat/>
    <w:uiPriority w:val="99"/>
    <w:rPr>
      <w:rFonts w:ascii="宋体" w:hAnsi="宋体" w:cs="宋体"/>
      <w:b/>
      <w:bCs/>
      <w:sz w:val="22"/>
      <w:szCs w:val="22"/>
      <w:lang w:val="zh-CN" w:bidi="zh-CN"/>
    </w:rPr>
  </w:style>
  <w:style w:type="character" w:customStyle="1" w:styleId="177">
    <w:name w:val="列出段落 Char"/>
    <w:link w:val="58"/>
    <w:qFormat/>
    <w:uiPriority w:val="34"/>
    <w:rPr>
      <w:rFonts w:ascii="宋体" w:hAnsi="宋体" w:eastAsia="宋体" w:cs="宋体"/>
      <w:sz w:val="22"/>
      <w:szCs w:val="22"/>
      <w:lang w:val="zh-CN" w:bidi="zh-CN"/>
    </w:rPr>
  </w:style>
  <w:style w:type="character" w:customStyle="1" w:styleId="178">
    <w:name w:val="未处理的提及1"/>
    <w:unhideWhenUsed/>
    <w:qFormat/>
    <w:uiPriority w:val="99"/>
    <w:rPr>
      <w:color w:val="605E5C"/>
      <w:shd w:val="clear" w:color="auto" w:fill="E1DFDD"/>
    </w:rPr>
  </w:style>
  <w:style w:type="character" w:customStyle="1" w:styleId="179">
    <w:name w:val="批注文字 字符1"/>
    <w:qFormat/>
    <w:uiPriority w:val="0"/>
    <w:rPr>
      <w:rFonts w:eastAsia="宋体"/>
      <w:kern w:val="2"/>
      <w:sz w:val="21"/>
      <w:lang w:val="en-US" w:eastAsia="zh-CN" w:bidi="ar-SA"/>
    </w:rPr>
  </w:style>
  <w:style w:type="character" w:customStyle="1" w:styleId="180">
    <w:name w:val="正文缩进 字符1"/>
    <w:link w:val="9"/>
    <w:qFormat/>
    <w:uiPriority w:val="0"/>
    <w:rPr>
      <w:rFonts w:ascii="楷体_GB2312" w:hAnsi="Times New Roman" w:eastAsia="楷体_GB2312" w:cs="Times New Roman"/>
      <w:sz w:val="28"/>
    </w:rPr>
  </w:style>
  <w:style w:type="character" w:customStyle="1" w:styleId="181">
    <w:name w:val="文档结构图 字符"/>
    <w:link w:val="22"/>
    <w:qFormat/>
    <w:uiPriority w:val="99"/>
    <w:rPr>
      <w:rFonts w:ascii="宋体" w:hAnsi="Times New Roman" w:eastAsia="宋体" w:cs="Times New Roman"/>
      <w:kern w:val="2"/>
      <w:sz w:val="18"/>
      <w:szCs w:val="18"/>
    </w:rPr>
  </w:style>
  <w:style w:type="character" w:customStyle="1" w:styleId="182">
    <w:name w:val="正文文本 3 字符"/>
    <w:link w:val="24"/>
    <w:qFormat/>
    <w:uiPriority w:val="0"/>
    <w:rPr>
      <w:rFonts w:ascii="Times New Roman" w:hAnsi="Times New Roman" w:eastAsia="宋体" w:cs="Times New Roman"/>
      <w:kern w:val="2"/>
      <w:sz w:val="16"/>
      <w:szCs w:val="16"/>
    </w:rPr>
  </w:style>
  <w:style w:type="character" w:customStyle="1" w:styleId="183">
    <w:name w:val="纯文本 字符"/>
    <w:link w:val="29"/>
    <w:qFormat/>
    <w:uiPriority w:val="0"/>
    <w:rPr>
      <w:rFonts w:ascii="宋体" w:hAnsi="Courier New" w:eastAsia="宋体" w:cs="Times New Roman"/>
      <w:kern w:val="2"/>
      <w:sz w:val="21"/>
    </w:rPr>
  </w:style>
  <w:style w:type="character" w:customStyle="1" w:styleId="184">
    <w:name w:val="日期 字符"/>
    <w:link w:val="31"/>
    <w:qFormat/>
    <w:uiPriority w:val="0"/>
    <w:rPr>
      <w:rFonts w:ascii="Times New Roman" w:hAnsi="Times New Roman" w:eastAsia="宋体" w:cs="Times New Roman"/>
      <w:kern w:val="2"/>
      <w:sz w:val="21"/>
    </w:rPr>
  </w:style>
  <w:style w:type="character" w:customStyle="1" w:styleId="185">
    <w:name w:val="正文文本缩进 2 字符"/>
    <w:link w:val="32"/>
    <w:qFormat/>
    <w:uiPriority w:val="0"/>
    <w:rPr>
      <w:rFonts w:ascii="仿宋_GB2312" w:hAnsi="宋体" w:eastAsia="仿宋_GB2312" w:cs="Times New Roman"/>
      <w:kern w:val="2"/>
      <w:sz w:val="24"/>
      <w:szCs w:val="24"/>
    </w:rPr>
  </w:style>
  <w:style w:type="character" w:customStyle="1" w:styleId="186">
    <w:name w:val="批注框文本 字符"/>
    <w:link w:val="34"/>
    <w:qFormat/>
    <w:uiPriority w:val="99"/>
    <w:rPr>
      <w:rFonts w:ascii="Times New Roman" w:hAnsi="Times New Roman" w:eastAsia="宋体" w:cs="Times New Roman"/>
      <w:kern w:val="2"/>
      <w:sz w:val="18"/>
      <w:szCs w:val="18"/>
    </w:rPr>
  </w:style>
  <w:style w:type="character" w:customStyle="1" w:styleId="187">
    <w:name w:val="正文文本缩进 3 字符"/>
    <w:link w:val="42"/>
    <w:qFormat/>
    <w:uiPriority w:val="0"/>
    <w:rPr>
      <w:rFonts w:ascii="Times New Roman" w:hAnsi="Times New Roman" w:eastAsia="宋体" w:cs="Times New Roman"/>
      <w:kern w:val="2"/>
      <w:sz w:val="24"/>
    </w:rPr>
  </w:style>
  <w:style w:type="character" w:customStyle="1" w:styleId="188">
    <w:name w:val="正文文本 2 字符"/>
    <w:link w:val="46"/>
    <w:qFormat/>
    <w:uiPriority w:val="0"/>
    <w:rPr>
      <w:rFonts w:ascii="Times New Roman" w:hAnsi="Times New Roman" w:eastAsia="宋体" w:cs="Times New Roman"/>
      <w:kern w:val="2"/>
      <w:sz w:val="21"/>
      <w:szCs w:val="24"/>
    </w:rPr>
  </w:style>
  <w:style w:type="character" w:customStyle="1" w:styleId="189">
    <w:name w:val="HTML 预设格式 字符"/>
    <w:link w:val="47"/>
    <w:qFormat/>
    <w:uiPriority w:val="0"/>
    <w:rPr>
      <w:rFonts w:ascii="宋体" w:hAnsi="宋体" w:eastAsia="宋体" w:cs="宋体"/>
      <w:sz w:val="24"/>
      <w:szCs w:val="24"/>
    </w:rPr>
  </w:style>
  <w:style w:type="character" w:customStyle="1" w:styleId="190">
    <w:name w:val="标题 字符"/>
    <w:link w:val="49"/>
    <w:qFormat/>
    <w:uiPriority w:val="10"/>
    <w:rPr>
      <w:rFonts w:ascii="Cambria" w:hAnsi="Cambria" w:eastAsia="宋体" w:cs="Times New Roman"/>
      <w:b/>
      <w:bCs/>
      <w:kern w:val="2"/>
      <w:sz w:val="32"/>
      <w:szCs w:val="32"/>
    </w:rPr>
  </w:style>
  <w:style w:type="character" w:customStyle="1" w:styleId="191">
    <w:name w:val="Char Char1"/>
    <w:qFormat/>
    <w:uiPriority w:val="0"/>
    <w:rPr>
      <w:rFonts w:ascii="楷体_GB2312" w:eastAsia="楷体_GB2312"/>
      <w:sz w:val="28"/>
    </w:rPr>
  </w:style>
  <w:style w:type="character" w:customStyle="1" w:styleId="192">
    <w:name w:val="标题 Char"/>
    <w:qFormat/>
    <w:uiPriority w:val="10"/>
    <w:rPr>
      <w:rFonts w:ascii="Cambria" w:hAnsi="Cambria" w:cs="Times New Roman"/>
      <w:b/>
      <w:bCs/>
      <w:kern w:val="2"/>
      <w:sz w:val="32"/>
      <w:szCs w:val="32"/>
    </w:rPr>
  </w:style>
  <w:style w:type="character" w:customStyle="1" w:styleId="193">
    <w:name w:val="标题 1 Char"/>
    <w:qFormat/>
    <w:uiPriority w:val="0"/>
    <w:rPr>
      <w:rFonts w:ascii="黑体"/>
      <w:b/>
      <w:kern w:val="44"/>
      <w:sz w:val="32"/>
    </w:rPr>
  </w:style>
  <w:style w:type="character" w:customStyle="1" w:styleId="194">
    <w:name w:val="正文文本缩进 Char"/>
    <w:qFormat/>
    <w:uiPriority w:val="0"/>
    <w:rPr>
      <w:rFonts w:ascii="楷体_GB2312" w:eastAsia="楷体_GB2312"/>
      <w:sz w:val="28"/>
    </w:rPr>
  </w:style>
  <w:style w:type="character" w:customStyle="1" w:styleId="195">
    <w:name w:val="Char Char"/>
    <w:qFormat/>
    <w:uiPriority w:val="0"/>
    <w:rPr>
      <w:rFonts w:ascii="宋体"/>
      <w:kern w:val="2"/>
      <w:sz w:val="18"/>
      <w:szCs w:val="18"/>
    </w:rPr>
  </w:style>
  <w:style w:type="character" w:customStyle="1" w:styleId="196">
    <w:name w:val="访问过的超链接1"/>
    <w:qFormat/>
    <w:uiPriority w:val="0"/>
    <w:rPr>
      <w:color w:val="800080"/>
      <w:u w:val="single"/>
    </w:rPr>
  </w:style>
  <w:style w:type="character" w:customStyle="1" w:styleId="197">
    <w:name w:val="蓝色显示 Char"/>
    <w:link w:val="69"/>
    <w:qFormat/>
    <w:uiPriority w:val="0"/>
    <w:rPr>
      <w:rFonts w:ascii="Times New Roman" w:hAnsi="Times New Roman" w:eastAsia="宋体" w:cs="Times New Roman"/>
      <w:b/>
      <w:color w:val="0070C0"/>
      <w:kern w:val="2"/>
      <w:sz w:val="21"/>
      <w:szCs w:val="24"/>
    </w:rPr>
  </w:style>
  <w:style w:type="character" w:customStyle="1" w:styleId="198">
    <w:name w:val="标题3 Char"/>
    <w:link w:val="70"/>
    <w:qFormat/>
    <w:uiPriority w:val="0"/>
    <w:rPr>
      <w:rFonts w:ascii="宋体" w:hAnsi="宋体" w:eastAsia="宋体" w:cs="Times New Roman"/>
      <w:color w:val="000000"/>
      <w:sz w:val="21"/>
      <w:szCs w:val="21"/>
    </w:rPr>
  </w:style>
  <w:style w:type="character" w:customStyle="1" w:styleId="199">
    <w:name w:val="标题 3 Char"/>
    <w:qFormat/>
    <w:uiPriority w:val="0"/>
    <w:rPr>
      <w:rFonts w:ascii="黑体" w:eastAsia="黑体"/>
      <w:sz w:val="28"/>
    </w:rPr>
  </w:style>
  <w:style w:type="character" w:customStyle="1" w:styleId="200">
    <w:name w:val="font11"/>
    <w:qFormat/>
    <w:uiPriority w:val="0"/>
    <w:rPr>
      <w:rFonts w:hint="eastAsia" w:ascii="宋体" w:hAnsi="宋体" w:eastAsia="宋体" w:cs="宋体"/>
      <w:color w:val="000000"/>
      <w:sz w:val="20"/>
      <w:szCs w:val="20"/>
      <w:u w:val="none"/>
    </w:rPr>
  </w:style>
  <w:style w:type="character" w:customStyle="1" w:styleId="201">
    <w:name w:val="font61"/>
    <w:qFormat/>
    <w:uiPriority w:val="0"/>
    <w:rPr>
      <w:rFonts w:hint="eastAsia" w:ascii="宋体" w:hAnsi="宋体" w:eastAsia="宋体" w:cs="宋体"/>
      <w:color w:val="000000"/>
      <w:sz w:val="20"/>
      <w:szCs w:val="20"/>
      <w:u w:val="none"/>
    </w:rPr>
  </w:style>
  <w:style w:type="character" w:customStyle="1" w:styleId="202">
    <w:name w:val="文档正文 Char"/>
    <w:link w:val="78"/>
    <w:qFormat/>
    <w:uiPriority w:val="0"/>
    <w:rPr>
      <w:rFonts w:ascii="长城仿宋" w:hAnsi="Times New Roman" w:eastAsia="长城仿宋" w:cs="Times New Roman"/>
      <w:sz w:val="28"/>
    </w:rPr>
  </w:style>
  <w:style w:type="character" w:customStyle="1" w:styleId="203">
    <w:name w:val="无间隔 Char"/>
    <w:link w:val="80"/>
    <w:qFormat/>
    <w:uiPriority w:val="1"/>
    <w:rPr>
      <w:kern w:val="2"/>
      <w:sz w:val="21"/>
      <w:szCs w:val="22"/>
    </w:rPr>
  </w:style>
  <w:style w:type="character" w:customStyle="1" w:styleId="204">
    <w:name w:val="正文文本 Char"/>
    <w:qFormat/>
    <w:uiPriority w:val="0"/>
    <w:rPr>
      <w:rFonts w:ascii="Times New Roman" w:hAnsi="Times New Roman"/>
      <w:sz w:val="24"/>
    </w:rPr>
  </w:style>
  <w:style w:type="character" w:customStyle="1" w:styleId="205">
    <w:name w:val="初步设计 正文"/>
    <w:basedOn w:val="50"/>
    <w:qFormat/>
    <w:uiPriority w:val="0"/>
    <w:rPr>
      <w:rFonts w:ascii="宋体" w:hAnsi="宋体"/>
      <w:color w:val="000000"/>
    </w:rPr>
  </w:style>
  <w:style w:type="character" w:customStyle="1" w:styleId="206">
    <w:name w:val="题注 字符"/>
    <w:link w:val="20"/>
    <w:qFormat/>
    <w:uiPriority w:val="99"/>
    <w:rPr>
      <w:rFonts w:ascii="Cambria" w:hAnsi="Cambria" w:eastAsia="黑体" w:cs="Times New Roman"/>
      <w:sz w:val="24"/>
    </w:rPr>
  </w:style>
  <w:style w:type="character" w:customStyle="1" w:styleId="207">
    <w:name w:val="15"/>
    <w:qFormat/>
    <w:uiPriority w:val="0"/>
    <w:rPr>
      <w:rFonts w:hint="eastAsia" w:ascii="宋体" w:hAnsi="宋体" w:eastAsia="宋体"/>
      <w:color w:val="000000"/>
    </w:rPr>
  </w:style>
  <w:style w:type="character" w:customStyle="1" w:styleId="208">
    <w:name w:val="正文缩进 字符"/>
    <w:qFormat/>
    <w:uiPriority w:val="0"/>
    <w:rPr>
      <w:rFonts w:ascii="Times New Roman" w:hAnsi="Times New Roman"/>
      <w:szCs w:val="24"/>
    </w:rPr>
  </w:style>
  <w:style w:type="character" w:customStyle="1" w:styleId="209">
    <w:name w:val="称呼 字符"/>
    <w:link w:val="23"/>
    <w:qFormat/>
    <w:uiPriority w:val="0"/>
    <w:rPr>
      <w:kern w:val="2"/>
      <w:sz w:val="24"/>
      <w:szCs w:val="24"/>
    </w:rPr>
  </w:style>
  <w:style w:type="character" w:customStyle="1" w:styleId="210">
    <w:name w:val="称呼 字符1"/>
    <w:qFormat/>
    <w:uiPriority w:val="0"/>
    <w:rPr>
      <w:rFonts w:ascii="宋体" w:hAnsi="宋体" w:eastAsia="宋体" w:cs="宋体"/>
      <w:sz w:val="22"/>
      <w:szCs w:val="22"/>
      <w:lang w:val="zh-CN" w:bidi="zh-CN"/>
    </w:rPr>
  </w:style>
  <w:style w:type="character" w:customStyle="1" w:styleId="211">
    <w:name w:val="称呼 Char1"/>
    <w:qFormat/>
    <w:uiPriority w:val="0"/>
    <w:rPr>
      <w:kern w:val="2"/>
      <w:sz w:val="21"/>
      <w:szCs w:val="24"/>
    </w:rPr>
  </w:style>
  <w:style w:type="character" w:customStyle="1" w:styleId="212">
    <w:name w:val="尾注文本 字符"/>
    <w:link w:val="33"/>
    <w:qFormat/>
    <w:uiPriority w:val="0"/>
  </w:style>
  <w:style w:type="character" w:customStyle="1" w:styleId="213">
    <w:name w:val="尾注文本 字符1"/>
    <w:qFormat/>
    <w:uiPriority w:val="0"/>
    <w:rPr>
      <w:rFonts w:ascii="宋体" w:hAnsi="宋体" w:eastAsia="宋体" w:cs="宋体"/>
      <w:sz w:val="22"/>
      <w:szCs w:val="22"/>
      <w:lang w:val="zh-CN" w:bidi="zh-CN"/>
    </w:rPr>
  </w:style>
  <w:style w:type="character" w:customStyle="1" w:styleId="214">
    <w:name w:val="副标题 字符"/>
    <w:link w:val="39"/>
    <w:qFormat/>
    <w:uiPriority w:val="0"/>
    <w:rPr>
      <w:rFonts w:ascii="Cambria" w:hAnsi="Cambria"/>
      <w:b/>
      <w:bCs/>
      <w:kern w:val="28"/>
      <w:sz w:val="32"/>
      <w:szCs w:val="32"/>
    </w:rPr>
  </w:style>
  <w:style w:type="character" w:customStyle="1" w:styleId="215">
    <w:name w:val="副标题 字符1"/>
    <w:qFormat/>
    <w:uiPriority w:val="0"/>
    <w:rPr>
      <w:b/>
      <w:bCs/>
      <w:kern w:val="28"/>
      <w:sz w:val="32"/>
      <w:szCs w:val="32"/>
      <w:lang w:val="zh-CN" w:bidi="zh-CN"/>
    </w:rPr>
  </w:style>
  <w:style w:type="character" w:customStyle="1" w:styleId="216">
    <w:name w:val="副标题 Char1"/>
    <w:qFormat/>
    <w:uiPriority w:val="0"/>
    <w:rPr>
      <w:rFonts w:ascii="Cambria" w:hAnsi="Cambria" w:cs="黑体"/>
      <w:b/>
      <w:bCs/>
      <w:kern w:val="28"/>
      <w:sz w:val="32"/>
      <w:szCs w:val="32"/>
    </w:rPr>
  </w:style>
  <w:style w:type="character" w:customStyle="1" w:styleId="217">
    <w:name w:val="脚注文本 字符"/>
    <w:link w:val="40"/>
    <w:qFormat/>
    <w:uiPriority w:val="0"/>
    <w:rPr>
      <w:kern w:val="2"/>
      <w:sz w:val="18"/>
      <w:szCs w:val="18"/>
    </w:rPr>
  </w:style>
  <w:style w:type="character" w:customStyle="1" w:styleId="218">
    <w:name w:val="脚注文本 字符1"/>
    <w:qFormat/>
    <w:uiPriority w:val="0"/>
    <w:rPr>
      <w:rFonts w:ascii="宋体" w:hAnsi="宋体" w:eastAsia="宋体" w:cs="宋体"/>
      <w:sz w:val="18"/>
      <w:szCs w:val="18"/>
      <w:lang w:val="zh-CN" w:bidi="zh-CN"/>
    </w:rPr>
  </w:style>
  <w:style w:type="character" w:customStyle="1" w:styleId="219">
    <w:name w:val="正文首行缩进 字符"/>
    <w:link w:val="17"/>
    <w:qFormat/>
    <w:uiPriority w:val="0"/>
    <w:rPr>
      <w:rFonts w:ascii="宋体" w:hAnsi="Times New Roman" w:eastAsia="宋体" w:cs="Times New Roman"/>
      <w:sz w:val="21"/>
      <w:szCs w:val="21"/>
      <w:lang w:val="zh-CN" w:bidi="zh-CN"/>
    </w:rPr>
  </w:style>
  <w:style w:type="character" w:customStyle="1" w:styleId="220">
    <w:name w:val="正文首行缩进 Char"/>
    <w:qFormat/>
    <w:uiPriority w:val="0"/>
    <w:rPr>
      <w:rFonts w:ascii="宋体" w:hAnsi="宋体" w:cs="宋体"/>
      <w:kern w:val="2"/>
      <w:sz w:val="21"/>
      <w:szCs w:val="24"/>
      <w:lang w:val="zh-CN" w:bidi="zh-CN"/>
    </w:rPr>
  </w:style>
  <w:style w:type="character" w:customStyle="1" w:styleId="221">
    <w:name w:val="初步设计 表格内容 Char"/>
    <w:link w:val="83"/>
    <w:qFormat/>
    <w:locked/>
    <w:uiPriority w:val="0"/>
    <w:rPr>
      <w:rFonts w:ascii="Times New Roman" w:hAnsi="Times New Roman" w:eastAsia="宋体" w:cs="Times New Roman"/>
      <w:sz w:val="21"/>
    </w:rPr>
  </w:style>
  <w:style w:type="character" w:customStyle="1" w:styleId="222">
    <w:name w:val="标题4 Char"/>
    <w:link w:val="84"/>
    <w:qFormat/>
    <w:uiPriority w:val="0"/>
    <w:rPr>
      <w:rFonts w:ascii="Times New Roman" w:hAnsi="Times New Roman" w:eastAsia="黑体" w:cs="Times New Roman"/>
      <w:sz w:val="24"/>
    </w:rPr>
  </w:style>
  <w:style w:type="character" w:customStyle="1" w:styleId="223">
    <w:name w:val="表格标题(居中) Char"/>
    <w:link w:val="85"/>
    <w:qFormat/>
    <w:uiPriority w:val="0"/>
    <w:rPr>
      <w:rFonts w:ascii="Times New Roman" w:hAnsi="Times New Roman" w:eastAsia="黑体" w:cs="Times New Roman"/>
      <w:kern w:val="2"/>
      <w:sz w:val="24"/>
    </w:rPr>
  </w:style>
  <w:style w:type="character" w:customStyle="1" w:styleId="224">
    <w:name w:val="!图片题注 Char"/>
    <w:link w:val="86"/>
    <w:qFormat/>
    <w:uiPriority w:val="0"/>
    <w:rPr>
      <w:rFonts w:ascii="Times New Roman" w:hAnsi="Times New Roman" w:eastAsia="黑体" w:cs="宋体"/>
      <w:sz w:val="24"/>
      <w:szCs w:val="24"/>
    </w:rPr>
  </w:style>
  <w:style w:type="character" w:customStyle="1" w:styleId="225">
    <w:name w:val="KS标题2 Char"/>
    <w:link w:val="87"/>
    <w:qFormat/>
    <w:uiPriority w:val="0"/>
    <w:rPr>
      <w:rFonts w:eastAsia="黑体"/>
      <w:b/>
      <w:bCs/>
      <w:sz w:val="32"/>
      <w:szCs w:val="32"/>
    </w:rPr>
  </w:style>
  <w:style w:type="character" w:customStyle="1" w:styleId="226">
    <w:name w:val="KS标题3 Char"/>
    <w:link w:val="88"/>
    <w:qFormat/>
    <w:uiPriority w:val="0"/>
    <w:rPr>
      <w:rFonts w:eastAsia="黑体"/>
      <w:b/>
      <w:bCs/>
      <w:sz w:val="30"/>
      <w:szCs w:val="32"/>
    </w:rPr>
  </w:style>
  <w:style w:type="character" w:customStyle="1" w:styleId="227">
    <w:name w:val="KS标题1 Char"/>
    <w:link w:val="89"/>
    <w:qFormat/>
    <w:uiPriority w:val="0"/>
    <w:rPr>
      <w:rFonts w:eastAsia="黑体"/>
      <w:b/>
      <w:bCs/>
      <w:kern w:val="44"/>
      <w:sz w:val="36"/>
      <w:szCs w:val="44"/>
    </w:rPr>
  </w:style>
  <w:style w:type="character" w:customStyle="1" w:styleId="228">
    <w:name w:val="KS表格 Char"/>
    <w:link w:val="90"/>
    <w:qFormat/>
    <w:uiPriority w:val="0"/>
  </w:style>
  <w:style w:type="character" w:customStyle="1" w:styleId="229">
    <w:name w:val="正文首行缩进（安恒信息） Char"/>
    <w:link w:val="91"/>
    <w:qFormat/>
    <w:uiPriority w:val="0"/>
    <w:rPr>
      <w:rFonts w:ascii="Arial" w:hAnsi="Arial" w:eastAsia="宋体" w:cs="Times New Roman"/>
      <w:sz w:val="24"/>
      <w:szCs w:val="21"/>
    </w:rPr>
  </w:style>
  <w:style w:type="character" w:customStyle="1" w:styleId="230">
    <w:name w:val="样式1 Char"/>
    <w:link w:val="92"/>
    <w:qFormat/>
    <w:uiPriority w:val="0"/>
    <w:rPr>
      <w:rFonts w:ascii="Times New Roman" w:hAnsi="Times New Roman" w:eastAsia="宋体" w:cs="Times New Roman"/>
      <w:kern w:val="2"/>
      <w:sz w:val="24"/>
      <w:szCs w:val="24"/>
    </w:rPr>
  </w:style>
  <w:style w:type="character" w:customStyle="1" w:styleId="231">
    <w:name w:val="06-正文 Char"/>
    <w:link w:val="94"/>
    <w:qFormat/>
    <w:locked/>
    <w:uiPriority w:val="0"/>
    <w:rPr>
      <w:rFonts w:ascii="宋体" w:hAnsi="宋体" w:eastAsia="宋体" w:cs="宋体"/>
      <w:b/>
      <w:kern w:val="2"/>
      <w:sz w:val="24"/>
      <w:szCs w:val="24"/>
    </w:rPr>
  </w:style>
  <w:style w:type="character" w:customStyle="1" w:styleId="232">
    <w:name w:val="10-小标题 Char"/>
    <w:link w:val="95"/>
    <w:qFormat/>
    <w:locked/>
    <w:uiPriority w:val="0"/>
    <w:rPr>
      <w:rFonts w:ascii="宋体" w:hAnsi="宋体" w:eastAsia="宋体" w:cs="Times New Roman"/>
      <w:b/>
      <w:kern w:val="2"/>
      <w:sz w:val="24"/>
      <w:szCs w:val="24"/>
    </w:rPr>
  </w:style>
  <w:style w:type="character" w:customStyle="1" w:styleId="233">
    <w:name w:val="09-插入表 Char"/>
    <w:link w:val="96"/>
    <w:qFormat/>
    <w:locked/>
    <w:uiPriority w:val="0"/>
    <w:rPr>
      <w:rFonts w:ascii="Arial" w:hAnsi="Arial" w:eastAsia="宋体" w:cs="Times New Roman"/>
      <w:kern w:val="2"/>
      <w:sz w:val="24"/>
      <w:szCs w:val="21"/>
    </w:rPr>
  </w:style>
  <w:style w:type="character" w:customStyle="1" w:styleId="234">
    <w:name w:val="BMS正文 Char"/>
    <w:link w:val="97"/>
    <w:qFormat/>
    <w:uiPriority w:val="0"/>
    <w:rPr>
      <w:rFonts w:ascii="仿宋_GB2312" w:hAnsi="华文中宋" w:eastAsia="仿宋_GB2312"/>
      <w:sz w:val="30"/>
      <w:szCs w:val="30"/>
    </w:rPr>
  </w:style>
  <w:style w:type="character" w:customStyle="1" w:styleId="235">
    <w:name w:val="图片 Char"/>
    <w:link w:val="98"/>
    <w:qFormat/>
    <w:uiPriority w:val="0"/>
    <w:rPr>
      <w:rFonts w:ascii="Times New Roman" w:hAnsi="Times New Roman" w:eastAsia="黑体" w:cs="Times New Roman"/>
      <w:sz w:val="24"/>
    </w:rPr>
  </w:style>
  <w:style w:type="character" w:customStyle="1" w:styleId="236">
    <w:name w:val="编号无缩进 Char"/>
    <w:link w:val="99"/>
    <w:qFormat/>
    <w:uiPriority w:val="0"/>
    <w:rPr>
      <w:rFonts w:ascii="Times New Roman" w:hAnsi="Times New Roman" w:eastAsia="宋体" w:cs="Times New Roman"/>
      <w:color w:val="000000"/>
      <w:sz w:val="24"/>
    </w:rPr>
  </w:style>
  <w:style w:type="character" w:customStyle="1" w:styleId="237">
    <w:name w:val="无缩进 Char"/>
    <w:link w:val="100"/>
    <w:qFormat/>
    <w:uiPriority w:val="0"/>
    <w:rPr>
      <w:rFonts w:ascii="Times New Roman" w:hAnsi="Times New Roman" w:eastAsia="宋体" w:cs="Times New Roman"/>
      <w:color w:val="000000"/>
      <w:sz w:val="24"/>
    </w:rPr>
  </w:style>
  <w:style w:type="character" w:customStyle="1" w:styleId="238">
    <w:name w:val="!我的正文 Ctr+Q Char"/>
    <w:link w:val="101"/>
    <w:qFormat/>
    <w:uiPriority w:val="0"/>
    <w:rPr>
      <w:rFonts w:ascii="Arial" w:hAnsi="Arial"/>
      <w:sz w:val="24"/>
      <w:szCs w:val="21"/>
    </w:rPr>
  </w:style>
  <w:style w:type="character" w:customStyle="1" w:styleId="239">
    <w:name w:val="para Char"/>
    <w:link w:val="104"/>
    <w:qFormat/>
    <w:uiPriority w:val="0"/>
    <w:rPr>
      <w:rFonts w:ascii="Times New Roman" w:hAnsi="Times New Roman" w:eastAsia="宋体" w:cs="Times New Roman"/>
      <w:sz w:val="24"/>
    </w:rPr>
  </w:style>
  <w:style w:type="character" w:customStyle="1" w:styleId="240">
    <w:name w:val="text1 Char Char"/>
    <w:link w:val="105"/>
    <w:qFormat/>
    <w:uiPriority w:val="0"/>
    <w:rPr>
      <w:rFonts w:ascii="宋体" w:hAnsi="宋体" w:eastAsia="宋体" w:cs="宋体"/>
      <w:sz w:val="24"/>
      <w:szCs w:val="24"/>
    </w:rPr>
  </w:style>
  <w:style w:type="character" w:customStyle="1" w:styleId="241">
    <w:name w:val="图编号 Char"/>
    <w:link w:val="106"/>
    <w:qFormat/>
    <w:uiPriority w:val="0"/>
    <w:rPr>
      <w:rFonts w:ascii="宋体" w:hAnsi="宋体" w:eastAsia="宋体" w:cs="Times New Roman"/>
      <w:kern w:val="2"/>
      <w:sz w:val="24"/>
    </w:rPr>
  </w:style>
  <w:style w:type="character" w:customStyle="1" w:styleId="242">
    <w:name w:val="样式2 Char"/>
    <w:link w:val="107"/>
    <w:qFormat/>
    <w:uiPriority w:val="0"/>
    <w:rPr>
      <w:rFonts w:ascii="Times New Roman" w:hAnsi="Times New Roman" w:eastAsia="宋体" w:cs="Times New Roman"/>
      <w:sz w:val="24"/>
    </w:rPr>
  </w:style>
  <w:style w:type="character" w:customStyle="1" w:styleId="243">
    <w:name w:val="表头 Char"/>
    <w:link w:val="108"/>
    <w:qFormat/>
    <w:uiPriority w:val="0"/>
    <w:rPr>
      <w:rFonts w:ascii="Times New Roman" w:hAnsi="Times New Roman" w:eastAsia="黑体" w:cs="Times New Roman"/>
      <w:sz w:val="28"/>
    </w:rPr>
  </w:style>
  <w:style w:type="character" w:customStyle="1" w:styleId="244">
    <w:name w:val="段 Char"/>
    <w:link w:val="109"/>
    <w:qFormat/>
    <w:uiPriority w:val="0"/>
    <w:rPr>
      <w:rFonts w:ascii="宋体" w:hAnsi="Times New Roman" w:eastAsia="宋体" w:cs="Times New Roman"/>
      <w:sz w:val="21"/>
    </w:rPr>
  </w:style>
  <w:style w:type="character" w:customStyle="1" w:styleId="245">
    <w:name w:val="三级标题 Char"/>
    <w:link w:val="110"/>
    <w:qFormat/>
    <w:uiPriority w:val="0"/>
    <w:rPr>
      <w:rFonts w:ascii="黑体" w:hAnsi="Times New Roman" w:eastAsia="黑体" w:cs="Times New Roman"/>
      <w:b/>
      <w:sz w:val="24"/>
    </w:rPr>
  </w:style>
  <w:style w:type="character" w:customStyle="1" w:styleId="246">
    <w:name w:val="一级标题 Char"/>
    <w:link w:val="111"/>
    <w:qFormat/>
    <w:uiPriority w:val="0"/>
    <w:rPr>
      <w:rFonts w:ascii="Times New Roman" w:hAnsi="Times New Roman" w:eastAsia="黑体" w:cs="Times New Roman"/>
      <w:b/>
      <w:sz w:val="28"/>
    </w:rPr>
  </w:style>
  <w:style w:type="character" w:customStyle="1" w:styleId="247">
    <w:name w:val="五级标题 Char"/>
    <w:link w:val="114"/>
    <w:qFormat/>
    <w:uiPriority w:val="0"/>
    <w:rPr>
      <w:rFonts w:ascii="Times New Roman" w:hAnsi="Times New Roman" w:eastAsia="宋体" w:cs="Times New Roman"/>
      <w:sz w:val="24"/>
      <w:szCs w:val="24"/>
    </w:rPr>
  </w:style>
  <w:style w:type="character" w:customStyle="1" w:styleId="248">
    <w:name w:val="标题1 Char Char"/>
    <w:link w:val="115"/>
    <w:qFormat/>
    <w:uiPriority w:val="0"/>
    <w:rPr>
      <w:rFonts w:ascii="Tahoma" w:hAnsi="Tahoma" w:eastAsia="宋体" w:cs="Times New Roman"/>
      <w:b/>
      <w:bCs/>
      <w:kern w:val="2"/>
      <w:sz w:val="24"/>
      <w:szCs w:val="24"/>
    </w:rPr>
  </w:style>
  <w:style w:type="character" w:customStyle="1" w:styleId="249">
    <w:name w:val="t2 Char"/>
    <w:link w:val="116"/>
    <w:qFormat/>
    <w:uiPriority w:val="0"/>
    <w:rPr>
      <w:rFonts w:ascii="黑体" w:hAnsi="黑体" w:eastAsia="黑体" w:cs="Times New Roman"/>
      <w:bCs/>
      <w:kern w:val="2"/>
      <w:sz w:val="24"/>
    </w:rPr>
  </w:style>
  <w:style w:type="character" w:customStyle="1" w:styleId="250">
    <w:name w:val="正文标准格式 Char"/>
    <w:link w:val="122"/>
    <w:qFormat/>
    <w:uiPriority w:val="0"/>
    <w:rPr>
      <w:rFonts w:ascii="Verdana" w:hAnsi="Verdana" w:eastAsia="华文细黑"/>
      <w:szCs w:val="24"/>
    </w:rPr>
  </w:style>
  <w:style w:type="character" w:customStyle="1" w:styleId="251">
    <w:name w:val="正文1111 Char"/>
    <w:link w:val="125"/>
    <w:qFormat/>
    <w:uiPriority w:val="0"/>
    <w:rPr>
      <w:rFonts w:ascii="宋体" w:hAnsi="宋体" w:eastAsia="宋体" w:cs="Times New Roman"/>
      <w:spacing w:val="8"/>
      <w:sz w:val="24"/>
      <w:szCs w:val="24"/>
    </w:rPr>
  </w:style>
  <w:style w:type="character" w:customStyle="1" w:styleId="252">
    <w:name w:val="缩进正文 Char"/>
    <w:link w:val="127"/>
    <w:qFormat/>
    <w:uiPriority w:val="0"/>
    <w:rPr>
      <w:rFonts w:ascii="Calibri" w:hAnsi="Calibri" w:eastAsia="宋体" w:cs="Times New Roman"/>
      <w:sz w:val="24"/>
    </w:rPr>
  </w:style>
  <w:style w:type="character" w:customStyle="1" w:styleId="253">
    <w:name w:val="表格正文行 Char"/>
    <w:link w:val="128"/>
    <w:qFormat/>
    <w:uiPriority w:val="0"/>
    <w:rPr>
      <w:rFonts w:ascii="宋体" w:hAnsi="宋体" w:eastAsia="宋体" w:cs="宋体"/>
      <w:color w:val="000000"/>
      <w:sz w:val="21"/>
      <w:szCs w:val="21"/>
    </w:rPr>
  </w:style>
  <w:style w:type="character" w:customStyle="1" w:styleId="254">
    <w:name w:val="表格标题行 Char"/>
    <w:link w:val="129"/>
    <w:qFormat/>
    <w:uiPriority w:val="0"/>
    <w:rPr>
      <w:rFonts w:ascii="宋体" w:hAnsi="宋体" w:eastAsia="宋体" w:cs="宋体"/>
      <w:b/>
      <w:color w:val="000000"/>
      <w:sz w:val="21"/>
      <w:szCs w:val="21"/>
    </w:rPr>
  </w:style>
  <w:style w:type="character" w:customStyle="1" w:styleId="255">
    <w:name w:val="正文缩进！ Char"/>
    <w:link w:val="131"/>
    <w:qFormat/>
    <w:uiPriority w:val="0"/>
    <w:rPr>
      <w:rFonts w:ascii="Times New Roman" w:hAnsi="Times New Roman" w:eastAsia="宋体" w:cs="Times New Roman"/>
      <w:kern w:val="2"/>
      <w:sz w:val="28"/>
      <w:szCs w:val="24"/>
    </w:rPr>
  </w:style>
  <w:style w:type="character" w:customStyle="1" w:styleId="256">
    <w:name w:val="标题2 Char"/>
    <w:link w:val="132"/>
    <w:qFormat/>
    <w:uiPriority w:val="0"/>
    <w:rPr>
      <w:rFonts w:ascii="Times New Roman" w:hAnsi="Times New Roman" w:eastAsia="黑体" w:cs="Times New Roman"/>
      <w:color w:val="000000"/>
      <w:sz w:val="28"/>
    </w:rPr>
  </w:style>
  <w:style w:type="character" w:customStyle="1" w:styleId="257">
    <w:name w:val="正文样式 Char"/>
    <w:link w:val="133"/>
    <w:qFormat/>
    <w:uiPriority w:val="0"/>
    <w:rPr>
      <w:rFonts w:ascii="Arial" w:hAnsi="Arial" w:eastAsia="宋体" w:cs="Times New Roman"/>
      <w:sz w:val="24"/>
      <w:szCs w:val="24"/>
    </w:rPr>
  </w:style>
  <w:style w:type="character" w:customStyle="1" w:styleId="258">
    <w:name w:val="表格图 Char"/>
    <w:link w:val="134"/>
    <w:qFormat/>
    <w:uiPriority w:val="0"/>
    <w:rPr>
      <w:rFonts w:ascii="Cambria" w:hAnsi="Cambria" w:eastAsia="黑体" w:cs="Times New Roman"/>
      <w:kern w:val="2"/>
      <w:sz w:val="24"/>
    </w:rPr>
  </w:style>
  <w:style w:type="character" w:customStyle="1" w:styleId="259">
    <w:name w:val="图表 Char"/>
    <w:link w:val="136"/>
    <w:qFormat/>
    <w:uiPriority w:val="0"/>
    <w:rPr>
      <w:rFonts w:ascii="time new romans" w:hAnsi="time new romans" w:eastAsia="黑体" w:cs="Times New Roman"/>
      <w:kern w:val="2"/>
      <w:sz w:val="24"/>
    </w:rPr>
  </w:style>
  <w:style w:type="character" w:customStyle="1" w:styleId="260">
    <w:name w:val="（1）样式1 Char"/>
    <w:link w:val="137"/>
    <w:qFormat/>
    <w:uiPriority w:val="0"/>
    <w:rPr>
      <w:rFonts w:ascii="Times New Roman" w:hAnsi="Times New Roman" w:eastAsia="宋体" w:cs="Times New Roman"/>
      <w:kern w:val="2"/>
      <w:sz w:val="24"/>
    </w:rPr>
  </w:style>
  <w:style w:type="character" w:customStyle="1" w:styleId="261">
    <w:name w:val="表格名称 Char"/>
    <w:link w:val="138"/>
    <w:qFormat/>
    <w:uiPriority w:val="0"/>
    <w:rPr>
      <w:rFonts w:ascii="Times New Roman" w:hAnsi="Times New Roman" w:eastAsia="黑体" w:cs="Times New Roman"/>
      <w:kern w:val="2"/>
      <w:sz w:val="24"/>
      <w:szCs w:val="24"/>
    </w:rPr>
  </w:style>
  <w:style w:type="character" w:customStyle="1" w:styleId="262">
    <w:name w:val="引用 Char"/>
    <w:link w:val="140"/>
    <w:qFormat/>
    <w:uiPriority w:val="29"/>
    <w:rPr>
      <w:rFonts w:eastAsia="仿宋_GB2312"/>
      <w:i/>
      <w:iCs/>
      <w:color w:val="404040"/>
      <w:kern w:val="2"/>
      <w:sz w:val="32"/>
      <w:szCs w:val="22"/>
    </w:rPr>
  </w:style>
  <w:style w:type="character" w:customStyle="1" w:styleId="263">
    <w:name w:val="引用 字符1"/>
    <w:qFormat/>
    <w:uiPriority w:val="99"/>
    <w:rPr>
      <w:rFonts w:ascii="宋体" w:hAnsi="宋体" w:eastAsia="宋体" w:cs="宋体"/>
      <w:i/>
      <w:iCs/>
      <w:color w:val="3F3F3F"/>
      <w:sz w:val="22"/>
      <w:szCs w:val="22"/>
      <w:lang w:val="zh-CN" w:bidi="zh-CN"/>
    </w:rPr>
  </w:style>
  <w:style w:type="character" w:customStyle="1" w:styleId="264">
    <w:name w:val="引用 Char1"/>
    <w:qFormat/>
    <w:uiPriority w:val="99"/>
    <w:rPr>
      <w:i/>
      <w:iCs/>
      <w:color w:val="3F3F3F"/>
      <w:kern w:val="2"/>
      <w:sz w:val="21"/>
      <w:szCs w:val="24"/>
    </w:rPr>
  </w:style>
  <w:style w:type="character" w:customStyle="1" w:styleId="265">
    <w:name w:val="明显引用 Char"/>
    <w:link w:val="141"/>
    <w:qFormat/>
    <w:uiPriority w:val="30"/>
    <w:rPr>
      <w:rFonts w:eastAsia="仿宋_GB2312"/>
      <w:b/>
      <w:bCs/>
      <w:i/>
      <w:iCs/>
      <w:color w:val="4F81BD"/>
      <w:kern w:val="2"/>
      <w:szCs w:val="24"/>
    </w:rPr>
  </w:style>
  <w:style w:type="character" w:customStyle="1" w:styleId="266">
    <w:name w:val="明显引用 字符1"/>
    <w:qFormat/>
    <w:uiPriority w:val="99"/>
    <w:rPr>
      <w:rFonts w:ascii="宋体" w:hAnsi="宋体" w:eastAsia="宋体" w:cs="宋体"/>
      <w:i/>
      <w:iCs/>
      <w:color w:val="4F81BD"/>
      <w:sz w:val="22"/>
      <w:szCs w:val="22"/>
      <w:lang w:val="zh-CN" w:bidi="zh-CN"/>
    </w:rPr>
  </w:style>
  <w:style w:type="character" w:customStyle="1" w:styleId="267">
    <w:name w:val="明显引用 Char1"/>
    <w:qFormat/>
    <w:uiPriority w:val="99"/>
    <w:rPr>
      <w:i/>
      <w:iCs/>
      <w:color w:val="4F81BD"/>
      <w:kern w:val="2"/>
      <w:sz w:val="21"/>
      <w:szCs w:val="24"/>
    </w:rPr>
  </w:style>
  <w:style w:type="character" w:customStyle="1" w:styleId="268">
    <w:name w:val="T 标题 5 字符"/>
    <w:link w:val="142"/>
    <w:qFormat/>
    <w:uiPriority w:val="0"/>
    <w:rPr>
      <w:rFonts w:ascii="Times New Roman" w:hAnsi="Times New Roman" w:eastAsia="仿宋_GB2312" w:cs="Times New Roman"/>
      <w:bCs/>
      <w:kern w:val="2"/>
      <w:sz w:val="24"/>
      <w:szCs w:val="24"/>
    </w:rPr>
  </w:style>
  <w:style w:type="character" w:customStyle="1" w:styleId="269">
    <w:name w:val="T 章节标题 Char"/>
    <w:link w:val="143"/>
    <w:qFormat/>
    <w:uiPriority w:val="0"/>
    <w:rPr>
      <w:rFonts w:ascii="Times New Roman" w:hAnsi="Times New Roman" w:eastAsia="黑体" w:cs="Times New Roman"/>
      <w:kern w:val="2"/>
      <w:sz w:val="32"/>
      <w:szCs w:val="44"/>
    </w:rPr>
  </w:style>
  <w:style w:type="character" w:customStyle="1" w:styleId="270">
    <w:name w:val="T 标题 6 字符"/>
    <w:link w:val="144"/>
    <w:qFormat/>
    <w:uiPriority w:val="1"/>
    <w:rPr>
      <w:rFonts w:ascii="Times New Roman" w:hAnsi="Times New Roman" w:eastAsia="仿宋_GB2312" w:cs="Times New Roman"/>
      <w:bCs/>
      <w:kern w:val="2"/>
      <w:sz w:val="24"/>
      <w:szCs w:val="24"/>
    </w:rPr>
  </w:style>
  <w:style w:type="character" w:customStyle="1" w:styleId="271">
    <w:name w:val="T 文字突显 字符"/>
    <w:link w:val="145"/>
    <w:qFormat/>
    <w:uiPriority w:val="1"/>
    <w:rPr>
      <w:rFonts w:ascii="Times New Roman" w:hAnsi="Times New Roman" w:eastAsia="仿宋_GB2312" w:cs="Times New Roman"/>
      <w:b/>
      <w:i/>
      <w:color w:val="0000FF"/>
      <w:kern w:val="2"/>
      <w:sz w:val="32"/>
      <w:szCs w:val="24"/>
      <w:u w:val="single"/>
    </w:rPr>
  </w:style>
  <w:style w:type="character" w:customStyle="1" w:styleId="272">
    <w:name w:val="封面3 Char"/>
    <w:link w:val="146"/>
    <w:qFormat/>
    <w:uiPriority w:val="0"/>
    <w:rPr>
      <w:rFonts w:ascii="Times New Roman" w:hAnsi="Times New Roman" w:eastAsia="仿宋_GB2312" w:cs="Times New Roman"/>
      <w:b/>
      <w:kern w:val="2"/>
      <w:sz w:val="36"/>
      <w:szCs w:val="24"/>
    </w:rPr>
  </w:style>
  <w:style w:type="character" w:customStyle="1" w:styleId="273">
    <w:name w:val="规范正文 Char"/>
    <w:link w:val="147"/>
    <w:qFormat/>
    <w:uiPriority w:val="0"/>
    <w:rPr>
      <w:rFonts w:ascii="Times New Roman" w:hAnsi="Times New Roman" w:eastAsia="仿宋_GB2312" w:cs="Times New Roman"/>
      <w:kern w:val="2"/>
      <w:sz w:val="32"/>
      <w:szCs w:val="24"/>
    </w:rPr>
  </w:style>
  <w:style w:type="character" w:customStyle="1" w:styleId="274">
    <w:name w:val="标题II Char"/>
    <w:link w:val="148"/>
    <w:qFormat/>
    <w:uiPriority w:val="0"/>
    <w:rPr>
      <w:rFonts w:ascii="Times New Roman" w:hAnsi="Times New Roman" w:eastAsia="仿宋_GB2312" w:cs="Times New Roman"/>
      <w:b/>
      <w:kern w:val="2"/>
      <w:sz w:val="28"/>
      <w:szCs w:val="28"/>
    </w:rPr>
  </w:style>
  <w:style w:type="character" w:customStyle="1" w:styleId="275">
    <w:name w:val="标题I Char"/>
    <w:link w:val="149"/>
    <w:qFormat/>
    <w:uiPriority w:val="0"/>
    <w:rPr>
      <w:rFonts w:ascii="宋体" w:hAnsi="宋体" w:eastAsia="仿宋_GB2312" w:cs="Times New Roman"/>
      <w:b/>
      <w:kern w:val="2"/>
      <w:sz w:val="36"/>
      <w:szCs w:val="36"/>
      <w:u w:val="single"/>
    </w:rPr>
  </w:style>
  <w:style w:type="character" w:customStyle="1" w:styleId="276">
    <w:name w:val="重庆_正文样式 Char"/>
    <w:link w:val="150"/>
    <w:qFormat/>
    <w:uiPriority w:val="0"/>
    <w:rPr>
      <w:rFonts w:ascii="Times New Roman" w:hAnsi="Times New Roman" w:eastAsia="仿宋_GB2312" w:cs="Times New Roman"/>
      <w:kern w:val="2"/>
      <w:sz w:val="28"/>
      <w:szCs w:val="28"/>
    </w:rPr>
  </w:style>
  <w:style w:type="character" w:customStyle="1" w:styleId="277">
    <w:name w:val="正文（绿盟科技） Char"/>
    <w:link w:val="152"/>
    <w:qFormat/>
    <w:uiPriority w:val="0"/>
    <w:rPr>
      <w:rFonts w:ascii="Arial" w:hAnsi="Arial" w:eastAsia="宋体" w:cs="Times New Roman"/>
      <w:sz w:val="21"/>
      <w:szCs w:val="21"/>
    </w:rPr>
  </w:style>
  <w:style w:type="character" w:customStyle="1" w:styleId="278">
    <w:name w:val="图例说明 Char"/>
    <w:link w:val="153"/>
    <w:qFormat/>
    <w:uiPriority w:val="0"/>
    <w:rPr>
      <w:rFonts w:ascii="Times New Roman" w:hAnsi="Times New Roman" w:eastAsia="黑体" w:cs="Times New Roman"/>
      <w:kern w:val="2"/>
      <w:sz w:val="32"/>
      <w:szCs w:val="22"/>
    </w:rPr>
  </w:style>
  <w:style w:type="character" w:customStyle="1" w:styleId="279">
    <w:name w:val="条文 Char"/>
    <w:link w:val="154"/>
    <w:qFormat/>
    <w:uiPriority w:val="0"/>
    <w:rPr>
      <w:rFonts w:ascii="仿宋_GB2312" w:hAnsi="宋体" w:eastAsia="仿宋_GB2312" w:cs="Times New Roman"/>
      <w:b/>
      <w:kern w:val="2"/>
      <w:sz w:val="32"/>
      <w:szCs w:val="24"/>
    </w:rPr>
  </w:style>
  <w:style w:type="character" w:customStyle="1" w:styleId="280">
    <w:name w:val="正文缩进(ALT+Z) Char"/>
    <w:link w:val="156"/>
    <w:qFormat/>
    <w:uiPriority w:val="0"/>
    <w:rPr>
      <w:rFonts w:ascii="Times New Roman" w:hAnsi="Times New Roman" w:eastAsia="宋体" w:cs="Times New Roman"/>
      <w:kern w:val="2"/>
      <w:sz w:val="24"/>
      <w:szCs w:val="24"/>
      <w:lang w:val="zh-CN"/>
    </w:rPr>
  </w:style>
  <w:style w:type="character" w:customStyle="1" w:styleId="281">
    <w:name w:val="正文－段落 Char"/>
    <w:link w:val="157"/>
    <w:qFormat/>
    <w:uiPriority w:val="0"/>
    <w:rPr>
      <w:rFonts w:cs="宋体"/>
      <w:sz w:val="24"/>
      <w:szCs w:val="24"/>
    </w:rPr>
  </w:style>
  <w:style w:type="character" w:customStyle="1" w:styleId="282">
    <w:name w:val="标题5 Char"/>
    <w:link w:val="158"/>
    <w:qFormat/>
    <w:uiPriority w:val="0"/>
    <w:rPr>
      <w:rFonts w:ascii="Times New Roman" w:hAnsi="Times New Roman" w:eastAsia="宋体" w:cs="Times New Roman"/>
      <w:bCs/>
      <w:kern w:val="2"/>
      <w:sz w:val="24"/>
      <w:szCs w:val="24"/>
    </w:rPr>
  </w:style>
  <w:style w:type="character" w:customStyle="1" w:styleId="283">
    <w:name w:val="图表题注样式 Char"/>
    <w:link w:val="159"/>
    <w:qFormat/>
    <w:uiPriority w:val="0"/>
    <w:rPr>
      <w:rFonts w:eastAsia="黑体"/>
      <w:color w:val="000000"/>
      <w:sz w:val="24"/>
      <w:szCs w:val="24"/>
    </w:rPr>
  </w:style>
  <w:style w:type="character" w:customStyle="1" w:styleId="284">
    <w:name w:val="表格(五号) Char"/>
    <w:link w:val="160"/>
    <w:qFormat/>
    <w:uiPriority w:val="0"/>
    <w:rPr>
      <w:color w:val="000000"/>
    </w:rPr>
  </w:style>
  <w:style w:type="character" w:customStyle="1" w:styleId="285">
    <w:name w:val="标题 2 字符"/>
    <w:qFormat/>
    <w:uiPriority w:val="0"/>
    <w:rPr>
      <w:rFonts w:ascii="Arial" w:hAnsi="Arial" w:eastAsia="黑体" w:cs="Times New Roman"/>
      <w:b/>
      <w:bCs/>
      <w:sz w:val="32"/>
      <w:szCs w:val="32"/>
    </w:rPr>
  </w:style>
  <w:style w:type="character" w:customStyle="1" w:styleId="286">
    <w:name w:val="未处理的提及2"/>
    <w:unhideWhenUsed/>
    <w:qFormat/>
    <w:uiPriority w:val="99"/>
    <w:rPr>
      <w:color w:val="605E5C"/>
      <w:shd w:val="clear" w:color="auto" w:fill="E1DFDD"/>
    </w:rPr>
  </w:style>
  <w:style w:type="character" w:customStyle="1" w:styleId="287">
    <w:name w:val="批注文字 字符"/>
    <w:qFormat/>
    <w:uiPriority w:val="0"/>
    <w:rPr>
      <w:rFonts w:ascii="Times New Roman" w:hAnsi="Times New Roman" w:eastAsia="宋体" w:cs="Times New Roman"/>
      <w:szCs w:val="24"/>
    </w:rPr>
  </w:style>
  <w:style w:type="table" w:customStyle="1" w:styleId="288">
    <w:name w:val="Table Normal"/>
    <w:unhideWhenUsed/>
    <w:qFormat/>
    <w:uiPriority w:val="2"/>
    <w:tblPr>
      <w:tblStyle w:val="56"/>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8356</Words>
  <Characters>47630</Characters>
  <Lines>396</Lines>
  <Paragraphs>111</Paragraphs>
  <ScaleCrop>false</ScaleCrop>
  <LinksUpToDate>false</LinksUpToDate>
  <CharactersWithSpaces>0</CharactersWithSpaces>
  <Application>WPS Office 个人版_9.1.0.4862_{F1E327BC-269C-435d-A152-05C5408002CA}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2021-09-14T07:43:00Z</dcterms:created>
  <dc:creator>Admin</dc:creator>
  <cp:lastModifiedBy>001</cp:lastModifiedBy>
  <cp:lastPrinted>2021-09-16T14:03:00Z</cp:lastPrinted>
  <dcterms:modified xsi:type="dcterms:W3CDTF">2022-05-11T02:38:29Z</dcterms:modified>
  <dc:title>山西省通信管理局太原国家级互联网骨干直联点监测系统安装工程项目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2021-07-12T00:00:00Z</vt:filetime>
  </property>
  <property fmtid="{D5CDD505-2E9C-101B-9397-08002B2CF9AE}" pid="5" name="KSOProductBuildVer">
    <vt:lpwstr>2052-9.1.0.4862</vt:lpwstr>
  </property>
  <property fmtid="{D5CDD505-2E9C-101B-9397-08002B2CF9AE}" pid="6" name="ICV">
    <vt:lpwstr>35377BF2435D4B2C87618B527A8FE86C</vt:lpwstr>
  </property>
</Properties>
</file>