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补充说明</w:t>
      </w:r>
    </w:p>
    <w:p>
      <w:pPr>
        <w:spacing w:line="360" w:lineRule="auto"/>
        <w:ind w:firstLine="566" w:firstLineChars="200"/>
        <w:jc w:val="left"/>
        <w:rPr>
          <w:rFonts w:hint="eastAsia"/>
          <w:sz w:val="28"/>
          <w:szCs w:val="28"/>
          <w:lang w:val="en-US" w:eastAsia="zh-CN"/>
        </w:rPr>
      </w:pPr>
      <w:r>
        <w:rPr>
          <w:rFonts w:hint="eastAsia"/>
          <w:sz w:val="28"/>
          <w:szCs w:val="28"/>
          <w:lang w:val="en-US" w:eastAsia="zh-CN"/>
        </w:rPr>
        <w:t>1、由于采购文件采用系统自动生成文件，如自动生成文件有缺项、漏项、缺少响应文件格式等情况时以此说明为准。</w:t>
      </w:r>
    </w:p>
    <w:p>
      <w:pPr>
        <w:spacing w:line="360" w:lineRule="auto"/>
        <w:ind w:firstLine="566" w:firstLineChars="200"/>
        <w:jc w:val="left"/>
        <w:rPr>
          <w:rFonts w:hint="eastAsia"/>
          <w:sz w:val="28"/>
          <w:szCs w:val="28"/>
          <w:lang w:val="en-US" w:eastAsia="zh-CN"/>
        </w:rPr>
      </w:pPr>
      <w:r>
        <w:rPr>
          <w:rFonts w:hint="eastAsia"/>
          <w:b/>
          <w:bCs/>
          <w:sz w:val="28"/>
          <w:szCs w:val="28"/>
          <w:lang w:val="en-US" w:eastAsia="zh-CN"/>
        </w:rPr>
        <w:t>2、本项目采购标的对应的中小企业划分标准所属行业为：其他未列明行业。</w:t>
      </w:r>
    </w:p>
    <w:p>
      <w:pPr>
        <w:spacing w:line="360" w:lineRule="auto"/>
        <w:ind w:firstLine="566" w:firstLineChars="200"/>
        <w:jc w:val="left"/>
        <w:rPr>
          <w:rFonts w:hint="eastAsia"/>
          <w:sz w:val="28"/>
          <w:szCs w:val="28"/>
          <w:lang w:val="en-US" w:eastAsia="zh-CN"/>
        </w:rPr>
      </w:pPr>
      <w:r>
        <w:rPr>
          <w:rFonts w:hint="eastAsia"/>
          <w:sz w:val="28"/>
          <w:szCs w:val="28"/>
          <w:lang w:val="en-US" w:eastAsia="zh-CN"/>
        </w:rPr>
        <w:t>3、报价方式：以人民币报价（含税全包价）。</w:t>
      </w:r>
    </w:p>
    <w:p>
      <w:pPr>
        <w:spacing w:line="360" w:lineRule="auto"/>
        <w:ind w:firstLine="566" w:firstLineChars="200"/>
        <w:jc w:val="left"/>
        <w:rPr>
          <w:rFonts w:hint="eastAsia"/>
          <w:sz w:val="28"/>
          <w:szCs w:val="28"/>
          <w:lang w:val="en-US" w:eastAsia="zh-CN"/>
        </w:rPr>
      </w:pPr>
      <w:r>
        <w:rPr>
          <w:rFonts w:hint="eastAsia"/>
          <w:sz w:val="28"/>
          <w:szCs w:val="28"/>
          <w:lang w:val="en-US" w:eastAsia="zh-CN"/>
        </w:rPr>
        <w:t>4、请参加本项目采购活动的供应商自备笔记本计算机，并提前对黑龙江省政府采购管理平台的必要的设置，以便进行澄清（如有)、磋商/谈判（如有)、最终报价（如有)等环节。</w:t>
      </w:r>
    </w:p>
    <w:p>
      <w:pPr>
        <w:spacing w:line="360" w:lineRule="auto"/>
        <w:ind w:firstLine="566" w:firstLineChars="200"/>
        <w:jc w:val="left"/>
        <w:rPr>
          <w:rFonts w:hint="eastAsia"/>
          <w:sz w:val="28"/>
          <w:szCs w:val="28"/>
          <w:lang w:val="en-US" w:eastAsia="zh-CN"/>
        </w:rPr>
      </w:pPr>
    </w:p>
    <w:p>
      <w:pPr>
        <w:pStyle w:val="16"/>
        <w:rPr>
          <w:rFonts w:hint="eastAsia"/>
          <w:lang w:val="en-US" w:eastAsia="zh-CN"/>
        </w:rPr>
      </w:pPr>
    </w:p>
    <w:p>
      <w:pPr>
        <w:pStyle w:val="16"/>
        <w:rPr>
          <w:rFonts w:hint="eastAsia"/>
          <w:lang w:val="en-US" w:eastAsia="zh-CN"/>
        </w:rPr>
      </w:pPr>
    </w:p>
    <w:p>
      <w:pPr>
        <w:rPr>
          <w:rFonts w:hint="eastAsia"/>
          <w:lang w:val="en-US" w:eastAsia="zh-CN"/>
        </w:rPr>
      </w:pPr>
      <w:r>
        <w:rPr>
          <w:rFonts w:hint="eastAsia"/>
          <w:lang w:val="en-US" w:eastAsia="zh-CN"/>
        </w:rPr>
        <w:br w:type="page"/>
      </w:r>
    </w:p>
    <w:p>
      <w:pPr>
        <w:spacing w:line="360" w:lineRule="auto"/>
        <w:jc w:val="center"/>
        <w:rPr>
          <w:rStyle w:val="13"/>
          <w:rFonts w:hint="eastAsia" w:ascii="黑体" w:hAnsi="黑体" w:eastAsia="黑体" w:cs="黑体"/>
          <w:bCs w:val="0"/>
          <w:sz w:val="30"/>
          <w:szCs w:val="30"/>
        </w:rPr>
      </w:pPr>
      <w:r>
        <w:rPr>
          <w:rStyle w:val="13"/>
          <w:rFonts w:hint="eastAsia" w:ascii="黑体" w:hAnsi="黑体" w:eastAsia="黑体" w:cs="黑体"/>
          <w:bCs w:val="0"/>
          <w:sz w:val="30"/>
          <w:szCs w:val="30"/>
          <w:lang w:val="en-US" w:eastAsia="zh-CN"/>
        </w:rPr>
        <w:t>满足主要商务条款的承诺书</w:t>
      </w:r>
    </w:p>
    <w:p>
      <w:pPr>
        <w:spacing w:line="360" w:lineRule="auto"/>
        <w:ind w:firstLine="243" w:firstLineChars="100"/>
        <w:rPr>
          <w:rFonts w:hint="default" w:ascii="宋体" w:hAnsi="宋体" w:eastAsia="宋体" w:cs="宋体"/>
          <w:bCs/>
          <w:sz w:val="24"/>
          <w:szCs w:val="24"/>
          <w:lang w:val="en-US" w:eastAsia="zh-CN"/>
        </w:rPr>
      </w:pPr>
    </w:p>
    <w:p>
      <w:pPr>
        <w:snapToGrid w:val="0"/>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致：</w:t>
      </w:r>
    </w:p>
    <w:p>
      <w:pPr>
        <w:keepNext w:val="0"/>
        <w:keepLines w:val="0"/>
        <w:widowControl/>
        <w:suppressLineNumbers w:val="0"/>
        <w:spacing w:line="360" w:lineRule="auto"/>
        <w:ind w:firstLine="486" w:firstLineChars="200"/>
        <w:jc w:val="left"/>
        <w:rPr>
          <w:rFonts w:hint="eastAsia" w:ascii="宋体" w:hAnsi="宋体" w:eastAsia="宋体" w:cs="宋体"/>
          <w:bCs/>
          <w:sz w:val="24"/>
          <w:szCs w:val="24"/>
          <w:lang w:val="en-US" w:eastAsia="zh-CN"/>
        </w:rPr>
      </w:pPr>
      <w:r>
        <w:rPr>
          <w:rFonts w:hint="default" w:ascii="宋体" w:hAnsi="宋体" w:eastAsia="宋体" w:cs="宋体"/>
          <w:bCs/>
          <w:sz w:val="24"/>
          <w:szCs w:val="24"/>
          <w:lang w:val="en-US" w:eastAsia="zh-CN"/>
        </w:rPr>
        <w:t>我公司</w:t>
      </w:r>
      <w:r>
        <w:rPr>
          <w:rFonts w:hint="eastAsia" w:ascii="宋体" w:hAnsi="宋体" w:eastAsia="宋体" w:cs="宋体"/>
          <w:bCs/>
          <w:sz w:val="24"/>
          <w:szCs w:val="24"/>
          <w:lang w:val="en-US" w:eastAsia="zh-CN"/>
        </w:rPr>
        <w:t>已阅读并充分理解</w:t>
      </w:r>
      <w:r>
        <w:rPr>
          <w:rFonts w:hint="eastAsia" w:ascii="宋体" w:hAnsi="宋体" w:eastAsia="宋体" w:cs="宋体"/>
          <w:bCs/>
          <w:sz w:val="24"/>
          <w:szCs w:val="24"/>
          <w:u w:val="single"/>
          <w:lang w:val="en-US" w:eastAsia="zh-CN"/>
        </w:rPr>
        <w:t xml:space="preserve">     （项目名称）</w:t>
      </w:r>
      <w:r>
        <w:rPr>
          <w:rFonts w:hint="eastAsia" w:ascii="宋体" w:hAnsi="宋体" w:cs="宋体"/>
          <w:bCs/>
          <w:sz w:val="24"/>
          <w:szCs w:val="24"/>
          <w:u w:val="none"/>
          <w:lang w:val="en-US" w:eastAsia="zh-CN"/>
        </w:rPr>
        <w:t>采购</w:t>
      </w:r>
      <w:r>
        <w:rPr>
          <w:rFonts w:hint="default" w:ascii="宋体" w:hAnsi="宋体" w:eastAsia="宋体" w:cs="宋体"/>
          <w:bCs/>
          <w:sz w:val="24"/>
          <w:szCs w:val="24"/>
          <w:lang w:val="en-US" w:eastAsia="zh-CN"/>
        </w:rPr>
        <w:t>文件中</w:t>
      </w:r>
      <w:r>
        <w:rPr>
          <w:rFonts w:hint="eastAsia" w:ascii="宋体" w:hAnsi="宋体" w:eastAsia="宋体" w:cs="宋体"/>
          <w:bCs/>
          <w:sz w:val="24"/>
          <w:szCs w:val="24"/>
          <w:lang w:val="en-US" w:eastAsia="zh-CN"/>
        </w:rPr>
        <w:t>的各项条款，并在此承诺满足并接受本项目</w:t>
      </w:r>
      <w:r>
        <w:rPr>
          <w:rFonts w:hint="eastAsia" w:ascii="宋体" w:hAnsi="宋体" w:cs="宋体"/>
          <w:bCs/>
          <w:sz w:val="24"/>
          <w:szCs w:val="24"/>
          <w:lang w:val="en-US" w:eastAsia="zh-CN"/>
        </w:rPr>
        <w:t>采购</w:t>
      </w:r>
      <w:r>
        <w:rPr>
          <w:rFonts w:hint="eastAsia" w:ascii="宋体" w:hAnsi="宋体" w:eastAsia="宋体" w:cs="宋体"/>
          <w:bCs/>
          <w:sz w:val="24"/>
          <w:szCs w:val="24"/>
          <w:lang w:val="en-US" w:eastAsia="zh-CN"/>
        </w:rPr>
        <w:t>文件中的合同履行期限、付款方式、验收要求、履约保证金、违约责任等全部主要商务条款及合同条款</w:t>
      </w:r>
      <w:r>
        <w:rPr>
          <w:rFonts w:hint="default" w:ascii="宋体" w:hAnsi="宋体" w:eastAsia="宋体" w:cs="宋体"/>
          <w:bCs/>
          <w:sz w:val="24"/>
          <w:szCs w:val="24"/>
          <w:lang w:val="en-US" w:eastAsia="zh-CN"/>
        </w:rPr>
        <w:t xml:space="preserve">。 </w:t>
      </w:r>
    </w:p>
    <w:p>
      <w:pPr>
        <w:keepNext w:val="0"/>
        <w:keepLines w:val="0"/>
        <w:widowControl/>
        <w:suppressLineNumbers w:val="0"/>
        <w:spacing w:line="360" w:lineRule="auto"/>
        <w:ind w:firstLine="486" w:firstLineChars="200"/>
        <w:jc w:val="left"/>
        <w:rPr>
          <w:rFonts w:hint="eastAsia" w:ascii="宋体" w:hAnsi="宋体" w:eastAsia="宋体" w:cs="宋体"/>
          <w:bCs/>
          <w:sz w:val="24"/>
          <w:szCs w:val="24"/>
          <w:lang w:val="en-US" w:eastAsia="zh-CN"/>
        </w:rPr>
      </w:pPr>
      <w:r>
        <w:rPr>
          <w:rFonts w:hint="default" w:ascii="宋体" w:hAnsi="宋体" w:eastAsia="宋体" w:cs="宋体"/>
          <w:bCs/>
          <w:sz w:val="24"/>
          <w:szCs w:val="24"/>
          <w:lang w:val="en-US" w:eastAsia="zh-CN"/>
        </w:rPr>
        <w:t>特此承诺！</w:t>
      </w:r>
    </w:p>
    <w:p>
      <w:pPr>
        <w:snapToGrid w:val="0"/>
        <w:spacing w:line="360" w:lineRule="auto"/>
        <w:ind w:right="17"/>
        <w:rPr>
          <w:rFonts w:hint="eastAsia" w:ascii="宋体" w:hAnsi="宋体" w:cs="宋体"/>
          <w:sz w:val="24"/>
          <w:szCs w:val="24"/>
        </w:rPr>
      </w:pPr>
    </w:p>
    <w:p>
      <w:pPr>
        <w:snapToGrid w:val="0"/>
        <w:spacing w:line="360" w:lineRule="auto"/>
        <w:ind w:right="17"/>
        <w:rPr>
          <w:rFonts w:hint="eastAsia" w:ascii="宋体" w:hAnsi="宋体" w:cs="宋体"/>
          <w:sz w:val="24"/>
          <w:szCs w:val="24"/>
        </w:rPr>
      </w:pPr>
      <w:r>
        <w:rPr>
          <w:rFonts w:hint="eastAsia" w:ascii="宋体" w:hAnsi="宋体" w:cs="宋体"/>
          <w:sz w:val="24"/>
          <w:szCs w:val="24"/>
          <w:lang w:val="en-US" w:eastAsia="zh-CN"/>
        </w:rPr>
        <w:t>授权代表：</w:t>
      </w:r>
    </w:p>
    <w:p>
      <w:pPr>
        <w:snapToGrid w:val="0"/>
        <w:spacing w:line="360" w:lineRule="auto"/>
        <w:ind w:right="17"/>
        <w:rPr>
          <w:rFonts w:hint="eastAsia" w:ascii="宋体" w:hAnsi="宋体" w:cs="宋体"/>
          <w:sz w:val="24"/>
          <w:szCs w:val="24"/>
        </w:rPr>
      </w:pPr>
      <w:r>
        <w:rPr>
          <w:rFonts w:hint="eastAsia" w:ascii="宋体" w:hAnsi="宋体" w:cs="宋体"/>
          <w:sz w:val="24"/>
          <w:szCs w:val="24"/>
        </w:rPr>
        <w:t>供应商名称</w:t>
      </w:r>
      <w:r>
        <w:rPr>
          <w:rFonts w:hint="eastAsia" w:ascii="宋体" w:hAnsi="宋体"/>
          <w:spacing w:val="6"/>
          <w:sz w:val="24"/>
        </w:rPr>
        <w:t>（盖章）</w:t>
      </w:r>
      <w:r>
        <w:rPr>
          <w:rFonts w:hint="eastAsia" w:ascii="宋体" w:hAnsi="宋体" w:cs="宋体"/>
          <w:sz w:val="24"/>
          <w:szCs w:val="24"/>
        </w:rPr>
        <w:t xml:space="preserve">：  </w:t>
      </w:r>
    </w:p>
    <w:p>
      <w:pPr>
        <w:rPr>
          <w:rStyle w:val="13"/>
          <w:rFonts w:hint="eastAsia" w:ascii="黑体" w:hAnsi="黑体" w:eastAsia="黑体" w:cs="黑体"/>
          <w:bCs w:val="0"/>
          <w:sz w:val="30"/>
          <w:szCs w:val="30"/>
          <w:lang w:val="en-US" w:eastAsia="zh-CN"/>
        </w:rPr>
      </w:pPr>
      <w:r>
        <w:rPr>
          <w:rFonts w:hint="eastAsia"/>
          <w:sz w:val="24"/>
          <w:szCs w:val="24"/>
        </w:rPr>
        <w:t xml:space="preserve">日   </w:t>
      </w:r>
      <w:r>
        <w:rPr>
          <w:rFonts w:hint="eastAsia"/>
          <w:sz w:val="24"/>
          <w:szCs w:val="24"/>
          <w:lang w:val="en-US" w:eastAsia="zh-CN"/>
        </w:rPr>
        <w:t xml:space="preserve"> </w:t>
      </w:r>
      <w:r>
        <w:rPr>
          <w:rFonts w:hint="eastAsia"/>
          <w:sz w:val="24"/>
          <w:szCs w:val="24"/>
        </w:rPr>
        <w:t xml:space="preserve">  期：      </w:t>
      </w:r>
    </w:p>
    <w:p>
      <w:pPr>
        <w:pStyle w:val="16"/>
        <w:rPr>
          <w:rFonts w:hint="eastAsia"/>
          <w:lang w:val="en-US" w:eastAsia="zh-CN"/>
        </w:rPr>
      </w:pPr>
    </w:p>
    <w:p>
      <w:pPr>
        <w:pStyle w:val="16"/>
        <w:rPr>
          <w:rFonts w:hint="eastAsia"/>
          <w:lang w:val="en-US" w:eastAsia="zh-CN"/>
        </w:rPr>
      </w:pPr>
    </w:p>
    <w:p>
      <w:pPr>
        <w:pStyle w:val="16"/>
        <w:rPr>
          <w:rFonts w:hint="eastAsia"/>
          <w:lang w:val="en-US" w:eastAsia="zh-CN"/>
        </w:rPr>
      </w:pPr>
    </w:p>
    <w:p>
      <w:pPr>
        <w:pStyle w:val="16"/>
        <w:rPr>
          <w:rFonts w:hint="eastAsia"/>
          <w:lang w:val="en-US" w:eastAsia="zh-CN"/>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int="eastAsia" w:hAnsi="宋体" w:cs="宋体"/>
          <w:sz w:val="32"/>
          <w:szCs w:val="32"/>
        </w:rPr>
      </w:pPr>
    </w:p>
    <w:p>
      <w:pPr>
        <w:pStyle w:val="7"/>
        <w:jc w:val="center"/>
        <w:rPr>
          <w:rFonts w:hAnsi="宋体" w:cs="宋体"/>
          <w:sz w:val="32"/>
          <w:szCs w:val="32"/>
        </w:rPr>
      </w:pPr>
      <w:r>
        <w:rPr>
          <w:rFonts w:hint="eastAsia" w:hAnsi="宋体" w:cs="宋体"/>
          <w:b/>
          <w:bCs/>
          <w:sz w:val="32"/>
          <w:szCs w:val="32"/>
        </w:rPr>
        <w:t>承诺函</w:t>
      </w:r>
    </w:p>
    <w:p>
      <w:pPr>
        <w:tabs>
          <w:tab w:val="left" w:pos="5580"/>
        </w:tabs>
        <w:spacing w:line="360" w:lineRule="auto"/>
        <w:rPr>
          <w:rFonts w:ascii="宋体" w:hAnsi="宋体" w:cs="宋体"/>
          <w:sz w:val="24"/>
        </w:rPr>
      </w:pPr>
    </w:p>
    <w:p>
      <w:pPr>
        <w:tabs>
          <w:tab w:val="left" w:pos="5100"/>
        </w:tabs>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采购人或采购代理机构</w:t>
      </w:r>
      <w:bookmarkStart w:id="2" w:name="_GoBack"/>
      <w:bookmarkEnd w:id="2"/>
    </w:p>
    <w:p>
      <w:pPr>
        <w:tabs>
          <w:tab w:val="left" w:pos="5100"/>
        </w:tabs>
        <w:spacing w:line="360" w:lineRule="auto"/>
        <w:rPr>
          <w:rFonts w:ascii="宋体" w:hAnsi="宋体" w:cs="宋体"/>
          <w:sz w:val="24"/>
        </w:rPr>
      </w:pPr>
    </w:p>
    <w:p>
      <w:pPr>
        <w:spacing w:line="360" w:lineRule="auto"/>
        <w:ind w:firstLine="560"/>
        <w:contextualSpacing/>
        <w:rPr>
          <w:rFonts w:ascii="宋体" w:hAnsi="宋体" w:cs="宋体"/>
          <w:bCs/>
          <w:sz w:val="24"/>
        </w:rPr>
      </w:pPr>
      <w:r>
        <w:rPr>
          <w:rFonts w:hint="eastAsia" w:ascii="宋体" w:hAnsi="宋体" w:cs="宋体"/>
          <w:bCs/>
          <w:sz w:val="24"/>
        </w:rPr>
        <w:t>我单位在贵单位组织的招标中如中标，根据招标文件技术需求要求作出如下承诺：</w:t>
      </w:r>
    </w:p>
    <w:p>
      <w:pPr>
        <w:spacing w:line="360" w:lineRule="auto"/>
        <w:ind w:left="420"/>
        <w:contextualSpacing/>
        <w:rPr>
          <w:rFonts w:ascii="宋体" w:hAnsi="宋体" w:cs="宋体"/>
          <w:bCs/>
          <w:sz w:val="24"/>
        </w:rPr>
      </w:pPr>
      <w:r>
        <w:rPr>
          <w:rFonts w:hint="eastAsia" w:ascii="宋体" w:hAnsi="宋体" w:cs="宋体"/>
          <w:sz w:val="24"/>
        </w:rPr>
        <w:t>1、运维单位须承诺中标后3个月内配齐本技术要求中所涉及的仪器设备、耗材和备件。耗材按照不少于半年的消耗量配置，备件按照1年使用量配置。必须使用原厂生产的备品备件和耗材（若无原厂生产的，则应使用经权威机构检定合格的），严禁使用未经权威机构检定合格或劣质备品备件和耗材。各空气站主要仪器设备的品牌、型号等信息。</w:t>
      </w:r>
    </w:p>
    <w:p>
      <w:pPr>
        <w:spacing w:line="360" w:lineRule="auto"/>
        <w:ind w:left="420"/>
        <w:contextualSpacing/>
        <w:rPr>
          <w:rFonts w:ascii="宋体" w:hAnsi="宋体" w:cs="宋体"/>
          <w:bCs/>
          <w:sz w:val="24"/>
        </w:rPr>
      </w:pPr>
      <w:r>
        <w:rPr>
          <w:rFonts w:hint="eastAsia" w:ascii="宋体" w:hAnsi="宋体" w:cs="宋体"/>
          <w:bCs/>
          <w:sz w:val="24"/>
        </w:rPr>
        <w:t>2、我单位承诺</w:t>
      </w:r>
      <w:r>
        <w:rPr>
          <w:rFonts w:hint="eastAsia" w:ascii="宋体" w:hAnsi="宋体" w:cs="宋体"/>
          <w:sz w:val="24"/>
        </w:rPr>
        <w:t>按照省生态环境厅或省中心要求开展空气站运维交接工作。</w:t>
      </w:r>
    </w:p>
    <w:p>
      <w:pPr>
        <w:spacing w:line="360" w:lineRule="auto"/>
        <w:ind w:left="420"/>
        <w:contextualSpacing/>
        <w:rPr>
          <w:rFonts w:ascii="宋体" w:hAnsi="宋体" w:cs="宋体"/>
          <w:sz w:val="24"/>
        </w:rPr>
      </w:pPr>
      <w:r>
        <w:rPr>
          <w:rFonts w:hint="eastAsia" w:ascii="宋体" w:hAnsi="宋体" w:cs="宋体"/>
          <w:bCs/>
          <w:sz w:val="24"/>
        </w:rPr>
        <w:t>3、我单位投入本项目的全部</w:t>
      </w:r>
      <w:r>
        <w:rPr>
          <w:rFonts w:hint="eastAsia" w:ascii="宋体" w:hAnsi="宋体" w:cs="宋体"/>
          <w:sz w:val="24"/>
        </w:rPr>
        <w:t>专业技术人员</w:t>
      </w:r>
      <w:r>
        <w:rPr>
          <w:rFonts w:hint="eastAsia" w:ascii="宋体" w:hAnsi="宋体" w:cs="宋体"/>
          <w:bCs/>
          <w:sz w:val="24"/>
        </w:rPr>
        <w:t>在项目中标之日起半年内，取得</w:t>
      </w:r>
      <w:r>
        <w:rPr>
          <w:rFonts w:hint="eastAsia" w:ascii="宋体" w:hAnsi="宋体" w:cs="宋体"/>
          <w:sz w:val="24"/>
        </w:rPr>
        <w:t>省级及以上相关部门颁发的空气自动监测领域上岗证，中标半年后新参与空气站运维的专业技术人员先持证后上岗。</w:t>
      </w:r>
    </w:p>
    <w:p>
      <w:pPr>
        <w:spacing w:line="360" w:lineRule="auto"/>
        <w:ind w:left="420"/>
        <w:contextualSpacing/>
        <w:rPr>
          <w:rFonts w:ascii="宋体" w:hAnsi="宋体" w:cs="宋体"/>
          <w:sz w:val="24"/>
        </w:rPr>
      </w:pPr>
      <w:r>
        <w:rPr>
          <w:rFonts w:hint="eastAsia" w:ascii="宋体" w:hAnsi="宋体" w:cs="宋体"/>
          <w:sz w:val="24"/>
        </w:rPr>
        <w:t>4、我单位按招标文件要求数量选派专职工作人员在省中心进行空气站的运维管理等工作。</w:t>
      </w:r>
    </w:p>
    <w:p>
      <w:pPr>
        <w:spacing w:line="360" w:lineRule="auto"/>
        <w:ind w:left="420"/>
        <w:contextualSpacing/>
        <w:rPr>
          <w:rFonts w:ascii="宋体" w:hAnsi="宋体" w:cs="宋体"/>
          <w:sz w:val="24"/>
        </w:rPr>
      </w:pPr>
      <w:r>
        <w:rPr>
          <w:rFonts w:hint="eastAsia" w:ascii="宋体" w:hAnsi="宋体" w:cs="宋体"/>
          <w:sz w:val="24"/>
        </w:rPr>
        <w:t>5、我单位接受省中心在本项目中标一个月后对我单位项目组织情况进行核查，核查内容包括但不限于人员、车辆、耗材、备件、备机、运维工具、质控样品与设备、手工比对设备、质控实验室建设等相关项目的组织情况，并同意如省中心发现我单位未按投标方案履行，省中心可视情节轻重扣减不超过委托合同总金额10%的服务款项，对情节特别严重的，省中心有权解除合同。</w:t>
      </w:r>
    </w:p>
    <w:p>
      <w:pPr>
        <w:spacing w:line="360" w:lineRule="auto"/>
        <w:ind w:left="420"/>
        <w:contextualSpacing/>
        <w:rPr>
          <w:rFonts w:ascii="宋体" w:hAnsi="宋体" w:cs="宋体"/>
          <w:sz w:val="24"/>
        </w:rPr>
      </w:pPr>
      <w:r>
        <w:rPr>
          <w:rFonts w:hint="eastAsia" w:ascii="宋体" w:hAnsi="宋体" w:cs="宋体"/>
          <w:sz w:val="24"/>
        </w:rPr>
        <w:t>6、我单位承诺在本次投标活动中，严格遵守本次招标关于中标回避的规定，</w:t>
      </w:r>
    </w:p>
    <w:p>
      <w:pPr>
        <w:spacing w:line="360" w:lineRule="auto"/>
        <w:ind w:left="420"/>
        <w:contextualSpacing/>
        <w:rPr>
          <w:rFonts w:ascii="宋体" w:hAnsi="宋体" w:cs="宋体"/>
          <w:sz w:val="24"/>
        </w:rPr>
      </w:pPr>
      <w:r>
        <w:rPr>
          <w:rFonts w:hint="eastAsia" w:ascii="宋体" w:hAnsi="宋体" w:cs="宋体"/>
          <w:sz w:val="24"/>
        </w:rPr>
        <w:t>7、我单位承诺，遵守国家生态环境部、中国环境监测总站关于空气站现行的运行管理的各项规定，如运维期间省生态环境厅、省中心出台补充规定，则运维工作同时执行。</w:t>
      </w:r>
    </w:p>
    <w:p>
      <w:pPr>
        <w:spacing w:line="360" w:lineRule="auto"/>
        <w:ind w:left="420"/>
        <w:contextualSpacing/>
        <w:rPr>
          <w:rFonts w:ascii="宋体" w:hAnsi="宋体" w:cs="宋体"/>
          <w:sz w:val="24"/>
        </w:rPr>
      </w:pPr>
      <w:r>
        <w:rPr>
          <w:rFonts w:hint="eastAsia" w:ascii="宋体" w:hAnsi="宋体" w:cs="宋体"/>
          <w:sz w:val="24"/>
        </w:rPr>
        <w:t>8、当本项目其他区域运维单位因故无法正常履约对相应空气站进行运维时，则我单位将按照省中心相关规定及要求及时承担相关工作，直至确定新的运维单位。承担相关工作时，接受省中心按照原运维单位相关合同中确定的单价和本单位承担的实际工作量支付费用。</w:t>
      </w:r>
    </w:p>
    <w:p>
      <w:pPr>
        <w:pStyle w:val="19"/>
        <w:tabs>
          <w:tab w:val="left" w:pos="2280"/>
        </w:tabs>
        <w:spacing w:line="360" w:lineRule="auto"/>
        <w:ind w:left="426" w:right="45" w:firstLine="0" w:firstLineChars="0"/>
        <w:contextualSpacing/>
        <w:rPr>
          <w:rFonts w:ascii="宋体" w:hAnsi="宋体" w:cs="宋体"/>
          <w:sz w:val="24"/>
        </w:rPr>
      </w:pPr>
      <w:r>
        <w:rPr>
          <w:rFonts w:hint="eastAsia" w:ascii="宋体" w:hAnsi="宋体" w:cs="宋体"/>
          <w:sz w:val="24"/>
        </w:rPr>
        <w:t>9、我单位承诺按中标单价核算前任运维单位超期运维费用，费用统计以日计，时间从签订合同后实际工作至实际运维交接日期。</w:t>
      </w:r>
    </w:p>
    <w:p>
      <w:pPr>
        <w:spacing w:line="360" w:lineRule="auto"/>
        <w:ind w:left="-2" w:firstLine="427"/>
        <w:contextualSpacing/>
        <w:rPr>
          <w:rFonts w:ascii="宋体" w:hAnsi="宋体" w:cs="宋体"/>
          <w:bCs/>
          <w:sz w:val="24"/>
        </w:rPr>
      </w:pPr>
      <w:r>
        <w:rPr>
          <w:rFonts w:hint="eastAsia" w:ascii="宋体" w:hAnsi="宋体" w:cs="宋体"/>
          <w:bCs/>
          <w:sz w:val="24"/>
        </w:rPr>
        <w:t>10、同时，我单位做出涉嫌人为干扰干预环境空气质量监测信息管理承诺如下：</w:t>
      </w:r>
    </w:p>
    <w:p>
      <w:pPr>
        <w:pStyle w:val="19"/>
        <w:spacing w:line="360" w:lineRule="auto"/>
        <w:ind w:firstLine="487"/>
        <w:contextualSpacing/>
        <w:rPr>
          <w:rFonts w:ascii="宋体" w:hAnsi="宋体" w:cs="宋体"/>
          <w:sz w:val="24"/>
          <w:szCs w:val="24"/>
        </w:rPr>
      </w:pPr>
      <w:r>
        <w:rPr>
          <w:rFonts w:hint="eastAsia" w:ascii="宋体" w:hAnsi="宋体" w:cs="宋体"/>
          <w:sz w:val="24"/>
          <w:szCs w:val="24"/>
        </w:rPr>
        <w:t>（一）我单位建立制度，加强异常数据和异常情况分析，及时核实出现的异常状况；定期检查视频监控系统，及时发现人为干扰干预环境空气质量监测的行为。</w:t>
      </w:r>
    </w:p>
    <w:p>
      <w:pPr>
        <w:pStyle w:val="19"/>
        <w:spacing w:line="360" w:lineRule="auto"/>
        <w:ind w:firstLine="487"/>
        <w:contextualSpacing/>
        <w:rPr>
          <w:rFonts w:ascii="宋体" w:hAnsi="宋体" w:cs="宋体"/>
          <w:sz w:val="24"/>
          <w:szCs w:val="24"/>
        </w:rPr>
      </w:pPr>
      <w:r>
        <w:rPr>
          <w:rFonts w:hint="eastAsia" w:ascii="宋体" w:hAnsi="宋体" w:cs="宋体"/>
          <w:sz w:val="24"/>
          <w:szCs w:val="24"/>
        </w:rPr>
        <w:t>（二）我单位承诺，除仪器故障、停电等客观因素影响外，应保证站点监控视频完好。</w:t>
      </w:r>
    </w:p>
    <w:p>
      <w:pPr>
        <w:pStyle w:val="19"/>
        <w:spacing w:line="360" w:lineRule="auto"/>
        <w:ind w:firstLine="487"/>
        <w:contextualSpacing/>
        <w:rPr>
          <w:rFonts w:ascii="宋体" w:hAnsi="宋体" w:cs="宋体"/>
          <w:sz w:val="24"/>
          <w:szCs w:val="24"/>
        </w:rPr>
      </w:pPr>
      <w:r>
        <w:rPr>
          <w:rFonts w:hint="eastAsia" w:ascii="宋体" w:hAnsi="宋体" w:cs="宋体"/>
          <w:sz w:val="24"/>
          <w:szCs w:val="24"/>
        </w:rPr>
        <w:t>（三）我单位应建立完善的发现人为干扰干预环境空气质量监测的报告机制，加强运维人员教育，确保运维人员能够知悉落实，及时将人为干扰干预环境空气质量监测的情况报告省中心。</w:t>
      </w:r>
    </w:p>
    <w:p>
      <w:pPr>
        <w:spacing w:line="360" w:lineRule="auto"/>
        <w:contextualSpacing/>
        <w:rPr>
          <w:rFonts w:ascii="宋体" w:hAnsi="宋体" w:cs="宋体"/>
          <w:sz w:val="24"/>
        </w:rPr>
      </w:pPr>
      <w:r>
        <w:rPr>
          <w:rFonts w:hint="eastAsia" w:ascii="宋体" w:hAnsi="宋体" w:cs="宋体"/>
          <w:sz w:val="24"/>
        </w:rPr>
        <w:t>（四）我单位发现人为干扰干预行为后，立即向省中心报告，24小时内向省中心报送纸质文件；文件标题写明“存在人为干扰”“涉嫌人为干扰”等字样，内容应至少写明干扰起始时间、干扰手段、数据是否异常等信息。</w:t>
      </w:r>
    </w:p>
    <w:p>
      <w:pPr>
        <w:spacing w:line="360" w:lineRule="auto"/>
        <w:contextualSpacing/>
        <w:rPr>
          <w:rFonts w:ascii="宋体" w:hAnsi="宋体" w:cs="宋体"/>
          <w:sz w:val="24"/>
        </w:rPr>
      </w:pPr>
      <w:r>
        <w:rPr>
          <w:rFonts w:hint="eastAsia" w:ascii="宋体" w:hAnsi="宋体" w:cs="宋体"/>
          <w:sz w:val="24"/>
        </w:rPr>
        <w:t>（五）未经省生态环境厅和省中心同意，不得以任何理由、任何形式，向任何其他单位或个人报告人为干扰干预相关情况。</w:t>
      </w:r>
    </w:p>
    <w:p>
      <w:pPr>
        <w:spacing w:line="360" w:lineRule="auto"/>
        <w:ind w:firstLine="486" w:firstLineChars="200"/>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autoSpaceDE w:val="0"/>
        <w:autoSpaceDN w:val="0"/>
        <w:adjustRightInd w:val="0"/>
        <w:snapToGrid w:val="0"/>
        <w:spacing w:before="25" w:after="25" w:line="360" w:lineRule="auto"/>
        <w:ind w:firstLine="729" w:firstLineChars="300"/>
        <w:rPr>
          <w:rFonts w:ascii="宋体" w:hAnsi="宋体" w:cs="宋体"/>
          <w:sz w:val="24"/>
        </w:rPr>
      </w:pPr>
      <w:bookmarkStart w:id="0" w:name="_Hlt520356243"/>
      <w:bookmarkEnd w:id="0"/>
      <w:bookmarkStart w:id="1" w:name="_Hlt520355938"/>
      <w:bookmarkEnd w:id="1"/>
      <w:r>
        <w:rPr>
          <w:rFonts w:hint="eastAsia" w:ascii="宋体" w:hAnsi="宋体" w:cs="宋体"/>
          <w:sz w:val="24"/>
        </w:rPr>
        <w:t>投标人（盖章）</w:t>
      </w:r>
      <w:r>
        <w:rPr>
          <w:rFonts w:hint="eastAsia" w:ascii="宋体" w:hAnsi="宋体" w:cs="宋体"/>
          <w:sz w:val="24"/>
          <w:lang w:val="zh-CN"/>
        </w:rPr>
        <w:t>：____________</w:t>
      </w:r>
    </w:p>
    <w:p>
      <w:pPr>
        <w:autoSpaceDE w:val="0"/>
        <w:autoSpaceDN w:val="0"/>
        <w:adjustRightInd w:val="0"/>
        <w:snapToGrid w:val="0"/>
        <w:spacing w:before="25" w:after="25" w:line="360" w:lineRule="auto"/>
        <w:ind w:firstLine="729" w:firstLineChars="300"/>
        <w:rPr>
          <w:rFonts w:ascii="宋体" w:hAnsi="宋体" w:cs="宋体"/>
          <w:sz w:val="24"/>
          <w:lang w:val="zh-CN"/>
        </w:rPr>
      </w:pPr>
      <w:r>
        <w:rPr>
          <w:rFonts w:hint="eastAsia" w:ascii="宋体" w:hAnsi="宋体" w:cs="宋体"/>
          <w:sz w:val="24"/>
        </w:rPr>
        <w:t>法定代表人和其授权委托代理人（签字）</w:t>
      </w:r>
      <w:r>
        <w:rPr>
          <w:rFonts w:hint="eastAsia" w:ascii="宋体" w:hAnsi="宋体" w:cs="宋体"/>
          <w:sz w:val="24"/>
          <w:lang w:val="zh-CN"/>
        </w:rPr>
        <w:t xml:space="preserve">：________                          </w:t>
      </w:r>
    </w:p>
    <w:p>
      <w:pPr>
        <w:ind w:firstLine="972" w:firstLineChars="400"/>
        <w:rPr>
          <w:rFonts w:ascii="宋体" w:hAnsi="宋体" w:cs="宋体"/>
          <w:b/>
          <w:spacing w:val="48"/>
          <w:sz w:val="48"/>
          <w:szCs w:val="48"/>
        </w:rPr>
      </w:pPr>
      <w:r>
        <w:rPr>
          <w:rFonts w:hint="eastAsia" w:ascii="宋体" w:hAnsi="宋体" w:cs="宋体"/>
          <w:sz w:val="24"/>
        </w:rPr>
        <w:t>日期：_____年______月______日</w:t>
      </w:r>
    </w:p>
    <w:p>
      <w:pPr>
        <w:keepNext w:val="0"/>
        <w:keepLines w:val="0"/>
        <w:widowControl/>
        <w:suppressLineNumbers w:val="0"/>
        <w:spacing w:line="360" w:lineRule="auto"/>
        <w:ind w:firstLine="426" w:firstLineChars="200"/>
        <w:jc w:val="left"/>
        <w:rPr>
          <w:rFonts w:hint="eastAsia" w:ascii="宋体" w:hAnsi="宋体" w:eastAsia="宋体" w:cs="宋体"/>
          <w:bCs/>
          <w:sz w:val="21"/>
          <w:szCs w:val="21"/>
          <w:lang w:val="en-US" w:eastAsia="zh-CN"/>
        </w:rPr>
      </w:pPr>
    </w:p>
    <w:p>
      <w:pPr>
        <w:pStyle w:val="2"/>
        <w:rPr>
          <w:rFonts w:hint="eastAsia" w:ascii="宋体" w:hAnsi="宋体" w:eastAsia="宋体" w:cs="宋体"/>
          <w:bCs/>
          <w:sz w:val="21"/>
          <w:szCs w:val="21"/>
          <w:lang w:val="en-US" w:eastAsia="zh-CN"/>
        </w:rPr>
      </w:pPr>
    </w:p>
    <w:p>
      <w:pPr>
        <w:pStyle w:val="3"/>
        <w:rPr>
          <w:rFonts w:hint="eastAsia" w:ascii="宋体" w:hAnsi="宋体" w:eastAsia="宋体" w:cs="宋体"/>
          <w:bCs/>
          <w:sz w:val="21"/>
          <w:szCs w:val="21"/>
          <w:lang w:val="en-US" w:eastAsia="zh-CN"/>
        </w:rPr>
      </w:pPr>
    </w:p>
    <w:p>
      <w:pPr>
        <w:rPr>
          <w:rFonts w:hint="eastAsia" w:ascii="宋体" w:hAnsi="宋体" w:eastAsia="宋体" w:cs="宋体"/>
          <w:bCs/>
          <w:sz w:val="21"/>
          <w:szCs w:val="21"/>
          <w:lang w:val="en-US" w:eastAsia="zh-CN"/>
        </w:rPr>
      </w:pPr>
    </w:p>
    <w:p>
      <w:pPr>
        <w:pStyle w:val="2"/>
        <w:rPr>
          <w:rFonts w:hint="eastAsia" w:ascii="宋体" w:hAnsi="宋体" w:eastAsia="宋体" w:cs="宋体"/>
          <w:bCs/>
          <w:sz w:val="21"/>
          <w:szCs w:val="21"/>
          <w:lang w:val="en-US" w:eastAsia="zh-CN"/>
        </w:rPr>
      </w:pPr>
    </w:p>
    <w:p>
      <w:pPr>
        <w:pStyle w:val="3"/>
        <w:rPr>
          <w:rFonts w:hint="eastAsia" w:ascii="宋体" w:hAnsi="宋体" w:eastAsia="宋体" w:cs="宋体"/>
          <w:bCs/>
          <w:sz w:val="21"/>
          <w:szCs w:val="21"/>
          <w:lang w:val="en-US" w:eastAsia="zh-CN"/>
        </w:rPr>
      </w:pPr>
    </w:p>
    <w:p>
      <w:pPr>
        <w:rPr>
          <w:rFonts w:hint="eastAsia" w:ascii="宋体" w:hAnsi="宋体" w:eastAsia="宋体" w:cs="宋体"/>
          <w:bCs/>
          <w:sz w:val="21"/>
          <w:szCs w:val="21"/>
          <w:lang w:val="en-US" w:eastAsia="zh-CN"/>
        </w:rPr>
      </w:pPr>
    </w:p>
    <w:p>
      <w:pPr>
        <w:pStyle w:val="2"/>
        <w:rPr>
          <w:rFonts w:hint="eastAsia" w:ascii="宋体" w:hAnsi="宋体" w:eastAsia="宋体" w:cs="宋体"/>
          <w:bCs/>
          <w:sz w:val="21"/>
          <w:szCs w:val="21"/>
          <w:lang w:val="en-US" w:eastAsia="zh-CN"/>
        </w:rPr>
      </w:pPr>
    </w:p>
    <w:p>
      <w:pPr>
        <w:pStyle w:val="3"/>
        <w:rPr>
          <w:rFonts w:hint="eastAsia" w:ascii="宋体" w:hAnsi="宋体" w:eastAsia="宋体" w:cs="宋体"/>
          <w:bCs/>
          <w:sz w:val="21"/>
          <w:szCs w:val="21"/>
          <w:lang w:val="en-US" w:eastAsia="zh-CN"/>
        </w:rPr>
      </w:pPr>
    </w:p>
    <w:p>
      <w:pPr>
        <w:pStyle w:val="5"/>
        <w:rPr>
          <w:rFonts w:ascii="Times New Roman"/>
          <w:b w:val="0"/>
        </w:rPr>
      </w:pPr>
      <w:r>
        <w:rPr>
          <w:rFonts w:ascii="Times New Roman"/>
          <w:u w:val="none"/>
        </w:rPr>
        <w:t>附件2-8-2 CMA资质检测机构承诺书</w:t>
      </w:r>
    </w:p>
    <w:p>
      <w:pPr>
        <w:spacing w:line="400" w:lineRule="exact"/>
        <w:rPr>
          <w:b/>
        </w:rPr>
      </w:pPr>
    </w:p>
    <w:p>
      <w:pPr>
        <w:tabs>
          <w:tab w:val="left" w:pos="5100"/>
        </w:tabs>
        <w:spacing w:before="120" w:beforeLines="50" w:after="120" w:afterLines="50" w:line="360" w:lineRule="auto"/>
        <w:rPr>
          <w:sz w:val="24"/>
        </w:rPr>
      </w:pPr>
      <w:r>
        <w:rPr>
          <w:sz w:val="24"/>
        </w:rPr>
        <w:t>致：</w:t>
      </w:r>
      <w:r>
        <w:rPr>
          <w:sz w:val="24"/>
          <w:u w:val="single"/>
        </w:rPr>
        <w:t>采购人或采购代理机构</w:t>
      </w:r>
    </w:p>
    <w:p>
      <w:pPr>
        <w:spacing w:line="360" w:lineRule="auto"/>
        <w:ind w:firstLine="560"/>
        <w:contextualSpacing/>
        <w:rPr>
          <w:bCs/>
          <w:sz w:val="24"/>
        </w:rPr>
      </w:pPr>
      <w:r>
        <w:rPr>
          <w:bCs/>
          <w:sz w:val="24"/>
        </w:rPr>
        <w:t>如在贵单位组织的</w:t>
      </w:r>
      <w:r>
        <w:rPr>
          <w:rFonts w:hint="eastAsia"/>
          <w:bCs/>
          <w:sz w:val="24"/>
          <w:lang w:val="en-US" w:eastAsia="zh-CN"/>
        </w:rPr>
        <w:t>黑龙江省</w:t>
      </w:r>
      <w:r>
        <w:rPr>
          <w:bCs/>
          <w:sz w:val="24"/>
        </w:rPr>
        <w:t>地表水自动监测站运行维护服务项目中标，我单位根据招标文件要求作出如下承诺：</w:t>
      </w:r>
    </w:p>
    <w:p>
      <w:pPr>
        <w:spacing w:line="360" w:lineRule="auto"/>
        <w:ind w:firstLine="486" w:firstLineChars="200"/>
        <w:jc w:val="left"/>
        <w:rPr>
          <w:sz w:val="24"/>
        </w:rPr>
      </w:pPr>
      <w:r>
        <w:rPr>
          <w:sz w:val="24"/>
        </w:rPr>
        <w:t>（1）在所中包件</w:t>
      </w:r>
      <w:r>
        <w:rPr>
          <w:rFonts w:hint="eastAsia"/>
          <w:sz w:val="24"/>
        </w:rPr>
        <w:t>内</w:t>
      </w:r>
      <w:r>
        <w:rPr>
          <w:sz w:val="24"/>
        </w:rPr>
        <w:t>我单位</w:t>
      </w:r>
      <w:r>
        <w:rPr>
          <w:rFonts w:hint="eastAsia"/>
          <w:sz w:val="24"/>
        </w:rPr>
        <w:t>或我单位</w:t>
      </w:r>
      <w:r>
        <w:rPr>
          <w:sz w:val="24"/>
        </w:rPr>
        <w:t>直接持股超过50%</w:t>
      </w:r>
      <w:r>
        <w:rPr>
          <w:rFonts w:hint="eastAsia"/>
          <w:sz w:val="24"/>
        </w:rPr>
        <w:t>的公司应</w:t>
      </w:r>
      <w:r>
        <w:rPr>
          <w:sz w:val="24"/>
        </w:rPr>
        <w:t>具有CMA资质的检测机构</w:t>
      </w:r>
      <w:r>
        <w:rPr>
          <w:rFonts w:hint="eastAsia"/>
          <w:sz w:val="24"/>
        </w:rPr>
        <w:t>（</w:t>
      </w:r>
      <w:r>
        <w:rPr>
          <w:sz w:val="24"/>
        </w:rPr>
        <w:t>资质认定范围同时覆盖水温、pH值、溶解氧、电导率、（浑）浊度、氨氮、高锰酸盐指数、总氮、总磷9个参数</w:t>
      </w:r>
      <w:r>
        <w:rPr>
          <w:rFonts w:hint="eastAsia"/>
          <w:sz w:val="24"/>
        </w:rPr>
        <w:t>）</w:t>
      </w:r>
      <w:r>
        <w:rPr>
          <w:sz w:val="24"/>
        </w:rPr>
        <w:t>。</w:t>
      </w:r>
      <w:r>
        <w:rPr>
          <w:rFonts w:hint="eastAsia"/>
          <w:sz w:val="24"/>
        </w:rPr>
        <w:t>如无，</w:t>
      </w:r>
      <w:r>
        <w:rPr>
          <w:sz w:val="24"/>
        </w:rPr>
        <w:t>则我单位承诺中标后一年内在所中包件区域内</w:t>
      </w:r>
      <w:r>
        <w:rPr>
          <w:rFonts w:hint="eastAsia"/>
          <w:sz w:val="24"/>
        </w:rPr>
        <w:t>实现上述要求</w:t>
      </w:r>
      <w:r>
        <w:rPr>
          <w:sz w:val="24"/>
        </w:rPr>
        <w:t>。</w:t>
      </w:r>
    </w:p>
    <w:p>
      <w:pPr>
        <w:spacing w:line="440" w:lineRule="exact"/>
        <w:ind w:firstLine="486" w:firstLineChars="200"/>
        <w:rPr>
          <w:sz w:val="24"/>
        </w:rPr>
      </w:pPr>
      <w:r>
        <w:rPr>
          <w:sz w:val="24"/>
        </w:rPr>
        <w:t>（2）我单位承诺CMA检测机构服从</w:t>
      </w:r>
      <w:r>
        <w:rPr>
          <w:rFonts w:hint="eastAsia"/>
          <w:sz w:val="24"/>
        </w:rPr>
        <w:t>采购人</w:t>
      </w:r>
      <w:r>
        <w:rPr>
          <w:sz w:val="24"/>
        </w:rPr>
        <w:t>统一调度管理</w:t>
      </w:r>
      <w:r>
        <w:rPr>
          <w:rFonts w:hint="eastAsia"/>
          <w:sz w:val="24"/>
        </w:rPr>
        <w:t>，</w:t>
      </w:r>
      <w:r>
        <w:rPr>
          <w:sz w:val="24"/>
        </w:rPr>
        <w:t>承担水样比对、试剂和标准样品配制、应急监测、补充监测等工作。</w:t>
      </w:r>
    </w:p>
    <w:p>
      <w:pPr>
        <w:spacing w:line="440" w:lineRule="exact"/>
        <w:ind w:firstLine="486" w:firstLineChars="200"/>
        <w:rPr>
          <w:sz w:val="24"/>
        </w:rPr>
      </w:pPr>
      <w:r>
        <w:rPr>
          <w:sz w:val="24"/>
        </w:rPr>
        <w:t>如我单位中标后未能做到以上承诺，承担违约责任，和由此给项目带来的一切损失。</w:t>
      </w:r>
    </w:p>
    <w:p>
      <w:pPr>
        <w:spacing w:line="440" w:lineRule="exact"/>
        <w:ind w:firstLine="486" w:firstLineChars="200"/>
        <w:rPr>
          <w:sz w:val="24"/>
        </w:rPr>
      </w:pPr>
    </w:p>
    <w:p>
      <w:pPr>
        <w:spacing w:line="440" w:lineRule="exact"/>
        <w:ind w:firstLine="486" w:firstLineChars="200"/>
        <w:rPr>
          <w:sz w:val="24"/>
        </w:rPr>
      </w:pPr>
      <w:r>
        <w:rPr>
          <w:sz w:val="24"/>
        </w:rPr>
        <w:t>特此承诺。</w:t>
      </w:r>
    </w:p>
    <w:p>
      <w:pPr>
        <w:spacing w:line="440" w:lineRule="exact"/>
        <w:ind w:firstLine="486" w:firstLineChars="200"/>
        <w:rPr>
          <w:sz w:val="24"/>
        </w:rPr>
      </w:pPr>
    </w:p>
    <w:p>
      <w:pPr>
        <w:spacing w:line="440" w:lineRule="exact"/>
        <w:ind w:firstLine="486" w:firstLineChars="200"/>
        <w:rPr>
          <w:sz w:val="24"/>
        </w:rPr>
      </w:pPr>
      <w:r>
        <w:rPr>
          <w:sz w:val="24"/>
        </w:rPr>
        <w:t>投标人名称（加盖公章）：</w:t>
      </w:r>
    </w:p>
    <w:p>
      <w:pPr>
        <w:spacing w:line="440" w:lineRule="exact"/>
        <w:ind w:firstLine="486" w:firstLineChars="200"/>
        <w:rPr>
          <w:sz w:val="24"/>
        </w:rPr>
      </w:pPr>
      <w:r>
        <w:rPr>
          <w:sz w:val="24"/>
        </w:rPr>
        <w:t>日期：</w:t>
      </w:r>
    </w:p>
    <w:p>
      <w:pPr>
        <w:widowControl/>
        <w:jc w:val="left"/>
        <w:rPr>
          <w:sz w:val="24"/>
          <w:u w:val="single"/>
        </w:rPr>
      </w:pPr>
      <w:r>
        <w:rPr>
          <w:sz w:val="24"/>
          <w:u w:val="single"/>
        </w:rPr>
        <w:br w:type="page"/>
      </w:r>
    </w:p>
    <w:p>
      <w:pPr>
        <w:snapToGrid w:val="0"/>
        <w:spacing w:line="360" w:lineRule="auto"/>
        <w:outlineLvl w:val="1"/>
        <w:rPr>
          <w:sz w:val="24"/>
        </w:rPr>
      </w:pPr>
      <w:r>
        <w:rPr>
          <w:sz w:val="24"/>
        </w:rPr>
        <w:t>附件2-15-1 CMA资质检测机构</w:t>
      </w:r>
    </w:p>
    <w:p>
      <w:pPr>
        <w:widowControl/>
        <w:ind w:firstLine="243" w:firstLineChars="100"/>
        <w:jc w:val="left"/>
        <w:rPr>
          <w:sz w:val="24"/>
        </w:rPr>
      </w:pPr>
      <w:r>
        <w:rPr>
          <w:sz w:val="24"/>
        </w:rPr>
        <w:t xml:space="preserve"> </w:t>
      </w:r>
      <w:r>
        <w:rPr>
          <w:sz w:val="24"/>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4"/>
        <w:gridCol w:w="1628"/>
        <w:gridCol w:w="1333"/>
        <w:gridCol w:w="1184"/>
        <w:gridCol w:w="1483"/>
        <w:gridCol w:w="1094"/>
        <w:gridCol w:w="1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433" w:type="pct"/>
            <w:vAlign w:val="center"/>
          </w:tcPr>
          <w:p>
            <w:pPr>
              <w:spacing w:line="360" w:lineRule="auto"/>
              <w:jc w:val="center"/>
              <w:rPr>
                <w:b/>
                <w:bCs/>
                <w:szCs w:val="21"/>
              </w:rPr>
            </w:pPr>
            <w:r>
              <w:rPr>
                <w:b/>
                <w:bCs/>
                <w:szCs w:val="21"/>
              </w:rPr>
              <w:t>序号</w:t>
            </w:r>
          </w:p>
        </w:tc>
        <w:tc>
          <w:tcPr>
            <w:tcW w:w="866" w:type="pct"/>
            <w:vAlign w:val="center"/>
          </w:tcPr>
          <w:p>
            <w:pPr>
              <w:spacing w:line="360" w:lineRule="auto"/>
              <w:jc w:val="center"/>
              <w:rPr>
                <w:b/>
                <w:bCs/>
                <w:szCs w:val="21"/>
              </w:rPr>
            </w:pPr>
            <w:r>
              <w:rPr>
                <w:b/>
                <w:bCs/>
                <w:szCs w:val="21"/>
              </w:rPr>
              <w:t>检测机构名称</w:t>
            </w:r>
          </w:p>
        </w:tc>
        <w:tc>
          <w:tcPr>
            <w:tcW w:w="709" w:type="pct"/>
            <w:vAlign w:val="center"/>
          </w:tcPr>
          <w:p>
            <w:pPr>
              <w:spacing w:line="360" w:lineRule="auto"/>
              <w:jc w:val="center"/>
              <w:rPr>
                <w:b/>
                <w:bCs/>
                <w:szCs w:val="21"/>
              </w:rPr>
            </w:pPr>
            <w:r>
              <w:rPr>
                <w:b/>
                <w:bCs/>
                <w:szCs w:val="21"/>
              </w:rPr>
              <w:t>检测机构地址</w:t>
            </w:r>
          </w:p>
        </w:tc>
        <w:tc>
          <w:tcPr>
            <w:tcW w:w="630" w:type="pct"/>
            <w:vAlign w:val="center"/>
          </w:tcPr>
          <w:p>
            <w:pPr>
              <w:spacing w:line="360" w:lineRule="auto"/>
              <w:jc w:val="center"/>
              <w:rPr>
                <w:b/>
                <w:bCs/>
                <w:szCs w:val="21"/>
              </w:rPr>
            </w:pPr>
            <w:r>
              <w:rPr>
                <w:b/>
                <w:bCs/>
                <w:szCs w:val="21"/>
              </w:rPr>
              <w:t>资质认定范围</w:t>
            </w:r>
          </w:p>
        </w:tc>
        <w:tc>
          <w:tcPr>
            <w:tcW w:w="789" w:type="pct"/>
            <w:vAlign w:val="center"/>
          </w:tcPr>
          <w:p>
            <w:pPr>
              <w:spacing w:line="360" w:lineRule="auto"/>
              <w:jc w:val="center"/>
              <w:rPr>
                <w:b/>
                <w:bCs/>
                <w:szCs w:val="21"/>
              </w:rPr>
            </w:pPr>
            <w:r>
              <w:rPr>
                <w:b/>
                <w:bCs/>
                <w:szCs w:val="21"/>
              </w:rPr>
              <w:t>是否有</w:t>
            </w:r>
            <w:r>
              <w:rPr>
                <w:szCs w:val="21"/>
              </w:rPr>
              <w:t>LIMS</w:t>
            </w:r>
            <w:r>
              <w:rPr>
                <w:b/>
                <w:bCs/>
                <w:szCs w:val="21"/>
              </w:rPr>
              <w:t>系统</w:t>
            </w:r>
          </w:p>
        </w:tc>
        <w:tc>
          <w:tcPr>
            <w:tcW w:w="582" w:type="pct"/>
            <w:vAlign w:val="center"/>
          </w:tcPr>
          <w:p>
            <w:pPr>
              <w:spacing w:line="360" w:lineRule="auto"/>
              <w:jc w:val="center"/>
              <w:rPr>
                <w:b/>
                <w:bCs/>
                <w:szCs w:val="21"/>
              </w:rPr>
            </w:pPr>
            <w:r>
              <w:rPr>
                <w:b/>
                <w:bCs/>
                <w:szCs w:val="21"/>
              </w:rPr>
              <w:t>来源</w:t>
            </w:r>
          </w:p>
        </w:tc>
        <w:tc>
          <w:tcPr>
            <w:tcW w:w="992" w:type="pct"/>
            <w:vAlign w:val="center"/>
          </w:tcPr>
          <w:p>
            <w:pPr>
              <w:spacing w:line="360" w:lineRule="auto"/>
              <w:jc w:val="center"/>
              <w:rPr>
                <w:b/>
                <w:bCs/>
                <w:szCs w:val="21"/>
              </w:rPr>
            </w:pPr>
            <w:r>
              <w:rPr>
                <w:b/>
                <w:bCs/>
                <w:szCs w:val="21"/>
              </w:rPr>
              <w:t>证明材料对应页码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433" w:type="pct"/>
            <w:vAlign w:val="center"/>
          </w:tcPr>
          <w:p>
            <w:pPr>
              <w:adjustRightInd w:val="0"/>
              <w:snapToGrid w:val="0"/>
              <w:spacing w:line="300" w:lineRule="auto"/>
              <w:jc w:val="center"/>
              <w:rPr>
                <w:bCs/>
                <w:szCs w:val="21"/>
              </w:rPr>
            </w:pPr>
            <w:r>
              <w:rPr>
                <w:bCs/>
                <w:szCs w:val="21"/>
              </w:rPr>
              <w:t>1</w:t>
            </w:r>
          </w:p>
        </w:tc>
        <w:tc>
          <w:tcPr>
            <w:tcW w:w="866" w:type="pct"/>
            <w:vAlign w:val="center"/>
          </w:tcPr>
          <w:p>
            <w:pPr>
              <w:adjustRightInd w:val="0"/>
              <w:snapToGrid w:val="0"/>
              <w:spacing w:line="300" w:lineRule="auto"/>
              <w:jc w:val="center"/>
              <w:rPr>
                <w:bCs/>
                <w:szCs w:val="21"/>
              </w:rPr>
            </w:pPr>
          </w:p>
        </w:tc>
        <w:tc>
          <w:tcPr>
            <w:tcW w:w="709" w:type="pct"/>
            <w:vAlign w:val="center"/>
          </w:tcPr>
          <w:p>
            <w:pPr>
              <w:adjustRightInd w:val="0"/>
              <w:snapToGrid w:val="0"/>
              <w:spacing w:line="300" w:lineRule="auto"/>
              <w:jc w:val="center"/>
              <w:rPr>
                <w:bCs/>
                <w:szCs w:val="21"/>
              </w:rPr>
            </w:pPr>
          </w:p>
        </w:tc>
        <w:tc>
          <w:tcPr>
            <w:tcW w:w="630" w:type="pct"/>
            <w:vAlign w:val="center"/>
          </w:tcPr>
          <w:p>
            <w:pPr>
              <w:adjustRightInd w:val="0"/>
              <w:snapToGrid w:val="0"/>
              <w:spacing w:line="300" w:lineRule="auto"/>
              <w:jc w:val="center"/>
              <w:rPr>
                <w:bCs/>
                <w:szCs w:val="21"/>
              </w:rPr>
            </w:pPr>
          </w:p>
        </w:tc>
        <w:tc>
          <w:tcPr>
            <w:tcW w:w="789" w:type="pct"/>
            <w:vAlign w:val="center"/>
          </w:tcPr>
          <w:p>
            <w:pPr>
              <w:adjustRightInd w:val="0"/>
              <w:snapToGrid w:val="0"/>
              <w:spacing w:line="300" w:lineRule="auto"/>
              <w:jc w:val="center"/>
              <w:rPr>
                <w:bCs/>
                <w:szCs w:val="21"/>
              </w:rPr>
            </w:pPr>
          </w:p>
        </w:tc>
        <w:tc>
          <w:tcPr>
            <w:tcW w:w="582" w:type="pct"/>
            <w:vAlign w:val="center"/>
          </w:tcPr>
          <w:p>
            <w:pPr>
              <w:adjustRightInd w:val="0"/>
              <w:snapToGrid w:val="0"/>
              <w:spacing w:line="300" w:lineRule="auto"/>
              <w:jc w:val="center"/>
              <w:rPr>
                <w:bCs/>
                <w:szCs w:val="21"/>
              </w:rPr>
            </w:pPr>
          </w:p>
        </w:tc>
        <w:tc>
          <w:tcPr>
            <w:tcW w:w="992" w:type="pct"/>
            <w:vAlign w:val="center"/>
          </w:tcPr>
          <w:p>
            <w:pPr>
              <w:adjustRightInd w:val="0"/>
              <w:snapToGrid w:val="0"/>
              <w:spacing w:line="300" w:lineRule="auto"/>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433" w:type="pct"/>
            <w:vAlign w:val="center"/>
          </w:tcPr>
          <w:p>
            <w:pPr>
              <w:adjustRightInd w:val="0"/>
              <w:snapToGrid w:val="0"/>
              <w:spacing w:line="300" w:lineRule="auto"/>
              <w:jc w:val="center"/>
              <w:rPr>
                <w:bCs/>
                <w:szCs w:val="21"/>
              </w:rPr>
            </w:pPr>
            <w:r>
              <w:rPr>
                <w:bCs/>
                <w:szCs w:val="21"/>
              </w:rPr>
              <w:t>2</w:t>
            </w:r>
          </w:p>
        </w:tc>
        <w:tc>
          <w:tcPr>
            <w:tcW w:w="866" w:type="pct"/>
            <w:vAlign w:val="center"/>
          </w:tcPr>
          <w:p>
            <w:pPr>
              <w:adjustRightInd w:val="0"/>
              <w:snapToGrid w:val="0"/>
              <w:spacing w:line="300" w:lineRule="auto"/>
              <w:jc w:val="center"/>
              <w:rPr>
                <w:bCs/>
                <w:szCs w:val="21"/>
              </w:rPr>
            </w:pPr>
          </w:p>
        </w:tc>
        <w:tc>
          <w:tcPr>
            <w:tcW w:w="709" w:type="pct"/>
            <w:vAlign w:val="center"/>
          </w:tcPr>
          <w:p>
            <w:pPr>
              <w:adjustRightInd w:val="0"/>
              <w:snapToGrid w:val="0"/>
              <w:spacing w:line="300" w:lineRule="auto"/>
              <w:jc w:val="center"/>
              <w:rPr>
                <w:bCs/>
                <w:szCs w:val="21"/>
              </w:rPr>
            </w:pPr>
          </w:p>
        </w:tc>
        <w:tc>
          <w:tcPr>
            <w:tcW w:w="630" w:type="pct"/>
            <w:vAlign w:val="center"/>
          </w:tcPr>
          <w:p>
            <w:pPr>
              <w:adjustRightInd w:val="0"/>
              <w:snapToGrid w:val="0"/>
              <w:spacing w:line="300" w:lineRule="auto"/>
              <w:jc w:val="center"/>
              <w:rPr>
                <w:bCs/>
                <w:szCs w:val="21"/>
              </w:rPr>
            </w:pPr>
          </w:p>
        </w:tc>
        <w:tc>
          <w:tcPr>
            <w:tcW w:w="789" w:type="pct"/>
            <w:vAlign w:val="center"/>
          </w:tcPr>
          <w:p>
            <w:pPr>
              <w:adjustRightInd w:val="0"/>
              <w:snapToGrid w:val="0"/>
              <w:spacing w:line="300" w:lineRule="auto"/>
              <w:jc w:val="center"/>
              <w:rPr>
                <w:bCs/>
                <w:szCs w:val="21"/>
              </w:rPr>
            </w:pPr>
          </w:p>
        </w:tc>
        <w:tc>
          <w:tcPr>
            <w:tcW w:w="582" w:type="pct"/>
            <w:vAlign w:val="center"/>
          </w:tcPr>
          <w:p>
            <w:pPr>
              <w:adjustRightInd w:val="0"/>
              <w:snapToGrid w:val="0"/>
              <w:spacing w:line="300" w:lineRule="auto"/>
              <w:jc w:val="center"/>
              <w:rPr>
                <w:bCs/>
                <w:szCs w:val="21"/>
              </w:rPr>
            </w:pPr>
          </w:p>
        </w:tc>
        <w:tc>
          <w:tcPr>
            <w:tcW w:w="992" w:type="pct"/>
            <w:vAlign w:val="center"/>
          </w:tcPr>
          <w:p>
            <w:pPr>
              <w:adjustRightInd w:val="0"/>
              <w:snapToGrid w:val="0"/>
              <w:spacing w:line="300" w:lineRule="auto"/>
              <w:jc w:val="center"/>
              <w:rPr>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433" w:type="pct"/>
            <w:vAlign w:val="center"/>
          </w:tcPr>
          <w:p>
            <w:pPr>
              <w:adjustRightInd w:val="0"/>
              <w:snapToGrid w:val="0"/>
              <w:spacing w:line="300" w:lineRule="auto"/>
              <w:jc w:val="center"/>
              <w:rPr>
                <w:bCs/>
                <w:szCs w:val="21"/>
              </w:rPr>
            </w:pPr>
            <w:r>
              <w:rPr>
                <w:bCs/>
                <w:szCs w:val="21"/>
              </w:rPr>
              <w:t>3</w:t>
            </w:r>
          </w:p>
        </w:tc>
        <w:tc>
          <w:tcPr>
            <w:tcW w:w="866" w:type="pct"/>
            <w:vAlign w:val="center"/>
          </w:tcPr>
          <w:p>
            <w:pPr>
              <w:adjustRightInd w:val="0"/>
              <w:snapToGrid w:val="0"/>
              <w:spacing w:line="300" w:lineRule="auto"/>
              <w:rPr>
                <w:bCs/>
                <w:szCs w:val="21"/>
              </w:rPr>
            </w:pPr>
          </w:p>
        </w:tc>
        <w:tc>
          <w:tcPr>
            <w:tcW w:w="709" w:type="pct"/>
            <w:vAlign w:val="center"/>
          </w:tcPr>
          <w:p>
            <w:pPr>
              <w:adjustRightInd w:val="0"/>
              <w:snapToGrid w:val="0"/>
              <w:spacing w:line="300" w:lineRule="auto"/>
              <w:jc w:val="center"/>
              <w:rPr>
                <w:bCs/>
                <w:szCs w:val="21"/>
              </w:rPr>
            </w:pPr>
          </w:p>
        </w:tc>
        <w:tc>
          <w:tcPr>
            <w:tcW w:w="630" w:type="pct"/>
            <w:vAlign w:val="center"/>
          </w:tcPr>
          <w:p>
            <w:pPr>
              <w:adjustRightInd w:val="0"/>
              <w:snapToGrid w:val="0"/>
              <w:spacing w:line="300" w:lineRule="auto"/>
              <w:jc w:val="center"/>
              <w:rPr>
                <w:bCs/>
                <w:szCs w:val="21"/>
              </w:rPr>
            </w:pPr>
          </w:p>
        </w:tc>
        <w:tc>
          <w:tcPr>
            <w:tcW w:w="789" w:type="pct"/>
            <w:vAlign w:val="center"/>
          </w:tcPr>
          <w:p>
            <w:pPr>
              <w:adjustRightInd w:val="0"/>
              <w:snapToGrid w:val="0"/>
              <w:spacing w:line="300" w:lineRule="auto"/>
              <w:jc w:val="center"/>
              <w:rPr>
                <w:bCs/>
                <w:szCs w:val="21"/>
              </w:rPr>
            </w:pPr>
          </w:p>
        </w:tc>
        <w:tc>
          <w:tcPr>
            <w:tcW w:w="582" w:type="pct"/>
            <w:vAlign w:val="center"/>
          </w:tcPr>
          <w:p>
            <w:pPr>
              <w:adjustRightInd w:val="0"/>
              <w:snapToGrid w:val="0"/>
              <w:spacing w:line="300" w:lineRule="auto"/>
              <w:jc w:val="center"/>
              <w:rPr>
                <w:bCs/>
                <w:szCs w:val="21"/>
              </w:rPr>
            </w:pPr>
          </w:p>
        </w:tc>
        <w:tc>
          <w:tcPr>
            <w:tcW w:w="992" w:type="pct"/>
            <w:vAlign w:val="center"/>
          </w:tcPr>
          <w:p>
            <w:pPr>
              <w:adjustRightInd w:val="0"/>
              <w:snapToGrid w:val="0"/>
              <w:spacing w:line="300" w:lineRule="auto"/>
              <w:jc w:val="center"/>
              <w:rPr>
                <w:bCs/>
                <w:color w:val="FF0000"/>
                <w:szCs w:val="21"/>
              </w:rPr>
            </w:pPr>
          </w:p>
        </w:tc>
      </w:tr>
    </w:tbl>
    <w:p>
      <w:pPr>
        <w:widowControl/>
        <w:jc w:val="left"/>
        <w:rPr>
          <w:kern w:val="0"/>
          <w:sz w:val="24"/>
        </w:rPr>
      </w:pPr>
    </w:p>
    <w:p>
      <w:pPr>
        <w:widowControl/>
        <w:spacing w:line="360" w:lineRule="auto"/>
        <w:jc w:val="left"/>
        <w:rPr>
          <w:kern w:val="0"/>
          <w:sz w:val="24"/>
        </w:rPr>
      </w:pPr>
      <w:r>
        <w:rPr>
          <w:kern w:val="0"/>
          <w:sz w:val="24"/>
        </w:rPr>
        <w:t>注：</w:t>
      </w:r>
    </w:p>
    <w:p>
      <w:pPr>
        <w:widowControl/>
        <w:tabs>
          <w:tab w:val="left" w:pos="1163"/>
        </w:tabs>
        <w:jc w:val="left"/>
        <w:rPr>
          <w:kern w:val="0"/>
          <w:sz w:val="24"/>
        </w:rPr>
      </w:pPr>
      <w:r>
        <w:rPr>
          <w:kern w:val="0"/>
          <w:sz w:val="24"/>
        </w:rPr>
        <w:t>1. 投标人参与多包项目投标时，可将其全国范围内满足招标文件要求的具有</w:t>
      </w:r>
      <w:r>
        <w:rPr>
          <w:sz w:val="24"/>
          <w:szCs w:val="22"/>
        </w:rPr>
        <w:t>CMA检测资质的检测机构列汇总在一张表格中；不需按包分别提交。</w:t>
      </w:r>
    </w:p>
    <w:p>
      <w:pPr>
        <w:tabs>
          <w:tab w:val="left" w:pos="1163"/>
        </w:tabs>
        <w:rPr>
          <w:sz w:val="24"/>
          <w:szCs w:val="20"/>
        </w:rPr>
      </w:pPr>
      <w:r>
        <w:rPr>
          <w:bCs/>
          <w:sz w:val="24"/>
          <w:szCs w:val="20"/>
        </w:rPr>
        <w:t>2.“来源”</w:t>
      </w:r>
      <w:r>
        <w:rPr>
          <w:sz w:val="24"/>
        </w:rPr>
        <w:t>一列填写“自有”或 “直接持股”，如为</w:t>
      </w:r>
      <w:r>
        <w:rPr>
          <w:sz w:val="24"/>
          <w:szCs w:val="22"/>
        </w:rPr>
        <w:t>直接</w:t>
      </w:r>
      <w:r>
        <w:rPr>
          <w:sz w:val="24"/>
        </w:rPr>
        <w:t>持股的检测机构，须同时提供持股证明文件。</w:t>
      </w:r>
    </w:p>
    <w:p>
      <w:pPr>
        <w:widowControl/>
        <w:tabs>
          <w:tab w:val="left" w:pos="1163"/>
        </w:tabs>
        <w:jc w:val="left"/>
        <w:rPr>
          <w:b/>
          <w:kern w:val="0"/>
          <w:sz w:val="24"/>
        </w:rPr>
      </w:pPr>
      <w:r>
        <w:rPr>
          <w:kern w:val="0"/>
          <w:sz w:val="24"/>
        </w:rPr>
        <w:t>3.“</w:t>
      </w:r>
      <w:r>
        <w:rPr>
          <w:sz w:val="24"/>
        </w:rPr>
        <w:t>资质认定范围</w:t>
      </w:r>
      <w:r>
        <w:rPr>
          <w:kern w:val="0"/>
          <w:sz w:val="24"/>
        </w:rPr>
        <w:t>”列</w:t>
      </w:r>
      <w:r>
        <w:rPr>
          <w:b/>
          <w:kern w:val="0"/>
          <w:sz w:val="24"/>
          <w:em w:val="dot"/>
        </w:rPr>
        <w:t>仅需</w:t>
      </w:r>
      <w:r>
        <w:rPr>
          <w:kern w:val="0"/>
          <w:sz w:val="24"/>
        </w:rPr>
        <w:t>填写下述内容“</w:t>
      </w:r>
      <w:r>
        <w:rPr>
          <w:bCs/>
          <w:sz w:val="24"/>
        </w:rPr>
        <w:t>水温、pH值、溶解氧、电导率、(浑)浊度、</w:t>
      </w:r>
      <w:r>
        <w:rPr>
          <w:sz w:val="24"/>
          <w:szCs w:val="22"/>
        </w:rPr>
        <w:t>氨氮、高锰酸盐指数、总氮、总磷</w:t>
      </w:r>
      <w:r>
        <w:rPr>
          <w:kern w:val="0"/>
          <w:sz w:val="24"/>
        </w:rPr>
        <w:t>”，</w:t>
      </w:r>
      <w:r>
        <w:rPr>
          <w:b/>
          <w:kern w:val="0"/>
          <w:sz w:val="24"/>
          <w:em w:val="dot"/>
        </w:rPr>
        <w:t>不得填写上述项以外内容</w:t>
      </w:r>
      <w:r>
        <w:rPr>
          <w:b/>
          <w:kern w:val="0"/>
          <w:sz w:val="24"/>
        </w:rPr>
        <w:t>。</w:t>
      </w:r>
    </w:p>
    <w:p>
      <w:pPr>
        <w:widowControl/>
        <w:tabs>
          <w:tab w:val="left" w:pos="1163"/>
        </w:tabs>
        <w:jc w:val="left"/>
      </w:pPr>
      <w:r>
        <w:rPr>
          <w:kern w:val="0"/>
          <w:sz w:val="24"/>
        </w:rPr>
        <w:t>4. 同时提供</w:t>
      </w:r>
      <w:r>
        <w:rPr>
          <w:sz w:val="24"/>
        </w:rPr>
        <w:t>CMA资质证书及含有上述检测项目附表的复印件。</w:t>
      </w:r>
    </w:p>
    <w:p>
      <w:pPr>
        <w:rPr>
          <w:rFonts w:hint="eastAsia"/>
          <w:lang w:val="en-US" w:eastAsia="zh-CN"/>
        </w:rPr>
      </w:pPr>
    </w:p>
    <w:sectPr>
      <w:footerReference r:id="rId3" w:type="default"/>
      <w:pgSz w:w="11906" w:h="16838"/>
      <w:pgMar w:top="1587" w:right="1361" w:bottom="1757" w:left="1361" w:header="851" w:footer="992" w:gutter="0"/>
      <w:cols w:space="720" w:num="1"/>
      <w:docGrid w:type="linesAndChars" w:linePitch="316"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73</w:t>
    </w:r>
    <w:r>
      <w:fldChar w:fldCharType="end"/>
    </w:r>
  </w:p>
  <w:p>
    <w:pPr>
      <w:pStyle w:val="8"/>
      <w:wordWrap w:val="0"/>
      <w:ind w:right="54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1E9B"/>
    <w:rsid w:val="013278D6"/>
    <w:rsid w:val="020A2568"/>
    <w:rsid w:val="0363632F"/>
    <w:rsid w:val="036F3189"/>
    <w:rsid w:val="03F92D50"/>
    <w:rsid w:val="048C55F4"/>
    <w:rsid w:val="0B7576AD"/>
    <w:rsid w:val="0C4C3050"/>
    <w:rsid w:val="0C733D2C"/>
    <w:rsid w:val="0C923886"/>
    <w:rsid w:val="0CAF4438"/>
    <w:rsid w:val="0D1150F2"/>
    <w:rsid w:val="0DEA1A61"/>
    <w:rsid w:val="0E76520D"/>
    <w:rsid w:val="0FCF7A31"/>
    <w:rsid w:val="0FE16FFE"/>
    <w:rsid w:val="10105974"/>
    <w:rsid w:val="10EE4F23"/>
    <w:rsid w:val="13201BEB"/>
    <w:rsid w:val="14EE6CCB"/>
    <w:rsid w:val="15040D24"/>
    <w:rsid w:val="15ED4D9B"/>
    <w:rsid w:val="1CAE0ADE"/>
    <w:rsid w:val="1E4F64F2"/>
    <w:rsid w:val="1EAE4D56"/>
    <w:rsid w:val="1F8B4890"/>
    <w:rsid w:val="21816AAD"/>
    <w:rsid w:val="244D7DEA"/>
    <w:rsid w:val="24C543A1"/>
    <w:rsid w:val="264F6618"/>
    <w:rsid w:val="26B410C9"/>
    <w:rsid w:val="27BF604C"/>
    <w:rsid w:val="27E15995"/>
    <w:rsid w:val="29CF12DE"/>
    <w:rsid w:val="2A732237"/>
    <w:rsid w:val="2BAA158A"/>
    <w:rsid w:val="2DD13DB6"/>
    <w:rsid w:val="323743EB"/>
    <w:rsid w:val="3295022D"/>
    <w:rsid w:val="32955444"/>
    <w:rsid w:val="338C48AF"/>
    <w:rsid w:val="359F0FF0"/>
    <w:rsid w:val="3B8C57C0"/>
    <w:rsid w:val="3F367F1D"/>
    <w:rsid w:val="3F446D46"/>
    <w:rsid w:val="3F7E1A13"/>
    <w:rsid w:val="41F9765E"/>
    <w:rsid w:val="42BF647C"/>
    <w:rsid w:val="43737AD8"/>
    <w:rsid w:val="43F3462F"/>
    <w:rsid w:val="44FC536A"/>
    <w:rsid w:val="45003C01"/>
    <w:rsid w:val="45E701C3"/>
    <w:rsid w:val="494E704D"/>
    <w:rsid w:val="49A52B7F"/>
    <w:rsid w:val="4CAC3F72"/>
    <w:rsid w:val="4D113BBA"/>
    <w:rsid w:val="4D2D5263"/>
    <w:rsid w:val="4D493511"/>
    <w:rsid w:val="4D5D0D6B"/>
    <w:rsid w:val="505E72D4"/>
    <w:rsid w:val="507B60D8"/>
    <w:rsid w:val="5165232C"/>
    <w:rsid w:val="51BB7C54"/>
    <w:rsid w:val="52BB6BD7"/>
    <w:rsid w:val="53877B4E"/>
    <w:rsid w:val="53921158"/>
    <w:rsid w:val="543615E4"/>
    <w:rsid w:val="54D33F2E"/>
    <w:rsid w:val="556C5FEF"/>
    <w:rsid w:val="55AF2380"/>
    <w:rsid w:val="56854491"/>
    <w:rsid w:val="568C590E"/>
    <w:rsid w:val="56B90B6D"/>
    <w:rsid w:val="5D327B1E"/>
    <w:rsid w:val="5D4E56EE"/>
    <w:rsid w:val="5E243E12"/>
    <w:rsid w:val="5EDA046D"/>
    <w:rsid w:val="606F72DB"/>
    <w:rsid w:val="60E76E71"/>
    <w:rsid w:val="640D6BEF"/>
    <w:rsid w:val="6481138B"/>
    <w:rsid w:val="657E62FE"/>
    <w:rsid w:val="6AC926E2"/>
    <w:rsid w:val="6C2076DB"/>
    <w:rsid w:val="6FAF388F"/>
    <w:rsid w:val="702A0B29"/>
    <w:rsid w:val="70EE4C92"/>
    <w:rsid w:val="715E6CDC"/>
    <w:rsid w:val="728960C8"/>
    <w:rsid w:val="73AD6BA3"/>
    <w:rsid w:val="75492A43"/>
    <w:rsid w:val="760065B4"/>
    <w:rsid w:val="7612539C"/>
    <w:rsid w:val="77434C0A"/>
    <w:rsid w:val="786170B2"/>
    <w:rsid w:val="78EF4B6B"/>
    <w:rsid w:val="7E3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paragraph" w:styleId="5">
    <w:name w:val="heading 3"/>
    <w:basedOn w:val="1"/>
    <w:next w:val="6"/>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pacing w:line="360" w:lineRule="atLeast"/>
      <w:jc w:val="center"/>
      <w:textAlignment w:val="baseline"/>
    </w:pPr>
    <w:rPr>
      <w:kern w:val="0"/>
      <w:sz w:val="24"/>
      <w:szCs w:val="20"/>
    </w:rPr>
  </w:style>
  <w:style w:type="paragraph" w:styleId="3">
    <w:name w:val="toc 2"/>
    <w:basedOn w:val="1"/>
    <w:next w:val="1"/>
    <w:qFormat/>
    <w:uiPriority w:val="39"/>
    <w:pPr>
      <w:ind w:left="420" w:leftChars="200"/>
    </w:pPr>
  </w:style>
  <w:style w:type="paragraph" w:styleId="6">
    <w:name w:val="Normal Indent"/>
    <w:basedOn w:val="1"/>
    <w:qFormat/>
    <w:uiPriority w:val="0"/>
    <w:pPr>
      <w:autoSpaceDE w:val="0"/>
      <w:autoSpaceDN w:val="0"/>
      <w:adjustRightInd w:val="0"/>
      <w:ind w:firstLine="420"/>
      <w:jc w:val="left"/>
    </w:pPr>
    <w:rPr>
      <w:rFonts w:ascii="宋体"/>
      <w:sz w:val="24"/>
    </w:rPr>
  </w:style>
  <w:style w:type="paragraph" w:styleId="7">
    <w:name w:val="Plain Text"/>
    <w:basedOn w:val="1"/>
    <w:qFormat/>
    <w:uiPriority w:val="0"/>
    <w:rPr>
      <w:rFonts w:ascii="宋体" w:hAnsi="Courier New"/>
    </w:rPr>
  </w:style>
  <w:style w:type="paragraph" w:styleId="8">
    <w:name w:val="footer"/>
    <w:basedOn w:val="1"/>
    <w:qFormat/>
    <w:uiPriority w:val="99"/>
    <w:pPr>
      <w:tabs>
        <w:tab w:val="center" w:pos="4153"/>
        <w:tab w:val="right" w:pos="8306"/>
      </w:tabs>
      <w:snapToGrid w:val="0"/>
      <w:jc w:val="left"/>
    </w:pPr>
    <w:rPr>
      <w:sz w:val="18"/>
    </w:rPr>
  </w:style>
  <w:style w:type="paragraph" w:styleId="9">
    <w:name w:val="Body Text First Indent"/>
    <w:basedOn w:val="2"/>
    <w:qFormat/>
    <w:uiPriority w:val="0"/>
    <w:pPr>
      <w:tabs>
        <w:tab w:val="left" w:pos="180"/>
      </w:tabs>
      <w:ind w:firstLine="420" w:firstLineChars="100"/>
    </w:pPr>
  </w:style>
  <w:style w:type="table" w:styleId="11">
    <w:name w:val="Table Grid"/>
    <w:basedOn w:val="10"/>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Hyperlink"/>
    <w:basedOn w:val="12"/>
    <w:qFormat/>
    <w:uiPriority w:val="0"/>
    <w:rPr>
      <w:color w:val="0000FF"/>
      <w:u w:val="single"/>
    </w:rPr>
  </w:style>
  <w:style w:type="paragraph" w:customStyle="1" w:styleId="15">
    <w:name w:val="BodyText1I2"/>
    <w:basedOn w:val="1"/>
    <w:next w:val="16"/>
    <w:qFormat/>
    <w:uiPriority w:val="0"/>
    <w:pPr>
      <w:spacing w:after="120" w:line="276" w:lineRule="auto"/>
      <w:ind w:left="420" w:leftChars="200"/>
      <w:jc w:val="left"/>
      <w:textAlignment w:val="baseline"/>
    </w:pPr>
    <w:rPr>
      <w:rFonts w:ascii="Calibri" w:hAnsi="Calibri" w:eastAsia="宋体"/>
      <w:kern w:val="0"/>
      <w:sz w:val="22"/>
      <w:szCs w:val="22"/>
      <w:lang w:val="en-US" w:eastAsia="en-US" w:bidi="ar-SA"/>
    </w:rPr>
  </w:style>
  <w:style w:type="paragraph" w:customStyle="1" w:styleId="16">
    <w:name w:val="BodyText"/>
    <w:basedOn w:val="1"/>
    <w:qFormat/>
    <w:uiPriority w:val="0"/>
    <w:pPr>
      <w:textAlignment w:val="baseline"/>
    </w:pPr>
    <w:rPr>
      <w:rFonts w:ascii="宋体" w:hAnsi="宋体" w:eastAsia="宋体"/>
      <w:kern w:val="0"/>
      <w:sz w:val="21"/>
      <w:szCs w:val="21"/>
      <w:lang w:val="en-US" w:eastAsia="en-US" w:bidi="ar-SA"/>
    </w:rPr>
  </w:style>
  <w:style w:type="paragraph" w:customStyle="1" w:styleId="17">
    <w:name w:val="p0"/>
    <w:basedOn w:val="1"/>
    <w:qFormat/>
    <w:uiPriority w:val="0"/>
    <w:pPr>
      <w:widowControl/>
    </w:pPr>
    <w:rPr>
      <w:kern w:val="0"/>
      <w:szCs w:val="21"/>
    </w:rPr>
  </w:style>
  <w:style w:type="paragraph" w:styleId="18">
    <w:name w:val="List Paragraph"/>
    <w:basedOn w:val="1"/>
    <w:qFormat/>
    <w:uiPriority w:val="1"/>
    <w:pPr>
      <w:ind w:left="798" w:hanging="567"/>
    </w:pPr>
    <w:rPr>
      <w:rFonts w:ascii="微软雅黑" w:hAnsi="微软雅黑" w:eastAsia="微软雅黑" w:cs="微软雅黑"/>
      <w:lang w:val="zh-CN" w:eastAsia="zh-CN" w:bidi="zh-CN"/>
    </w:rPr>
  </w:style>
  <w:style w:type="paragraph" w:customStyle="1" w:styleId="19">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2022-03-10T06:58:37Z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0A6BF572EADD49FF87CE43A10974756B</vt:lpwstr>
  </property>
</Properties>
</file>