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主要材料要求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tbl>
      <w:tblPr>
        <w:tblStyle w:val="3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705"/>
        <w:gridCol w:w="193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序号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主要材料名称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规格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型号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CN"/>
              </w:rPr>
              <w:t>室内墙面粉刷主材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无甲醛、无毒无味、达到国家环保标准。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无机干粉内墙涂料（油墙裙主材）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基层处理剂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采用无醛渗透型乳液，可以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封闭浮灰、固化基层，在光滑致密的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油漆表面具有优异的附着力，同时可以加强与后道无机干粉界面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砂浆的粘合力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无机干粉内墙涂料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（油墙裙主材）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无机干粉界面砂浆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采用水泥基无机胶凝体系的干粉界面砂浆，在光滑致密表面具有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优异的墙体粘结强度和结构强度，能提高与后道腻子层的结合力，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并作为墙面的快速粗找平材料。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无机干粉内墙涂料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（油墙裙主材）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无机干粉内墙腻子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采用水泥基无机胶凝体系的内墙腻子，作为墙面精细找平材料，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具有良好的粘结强度、耐水性和打磨性。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无机干粉内墙涂料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（油墙裙主材）</w:t>
            </w:r>
            <w:bookmarkStart w:id="0" w:name="_GoBack"/>
            <w:bookmarkEnd w:id="0"/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无机干粉内墙涂料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采用无机胶凝体系，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零VOC、零甲醛，提供墙面色彩和坚实保护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B76EE"/>
    <w:rsid w:val="08403AF3"/>
    <w:rsid w:val="10A261D6"/>
    <w:rsid w:val="4AF762E1"/>
    <w:rsid w:val="51904114"/>
    <w:rsid w:val="630E679D"/>
    <w:rsid w:val="6C2B76EE"/>
    <w:rsid w:val="707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2021-05-17T08:23:00Z</dcterms:created>
  <dc:creator>朝华不复</dc:creator>
  <cp:lastModifiedBy>朝华不复</cp:lastModifiedBy>
  <cp:lastPrinted>2021-05-18T07:41:00Z</cp:lastPrinted>
  <dcterms:modified xsi:type="dcterms:W3CDTF">2021-09-23T00:35:32Z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E7183A594077466097F1629C9EFC2CDC</vt:lpwstr>
  </property>
</Properties>
</file>