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napToGrid w:val="0"/>
          <w:sz w:val="72"/>
          <w:szCs w:val="72"/>
        </w:rPr>
      </w:pPr>
      <w:bookmarkStart w:id="0" w:name="_Toc289870430"/>
    </w:p>
    <w:p>
      <w:pPr>
        <w:jc w:val="center"/>
        <w:rPr>
          <w:rFonts w:ascii="宋体" w:hAnsi="宋体" w:cs="宋体"/>
          <w:b/>
          <w:snapToGrid w:val="0"/>
          <w:sz w:val="72"/>
          <w:szCs w:val="72"/>
        </w:rPr>
      </w:pPr>
    </w:p>
    <w:p>
      <w:pPr>
        <w:jc w:val="center"/>
        <w:rPr>
          <w:rFonts w:ascii="宋体" w:hAnsi="宋体" w:cs="宋体"/>
          <w:b/>
          <w:snapToGrid w:val="0"/>
          <w:sz w:val="72"/>
          <w:szCs w:val="72"/>
        </w:rPr>
      </w:pPr>
      <w:r>
        <w:rPr>
          <w:rFonts w:hint="eastAsia" w:ascii="宋体" w:hAnsi="宋体" w:cs="宋体"/>
          <w:b/>
          <w:snapToGrid w:val="0"/>
          <w:sz w:val="72"/>
          <w:szCs w:val="72"/>
        </w:rPr>
        <w:t>竞争性磋商文件</w:t>
      </w:r>
    </w:p>
    <w:p>
      <w:pPr>
        <w:jc w:val="center"/>
        <w:rPr>
          <w:rFonts w:ascii="宋体" w:hAnsi="宋体" w:cs="宋体"/>
          <w:b/>
          <w:snapToGrid w:val="0"/>
          <w:sz w:val="40"/>
          <w:szCs w:val="40"/>
        </w:rPr>
      </w:pPr>
    </w:p>
    <w:p>
      <w:pPr>
        <w:jc w:val="center"/>
        <w:rPr>
          <w:rFonts w:ascii="宋体" w:hAnsi="宋体" w:cs="宋体"/>
          <w:b/>
          <w:snapToGrid w:val="0"/>
          <w:sz w:val="40"/>
          <w:szCs w:val="40"/>
        </w:rPr>
      </w:pPr>
    </w:p>
    <w:p>
      <w:pPr>
        <w:jc w:val="center"/>
        <w:rPr>
          <w:rFonts w:hint="eastAsia" w:ascii="宋体" w:hAnsi="宋体" w:eastAsia="宋体" w:cs="宋体"/>
          <w:b/>
          <w:bCs/>
          <w:sz w:val="36"/>
          <w:szCs w:val="36"/>
          <w:lang w:eastAsia="zh-CN"/>
        </w:rPr>
      </w:pPr>
      <w:r>
        <w:rPr>
          <w:rFonts w:hint="eastAsia" w:ascii="宋体" w:hAnsi="宋体" w:cs="宋体"/>
          <w:b/>
          <w:snapToGrid w:val="0"/>
          <w:sz w:val="36"/>
          <w:szCs w:val="36"/>
        </w:rPr>
        <w:t>项目名称：</w:t>
      </w:r>
      <w:r>
        <w:rPr>
          <w:rFonts w:hint="eastAsia" w:ascii="宋体" w:hAnsi="宋体" w:cs="宋体"/>
          <w:b/>
          <w:bCs/>
          <w:sz w:val="36"/>
          <w:szCs w:val="36"/>
          <w:lang w:eastAsia="zh-CN"/>
        </w:rPr>
        <w:t>黑龙江省省直机关第五幼儿园2个教学班级更换防火窗</w:t>
      </w:r>
    </w:p>
    <w:p>
      <w:pPr>
        <w:jc w:val="center"/>
        <w:rPr>
          <w:rFonts w:ascii="宋体" w:hAnsi="宋体" w:cs="宋体"/>
          <w:b/>
          <w:sz w:val="36"/>
          <w:szCs w:val="36"/>
        </w:rPr>
      </w:pPr>
    </w:p>
    <w:p>
      <w:pPr>
        <w:jc w:val="center"/>
        <w:rPr>
          <w:rFonts w:ascii="宋体" w:hAnsi="宋体" w:cs="宋体"/>
          <w:b/>
          <w:bCs/>
          <w:sz w:val="30"/>
          <w:szCs w:val="30"/>
        </w:rPr>
      </w:pPr>
    </w:p>
    <w:p>
      <w:pPr>
        <w:jc w:val="center"/>
        <w:rPr>
          <w:rFonts w:hint="eastAsia" w:ascii="宋体" w:hAnsi="宋体" w:eastAsia="宋体" w:cs="宋体"/>
          <w:sz w:val="19"/>
          <w:szCs w:val="19"/>
          <w:lang w:eastAsia="zh-CN"/>
        </w:rPr>
      </w:pPr>
      <w:r>
        <w:rPr>
          <w:rFonts w:hint="eastAsia" w:ascii="宋体" w:hAnsi="宋体" w:cs="宋体"/>
          <w:b/>
          <w:snapToGrid w:val="0"/>
          <w:sz w:val="30"/>
          <w:szCs w:val="30"/>
        </w:rPr>
        <w:t>项目编号：</w:t>
      </w:r>
      <w:r>
        <w:rPr>
          <w:rFonts w:hint="eastAsia" w:ascii="宋体" w:hAnsi="宋体" w:cs="宋体"/>
          <w:b/>
          <w:snapToGrid w:val="0"/>
          <w:sz w:val="30"/>
          <w:szCs w:val="30"/>
          <w:lang w:eastAsia="zh-CN"/>
        </w:rPr>
        <w:t>C-21637-BTZB</w:t>
      </w:r>
    </w:p>
    <w:p>
      <w:pPr>
        <w:rPr>
          <w:rFonts w:ascii="宋体" w:hAnsi="宋体" w:cs="宋体"/>
          <w:sz w:val="19"/>
          <w:szCs w:val="19"/>
        </w:rPr>
      </w:pPr>
    </w:p>
    <w:p>
      <w:pPr>
        <w:rPr>
          <w:rFonts w:ascii="宋体" w:hAnsi="宋体" w:cs="宋体"/>
          <w:sz w:val="19"/>
          <w:szCs w:val="19"/>
        </w:rPr>
      </w:pPr>
    </w:p>
    <w:p>
      <w:pPr>
        <w:rPr>
          <w:rFonts w:ascii="宋体" w:hAnsi="宋体" w:cs="宋体"/>
          <w:sz w:val="19"/>
          <w:szCs w:val="19"/>
        </w:rPr>
      </w:pPr>
    </w:p>
    <w:p>
      <w:pPr>
        <w:rPr>
          <w:rFonts w:ascii="宋体" w:hAnsi="宋体" w:cs="宋体"/>
          <w:sz w:val="19"/>
          <w:szCs w:val="19"/>
        </w:rPr>
      </w:pPr>
    </w:p>
    <w:p>
      <w:pPr>
        <w:rPr>
          <w:rFonts w:ascii="宋体" w:hAnsi="宋体" w:cs="宋体"/>
          <w:sz w:val="19"/>
          <w:szCs w:val="19"/>
        </w:rPr>
      </w:pPr>
    </w:p>
    <w:p>
      <w:pPr>
        <w:rPr>
          <w:rFonts w:ascii="宋体" w:hAnsi="宋体" w:cs="宋体"/>
          <w:sz w:val="19"/>
          <w:szCs w:val="19"/>
        </w:rPr>
      </w:pPr>
    </w:p>
    <w:p>
      <w:pPr>
        <w:rPr>
          <w:rFonts w:ascii="宋体" w:hAnsi="宋体" w:cs="宋体"/>
          <w:sz w:val="19"/>
          <w:szCs w:val="19"/>
        </w:rPr>
      </w:pPr>
    </w:p>
    <w:p>
      <w:pPr>
        <w:rPr>
          <w:rFonts w:ascii="宋体" w:hAnsi="宋体" w:cs="宋体"/>
          <w:sz w:val="19"/>
          <w:szCs w:val="19"/>
        </w:rPr>
      </w:pPr>
    </w:p>
    <w:p>
      <w:pPr>
        <w:rPr>
          <w:rFonts w:ascii="宋体" w:hAnsi="宋体" w:cs="宋体"/>
          <w:sz w:val="19"/>
          <w:szCs w:val="19"/>
        </w:rPr>
      </w:pPr>
    </w:p>
    <w:p>
      <w:pPr>
        <w:jc w:val="center"/>
        <w:rPr>
          <w:rFonts w:ascii="宋体" w:hAnsi="宋体" w:cs="宋体"/>
          <w:b/>
          <w:bCs/>
          <w:sz w:val="30"/>
          <w:szCs w:val="30"/>
        </w:rPr>
      </w:pPr>
      <w:r>
        <w:rPr>
          <w:rFonts w:hint="eastAsia" w:ascii="宋体" w:hAnsi="宋体" w:cs="宋体"/>
          <w:b/>
          <w:bCs/>
          <w:sz w:val="30"/>
          <w:szCs w:val="30"/>
        </w:rPr>
        <w:t>黑龙江省北通建筑工程管理咨询有限公司</w:t>
      </w:r>
    </w:p>
    <w:p>
      <w:pPr>
        <w:jc w:val="center"/>
        <w:rPr>
          <w:rFonts w:ascii="宋体" w:hAnsi="宋体" w:cs="宋体"/>
          <w:b/>
          <w:bCs/>
          <w:sz w:val="30"/>
          <w:szCs w:val="30"/>
        </w:rPr>
      </w:pPr>
      <w:r>
        <w:rPr>
          <w:rFonts w:hint="eastAsia" w:ascii="宋体" w:hAnsi="宋体" w:cs="宋体"/>
          <w:b/>
          <w:bCs/>
          <w:sz w:val="30"/>
          <w:szCs w:val="30"/>
        </w:rPr>
        <w:t>二○二一年</w:t>
      </w:r>
      <w:r>
        <w:rPr>
          <w:rFonts w:hint="eastAsia" w:ascii="宋体" w:hAnsi="宋体" w:cs="宋体"/>
          <w:b/>
          <w:bCs/>
          <w:sz w:val="30"/>
          <w:szCs w:val="30"/>
          <w:lang w:eastAsia="zh-CN"/>
        </w:rPr>
        <w:t>九</w:t>
      </w:r>
      <w:r>
        <w:rPr>
          <w:rFonts w:hint="eastAsia" w:ascii="宋体" w:hAnsi="宋体" w:cs="宋体"/>
          <w:b/>
          <w:bCs/>
          <w:sz w:val="30"/>
          <w:szCs w:val="30"/>
        </w:rPr>
        <w:t>月</w:t>
      </w:r>
    </w:p>
    <w:p>
      <w:pPr>
        <w:rPr>
          <w:rFonts w:ascii="宋体" w:hAnsi="宋体" w:cs="宋体"/>
          <w:sz w:val="19"/>
          <w:szCs w:val="19"/>
        </w:rPr>
        <w:sectPr>
          <w:headerReference r:id="rId3" w:type="default"/>
          <w:pgSz w:w="11906" w:h="16838"/>
          <w:pgMar w:top="1417" w:right="1701" w:bottom="1417" w:left="1701" w:header="851" w:footer="992" w:gutter="0"/>
          <w:pgNumType w:start="0"/>
          <w:cols w:space="720" w:num="1"/>
          <w:titlePg/>
          <w:docGrid w:type="lines" w:linePitch="312" w:charSpace="0"/>
        </w:sectPr>
      </w:pPr>
    </w:p>
    <w:p>
      <w:pPr>
        <w:pStyle w:val="15"/>
        <w:rPr>
          <w:rFonts w:ascii="宋体" w:hAnsi="宋体" w:cs="宋体"/>
        </w:rPr>
      </w:pPr>
    </w:p>
    <w:p>
      <w:pPr>
        <w:jc w:val="center"/>
        <w:rPr>
          <w:rFonts w:ascii="宋体" w:hAnsi="宋体" w:cs="宋体"/>
          <w:sz w:val="33"/>
          <w:szCs w:val="33"/>
        </w:rPr>
      </w:pPr>
      <w:r>
        <w:rPr>
          <w:rFonts w:hint="eastAsia" w:ascii="宋体" w:hAnsi="宋体" w:cs="宋体"/>
          <w:sz w:val="33"/>
          <w:szCs w:val="33"/>
        </w:rPr>
        <w:t>目     录</w:t>
      </w:r>
    </w:p>
    <w:p>
      <w:pPr>
        <w:pStyle w:val="32"/>
        <w:tabs>
          <w:tab w:val="right" w:leader="dot" w:pos="8504"/>
          <w:tab w:val="clear" w:pos="8610"/>
        </w:tabs>
      </w:pPr>
      <w:r>
        <w:rPr>
          <w:rFonts w:hint="eastAsia" w:ascii="宋体" w:hAnsi="宋体" w:cs="宋体"/>
          <w:szCs w:val="24"/>
        </w:rPr>
        <w:fldChar w:fldCharType="begin"/>
      </w:r>
      <w:r>
        <w:rPr>
          <w:rFonts w:hint="eastAsia" w:ascii="宋体" w:hAnsi="宋体" w:cs="宋体"/>
          <w:szCs w:val="24"/>
        </w:rPr>
        <w:instrText xml:space="preserve"> TOC \o "1-3" \h \z \u </w:instrText>
      </w:r>
      <w:r>
        <w:rPr>
          <w:rFonts w:hint="eastAsia" w:ascii="宋体" w:hAnsi="宋体" w:cs="宋体"/>
          <w:szCs w:val="24"/>
        </w:rPr>
        <w:fldChar w:fldCharType="separate"/>
      </w:r>
      <w:r>
        <w:fldChar w:fldCharType="begin"/>
      </w:r>
      <w:r>
        <w:instrText xml:space="preserve"> HYPERLINK \l "_Toc26299" </w:instrText>
      </w:r>
      <w:r>
        <w:fldChar w:fldCharType="separate"/>
      </w:r>
      <w:r>
        <w:rPr>
          <w:rFonts w:hint="eastAsia" w:ascii="宋体" w:hAnsi="宋体" w:cs="宋体"/>
          <w:szCs w:val="44"/>
        </w:rPr>
        <w:t>第一部分 竞争性磋商公告</w:t>
      </w:r>
      <w:r>
        <w:tab/>
      </w:r>
      <w:r>
        <w:fldChar w:fldCharType="begin"/>
      </w:r>
      <w:r>
        <w:instrText xml:space="preserve"> PAGEREF _Toc26299 \h </w:instrText>
      </w:r>
      <w:r>
        <w:fldChar w:fldCharType="separate"/>
      </w:r>
      <w:r>
        <w:t>3</w:t>
      </w:r>
      <w:r>
        <w:fldChar w:fldCharType="end"/>
      </w:r>
      <w:r>
        <w:fldChar w:fldCharType="end"/>
      </w:r>
    </w:p>
    <w:p>
      <w:pPr>
        <w:pStyle w:val="32"/>
        <w:tabs>
          <w:tab w:val="right" w:leader="dot" w:pos="8504"/>
          <w:tab w:val="clear" w:pos="8610"/>
        </w:tabs>
      </w:pPr>
      <w:r>
        <w:fldChar w:fldCharType="begin"/>
      </w:r>
      <w:r>
        <w:instrText xml:space="preserve"> HYPERLINK \l "_Toc8479" </w:instrText>
      </w:r>
      <w:r>
        <w:fldChar w:fldCharType="separate"/>
      </w:r>
      <w:r>
        <w:rPr>
          <w:rFonts w:hint="eastAsia" w:ascii="宋体" w:hAnsi="宋体" w:cs="宋体"/>
          <w:szCs w:val="44"/>
        </w:rPr>
        <w:t>第二部分 供应商须知</w:t>
      </w:r>
      <w:r>
        <w:tab/>
      </w:r>
      <w:r>
        <w:fldChar w:fldCharType="begin"/>
      </w:r>
      <w:r>
        <w:instrText xml:space="preserve"> PAGEREF _Toc8479 \h </w:instrText>
      </w:r>
      <w:r>
        <w:fldChar w:fldCharType="separate"/>
      </w:r>
      <w:r>
        <w:t>8</w:t>
      </w:r>
      <w:r>
        <w:fldChar w:fldCharType="end"/>
      </w:r>
      <w:r>
        <w:fldChar w:fldCharType="end"/>
      </w:r>
    </w:p>
    <w:p>
      <w:pPr>
        <w:pStyle w:val="36"/>
        <w:tabs>
          <w:tab w:val="right" w:leader="dot" w:pos="8504"/>
          <w:tab w:val="clear" w:pos="8610"/>
        </w:tabs>
      </w:pPr>
      <w:r>
        <w:fldChar w:fldCharType="begin"/>
      </w:r>
      <w:r>
        <w:instrText xml:space="preserve"> HYPERLINK \l "_Toc12872" </w:instrText>
      </w:r>
      <w:r>
        <w:fldChar w:fldCharType="separate"/>
      </w:r>
      <w:r>
        <w:rPr>
          <w:rFonts w:hint="eastAsia" w:ascii="宋体" w:hAnsi="宋体" w:cs="宋体"/>
        </w:rPr>
        <w:t>须知前附表</w:t>
      </w:r>
      <w:r>
        <w:tab/>
      </w:r>
      <w:r>
        <w:fldChar w:fldCharType="begin"/>
      </w:r>
      <w:r>
        <w:instrText xml:space="preserve"> PAGEREF _Toc12872 \h </w:instrText>
      </w:r>
      <w:r>
        <w:fldChar w:fldCharType="separate"/>
      </w:r>
      <w:r>
        <w:t>9</w:t>
      </w:r>
      <w:r>
        <w:fldChar w:fldCharType="end"/>
      </w:r>
      <w:r>
        <w:fldChar w:fldCharType="end"/>
      </w:r>
    </w:p>
    <w:p>
      <w:pPr>
        <w:pStyle w:val="36"/>
        <w:tabs>
          <w:tab w:val="right" w:leader="dot" w:pos="8504"/>
          <w:tab w:val="clear" w:pos="8610"/>
        </w:tabs>
      </w:pPr>
      <w:r>
        <w:fldChar w:fldCharType="begin"/>
      </w:r>
      <w:r>
        <w:instrText xml:space="preserve"> HYPERLINK \l "_Toc3521" </w:instrText>
      </w:r>
      <w:r>
        <w:fldChar w:fldCharType="separate"/>
      </w:r>
      <w:r>
        <w:rPr>
          <w:rFonts w:hint="eastAsia" w:ascii="宋体" w:hAnsi="宋体" w:cs="宋体"/>
        </w:rPr>
        <w:t>A  说明</w:t>
      </w:r>
      <w:r>
        <w:tab/>
      </w:r>
      <w:r>
        <w:fldChar w:fldCharType="begin"/>
      </w:r>
      <w:r>
        <w:instrText xml:space="preserve"> PAGEREF _Toc3521 \h </w:instrText>
      </w:r>
      <w:r>
        <w:fldChar w:fldCharType="separate"/>
      </w:r>
      <w:r>
        <w:t>12</w:t>
      </w:r>
      <w:r>
        <w:fldChar w:fldCharType="end"/>
      </w:r>
      <w:r>
        <w:fldChar w:fldCharType="end"/>
      </w:r>
    </w:p>
    <w:p>
      <w:pPr>
        <w:pStyle w:val="24"/>
        <w:tabs>
          <w:tab w:val="right" w:leader="dot" w:pos="8504"/>
          <w:tab w:val="clear" w:pos="8588"/>
        </w:tabs>
      </w:pPr>
      <w:r>
        <w:fldChar w:fldCharType="begin"/>
      </w:r>
      <w:r>
        <w:instrText xml:space="preserve"> HYPERLINK \l "_Toc7844" </w:instrText>
      </w:r>
      <w:r>
        <w:fldChar w:fldCharType="separate"/>
      </w:r>
      <w:r>
        <w:rPr>
          <w:rFonts w:hint="eastAsia" w:ascii="宋体" w:hAnsi="宋体" w:cs="宋体"/>
          <w:kern w:val="0"/>
          <w:szCs w:val="20"/>
        </w:rPr>
        <w:t>1. 合格供应商范围</w:t>
      </w:r>
      <w:r>
        <w:tab/>
      </w:r>
      <w:r>
        <w:fldChar w:fldCharType="begin"/>
      </w:r>
      <w:r>
        <w:instrText xml:space="preserve"> PAGEREF _Toc7844 \h </w:instrText>
      </w:r>
      <w:r>
        <w:fldChar w:fldCharType="separate"/>
      </w:r>
      <w:r>
        <w:t>12</w:t>
      </w:r>
      <w:r>
        <w:fldChar w:fldCharType="end"/>
      </w:r>
      <w:r>
        <w:fldChar w:fldCharType="end"/>
      </w:r>
    </w:p>
    <w:p>
      <w:pPr>
        <w:pStyle w:val="24"/>
        <w:tabs>
          <w:tab w:val="right" w:leader="dot" w:pos="8504"/>
          <w:tab w:val="clear" w:pos="8588"/>
        </w:tabs>
      </w:pPr>
      <w:r>
        <w:fldChar w:fldCharType="begin"/>
      </w:r>
      <w:r>
        <w:instrText xml:space="preserve"> HYPERLINK \l "_Toc20869" </w:instrText>
      </w:r>
      <w:r>
        <w:fldChar w:fldCharType="separate"/>
      </w:r>
      <w:r>
        <w:rPr>
          <w:rFonts w:hint="eastAsia" w:ascii="宋体" w:hAnsi="宋体" w:cs="宋体"/>
        </w:rPr>
        <w:t>2. 委托</w:t>
      </w:r>
      <w:r>
        <w:tab/>
      </w:r>
      <w:r>
        <w:fldChar w:fldCharType="begin"/>
      </w:r>
      <w:r>
        <w:instrText xml:space="preserve"> PAGEREF _Toc20869 \h </w:instrText>
      </w:r>
      <w:r>
        <w:fldChar w:fldCharType="separate"/>
      </w:r>
      <w:r>
        <w:t>13</w:t>
      </w:r>
      <w:r>
        <w:fldChar w:fldCharType="end"/>
      </w:r>
      <w:r>
        <w:fldChar w:fldCharType="end"/>
      </w:r>
    </w:p>
    <w:p>
      <w:pPr>
        <w:pStyle w:val="24"/>
        <w:tabs>
          <w:tab w:val="right" w:leader="dot" w:pos="8504"/>
          <w:tab w:val="clear" w:pos="8588"/>
        </w:tabs>
      </w:pPr>
      <w:r>
        <w:fldChar w:fldCharType="begin"/>
      </w:r>
      <w:r>
        <w:instrText xml:space="preserve"> HYPERLINK \l "_Toc23032" </w:instrText>
      </w:r>
      <w:r>
        <w:fldChar w:fldCharType="separate"/>
      </w:r>
      <w:r>
        <w:rPr>
          <w:rFonts w:hint="eastAsia" w:ascii="宋体" w:hAnsi="宋体" w:cs="宋体"/>
          <w:kern w:val="0"/>
          <w:szCs w:val="20"/>
        </w:rPr>
        <w:t>3. 费用</w:t>
      </w:r>
      <w:r>
        <w:tab/>
      </w:r>
      <w:r>
        <w:fldChar w:fldCharType="begin"/>
      </w:r>
      <w:r>
        <w:instrText xml:space="preserve"> PAGEREF _Toc23032 \h </w:instrText>
      </w:r>
      <w:r>
        <w:fldChar w:fldCharType="separate"/>
      </w:r>
      <w:r>
        <w:t>13</w:t>
      </w:r>
      <w:r>
        <w:fldChar w:fldCharType="end"/>
      </w:r>
      <w:r>
        <w:fldChar w:fldCharType="end"/>
      </w:r>
    </w:p>
    <w:p>
      <w:pPr>
        <w:pStyle w:val="36"/>
        <w:tabs>
          <w:tab w:val="right" w:leader="dot" w:pos="8504"/>
          <w:tab w:val="clear" w:pos="8610"/>
        </w:tabs>
      </w:pPr>
      <w:r>
        <w:fldChar w:fldCharType="begin"/>
      </w:r>
      <w:r>
        <w:instrText xml:space="preserve"> HYPERLINK \l "_Toc10317" </w:instrText>
      </w:r>
      <w:r>
        <w:fldChar w:fldCharType="separate"/>
      </w:r>
      <w:r>
        <w:rPr>
          <w:rFonts w:hint="eastAsia" w:ascii="宋体" w:hAnsi="宋体" w:cs="宋体"/>
        </w:rPr>
        <w:t>B  响应文件</w:t>
      </w:r>
      <w:r>
        <w:tab/>
      </w:r>
      <w:r>
        <w:fldChar w:fldCharType="begin"/>
      </w:r>
      <w:r>
        <w:instrText xml:space="preserve"> PAGEREF _Toc10317 \h </w:instrText>
      </w:r>
      <w:r>
        <w:fldChar w:fldCharType="separate"/>
      </w:r>
      <w:r>
        <w:t>13</w:t>
      </w:r>
      <w:r>
        <w:fldChar w:fldCharType="end"/>
      </w:r>
      <w:r>
        <w:fldChar w:fldCharType="end"/>
      </w:r>
    </w:p>
    <w:p>
      <w:pPr>
        <w:pStyle w:val="24"/>
        <w:tabs>
          <w:tab w:val="right" w:leader="dot" w:pos="8504"/>
          <w:tab w:val="clear" w:pos="8588"/>
        </w:tabs>
      </w:pPr>
      <w:r>
        <w:fldChar w:fldCharType="begin"/>
      </w:r>
      <w:r>
        <w:instrText xml:space="preserve"> HYPERLINK \l "_Toc25972" </w:instrText>
      </w:r>
      <w:r>
        <w:fldChar w:fldCharType="separate"/>
      </w:r>
      <w:r>
        <w:rPr>
          <w:rFonts w:hint="eastAsia" w:ascii="宋体" w:hAnsi="宋体" w:cs="宋体"/>
          <w:kern w:val="0"/>
          <w:szCs w:val="20"/>
        </w:rPr>
        <w:t>4. 响应文件计量单位</w:t>
      </w:r>
      <w:r>
        <w:tab/>
      </w:r>
      <w:r>
        <w:fldChar w:fldCharType="begin"/>
      </w:r>
      <w:r>
        <w:instrText xml:space="preserve"> PAGEREF _Toc25972 \h </w:instrText>
      </w:r>
      <w:r>
        <w:fldChar w:fldCharType="separate"/>
      </w:r>
      <w:r>
        <w:t>13</w:t>
      </w:r>
      <w:r>
        <w:fldChar w:fldCharType="end"/>
      </w:r>
      <w:r>
        <w:fldChar w:fldCharType="end"/>
      </w:r>
    </w:p>
    <w:p>
      <w:pPr>
        <w:pStyle w:val="24"/>
        <w:tabs>
          <w:tab w:val="right" w:leader="dot" w:pos="8504"/>
          <w:tab w:val="clear" w:pos="8588"/>
        </w:tabs>
      </w:pPr>
      <w:r>
        <w:fldChar w:fldCharType="begin"/>
      </w:r>
      <w:r>
        <w:instrText xml:space="preserve"> HYPERLINK \l "_Toc22524" </w:instrText>
      </w:r>
      <w:r>
        <w:fldChar w:fldCharType="separate"/>
      </w:r>
      <w:r>
        <w:rPr>
          <w:rFonts w:hint="eastAsia" w:ascii="宋体" w:hAnsi="宋体" w:cs="宋体"/>
          <w:kern w:val="0"/>
          <w:szCs w:val="20"/>
        </w:rPr>
        <w:t>5. 响应文件的组成</w:t>
      </w:r>
      <w:r>
        <w:tab/>
      </w:r>
      <w:r>
        <w:fldChar w:fldCharType="begin"/>
      </w:r>
      <w:r>
        <w:instrText xml:space="preserve"> PAGEREF _Toc22524 \h </w:instrText>
      </w:r>
      <w:r>
        <w:fldChar w:fldCharType="separate"/>
      </w:r>
      <w:r>
        <w:t>13</w:t>
      </w:r>
      <w:r>
        <w:fldChar w:fldCharType="end"/>
      </w:r>
      <w:r>
        <w:fldChar w:fldCharType="end"/>
      </w:r>
    </w:p>
    <w:p>
      <w:pPr>
        <w:pStyle w:val="24"/>
        <w:tabs>
          <w:tab w:val="right" w:leader="dot" w:pos="8504"/>
          <w:tab w:val="clear" w:pos="8588"/>
        </w:tabs>
      </w:pPr>
      <w:r>
        <w:fldChar w:fldCharType="begin"/>
      </w:r>
      <w:r>
        <w:instrText xml:space="preserve"> HYPERLINK \l "_Toc23322" </w:instrText>
      </w:r>
      <w:r>
        <w:fldChar w:fldCharType="separate"/>
      </w:r>
      <w:r>
        <w:rPr>
          <w:rFonts w:hint="eastAsia" w:ascii="宋体" w:hAnsi="宋体" w:cs="宋体"/>
          <w:kern w:val="0"/>
          <w:szCs w:val="20"/>
        </w:rPr>
        <w:t>6. 响应文件附件的编制及编目</w:t>
      </w:r>
      <w:r>
        <w:tab/>
      </w:r>
      <w:r>
        <w:fldChar w:fldCharType="begin"/>
      </w:r>
      <w:r>
        <w:instrText xml:space="preserve"> PAGEREF _Toc23322 \h </w:instrText>
      </w:r>
      <w:r>
        <w:fldChar w:fldCharType="separate"/>
      </w:r>
      <w:r>
        <w:t>15</w:t>
      </w:r>
      <w:r>
        <w:fldChar w:fldCharType="end"/>
      </w:r>
      <w:r>
        <w:fldChar w:fldCharType="end"/>
      </w:r>
    </w:p>
    <w:p>
      <w:pPr>
        <w:pStyle w:val="24"/>
        <w:tabs>
          <w:tab w:val="right" w:leader="dot" w:pos="8504"/>
          <w:tab w:val="clear" w:pos="8588"/>
        </w:tabs>
      </w:pPr>
      <w:r>
        <w:fldChar w:fldCharType="begin"/>
      </w:r>
      <w:r>
        <w:instrText xml:space="preserve"> HYPERLINK \l "_Toc30608" </w:instrText>
      </w:r>
      <w:r>
        <w:fldChar w:fldCharType="separate"/>
      </w:r>
      <w:r>
        <w:rPr>
          <w:rFonts w:hint="eastAsia" w:ascii="宋体" w:hAnsi="宋体" w:cs="宋体"/>
          <w:kern w:val="0"/>
          <w:szCs w:val="20"/>
        </w:rPr>
        <w:t>7. 报价</w:t>
      </w:r>
      <w:r>
        <w:tab/>
      </w:r>
      <w:r>
        <w:fldChar w:fldCharType="begin"/>
      </w:r>
      <w:r>
        <w:instrText xml:space="preserve"> PAGEREF _Toc30608 \h </w:instrText>
      </w:r>
      <w:r>
        <w:fldChar w:fldCharType="separate"/>
      </w:r>
      <w:r>
        <w:t>15</w:t>
      </w:r>
      <w:r>
        <w:fldChar w:fldCharType="end"/>
      </w:r>
      <w:r>
        <w:fldChar w:fldCharType="end"/>
      </w:r>
    </w:p>
    <w:p>
      <w:pPr>
        <w:pStyle w:val="24"/>
        <w:tabs>
          <w:tab w:val="right" w:leader="dot" w:pos="8504"/>
          <w:tab w:val="clear" w:pos="8588"/>
        </w:tabs>
      </w:pPr>
      <w:r>
        <w:fldChar w:fldCharType="begin"/>
      </w:r>
      <w:r>
        <w:instrText xml:space="preserve"> HYPERLINK \l "_Toc20202" </w:instrText>
      </w:r>
      <w:r>
        <w:fldChar w:fldCharType="separate"/>
      </w:r>
      <w:r>
        <w:rPr>
          <w:rFonts w:hint="eastAsia" w:ascii="宋体" w:hAnsi="宋体" w:cs="宋体"/>
          <w:kern w:val="0"/>
          <w:szCs w:val="20"/>
        </w:rPr>
        <w:t>8. 保证金</w:t>
      </w:r>
      <w:r>
        <w:tab/>
      </w:r>
      <w:r>
        <w:fldChar w:fldCharType="begin"/>
      </w:r>
      <w:r>
        <w:instrText xml:space="preserve"> PAGEREF _Toc20202 \h </w:instrText>
      </w:r>
      <w:r>
        <w:fldChar w:fldCharType="separate"/>
      </w:r>
      <w:r>
        <w:t>16</w:t>
      </w:r>
      <w:r>
        <w:fldChar w:fldCharType="end"/>
      </w:r>
      <w:r>
        <w:fldChar w:fldCharType="end"/>
      </w:r>
    </w:p>
    <w:p>
      <w:pPr>
        <w:pStyle w:val="24"/>
        <w:tabs>
          <w:tab w:val="right" w:leader="dot" w:pos="8504"/>
          <w:tab w:val="clear" w:pos="8588"/>
        </w:tabs>
      </w:pPr>
      <w:r>
        <w:fldChar w:fldCharType="begin"/>
      </w:r>
      <w:r>
        <w:instrText xml:space="preserve"> HYPERLINK \l "_Toc10267" </w:instrText>
      </w:r>
      <w:r>
        <w:fldChar w:fldCharType="separate"/>
      </w:r>
      <w:r>
        <w:rPr>
          <w:rFonts w:hint="eastAsia" w:ascii="宋体" w:hAnsi="宋体" w:cs="宋体"/>
          <w:kern w:val="0"/>
          <w:szCs w:val="20"/>
        </w:rPr>
        <w:t>9. 响应文件的签署及规定</w:t>
      </w:r>
      <w:r>
        <w:tab/>
      </w:r>
      <w:r>
        <w:fldChar w:fldCharType="begin"/>
      </w:r>
      <w:r>
        <w:instrText xml:space="preserve"> PAGEREF _Toc10267 \h </w:instrText>
      </w:r>
      <w:r>
        <w:fldChar w:fldCharType="separate"/>
      </w:r>
      <w:r>
        <w:t>17</w:t>
      </w:r>
      <w:r>
        <w:fldChar w:fldCharType="end"/>
      </w:r>
      <w:r>
        <w:fldChar w:fldCharType="end"/>
      </w:r>
    </w:p>
    <w:p>
      <w:pPr>
        <w:pStyle w:val="24"/>
        <w:tabs>
          <w:tab w:val="right" w:leader="dot" w:pos="8504"/>
          <w:tab w:val="clear" w:pos="8588"/>
        </w:tabs>
      </w:pPr>
      <w:r>
        <w:fldChar w:fldCharType="begin"/>
      </w:r>
      <w:r>
        <w:instrText xml:space="preserve"> HYPERLINK \l "_Toc3705" </w:instrText>
      </w:r>
      <w:r>
        <w:fldChar w:fldCharType="separate"/>
      </w:r>
      <w:r>
        <w:rPr>
          <w:rFonts w:hint="eastAsia" w:ascii="宋体" w:hAnsi="宋体" w:cs="宋体"/>
          <w:kern w:val="0"/>
          <w:szCs w:val="20"/>
        </w:rPr>
        <w:t>10.响应文件的澄清与修改</w:t>
      </w:r>
      <w:r>
        <w:tab/>
      </w:r>
      <w:r>
        <w:fldChar w:fldCharType="begin"/>
      </w:r>
      <w:r>
        <w:instrText xml:space="preserve"> PAGEREF _Toc3705 \h </w:instrText>
      </w:r>
      <w:r>
        <w:fldChar w:fldCharType="separate"/>
      </w:r>
      <w:r>
        <w:t>17</w:t>
      </w:r>
      <w:r>
        <w:fldChar w:fldCharType="end"/>
      </w:r>
      <w:r>
        <w:fldChar w:fldCharType="end"/>
      </w:r>
    </w:p>
    <w:p>
      <w:pPr>
        <w:pStyle w:val="24"/>
        <w:tabs>
          <w:tab w:val="right" w:leader="dot" w:pos="8504"/>
          <w:tab w:val="clear" w:pos="8588"/>
        </w:tabs>
      </w:pPr>
      <w:r>
        <w:fldChar w:fldCharType="begin"/>
      </w:r>
      <w:r>
        <w:instrText xml:space="preserve"> HYPERLINK \l "_Toc5760" </w:instrText>
      </w:r>
      <w:r>
        <w:fldChar w:fldCharType="separate"/>
      </w:r>
      <w:r>
        <w:rPr>
          <w:rFonts w:hint="eastAsia" w:ascii="宋体" w:hAnsi="宋体" w:cs="宋体"/>
          <w:kern w:val="0"/>
          <w:szCs w:val="20"/>
        </w:rPr>
        <w:t>11. 响应文件无效的情形</w:t>
      </w:r>
      <w:r>
        <w:tab/>
      </w:r>
      <w:r>
        <w:fldChar w:fldCharType="begin"/>
      </w:r>
      <w:r>
        <w:instrText xml:space="preserve"> PAGEREF _Toc5760 \h </w:instrText>
      </w:r>
      <w:r>
        <w:fldChar w:fldCharType="separate"/>
      </w:r>
      <w:r>
        <w:t>18</w:t>
      </w:r>
      <w:r>
        <w:fldChar w:fldCharType="end"/>
      </w:r>
      <w:r>
        <w:fldChar w:fldCharType="end"/>
      </w:r>
    </w:p>
    <w:p>
      <w:pPr>
        <w:pStyle w:val="24"/>
        <w:tabs>
          <w:tab w:val="right" w:leader="dot" w:pos="8504"/>
          <w:tab w:val="clear" w:pos="8588"/>
        </w:tabs>
      </w:pPr>
      <w:r>
        <w:fldChar w:fldCharType="begin"/>
      </w:r>
      <w:r>
        <w:instrText xml:space="preserve"> HYPERLINK \l "_Toc23096" </w:instrText>
      </w:r>
      <w:r>
        <w:fldChar w:fldCharType="separate"/>
      </w:r>
      <w:r>
        <w:rPr>
          <w:rFonts w:hint="eastAsia" w:ascii="宋体" w:hAnsi="宋体" w:cs="宋体"/>
          <w:kern w:val="0"/>
          <w:szCs w:val="20"/>
        </w:rPr>
        <w:t>12. 采购项目需要落实的政府采购政策</w:t>
      </w:r>
      <w:r>
        <w:tab/>
      </w:r>
      <w:r>
        <w:fldChar w:fldCharType="begin"/>
      </w:r>
      <w:r>
        <w:instrText xml:space="preserve"> PAGEREF _Toc23096 \h </w:instrText>
      </w:r>
      <w:r>
        <w:fldChar w:fldCharType="separate"/>
      </w:r>
      <w:r>
        <w:t>18</w:t>
      </w:r>
      <w:r>
        <w:fldChar w:fldCharType="end"/>
      </w:r>
      <w:r>
        <w:fldChar w:fldCharType="end"/>
      </w:r>
    </w:p>
    <w:p>
      <w:pPr>
        <w:pStyle w:val="36"/>
        <w:tabs>
          <w:tab w:val="right" w:leader="dot" w:pos="8504"/>
          <w:tab w:val="clear" w:pos="8610"/>
        </w:tabs>
      </w:pPr>
      <w:r>
        <w:fldChar w:fldCharType="begin"/>
      </w:r>
      <w:r>
        <w:instrText xml:space="preserve"> HYPERLINK \l "_Toc5149" </w:instrText>
      </w:r>
      <w:r>
        <w:fldChar w:fldCharType="separate"/>
      </w:r>
      <w:r>
        <w:rPr>
          <w:rFonts w:hint="eastAsia" w:ascii="宋体" w:hAnsi="宋体" w:cs="宋体"/>
        </w:rPr>
        <w:t>C  磋商及确定成交办法</w:t>
      </w:r>
      <w:r>
        <w:tab/>
      </w:r>
      <w:r>
        <w:fldChar w:fldCharType="begin"/>
      </w:r>
      <w:r>
        <w:instrText xml:space="preserve"> PAGEREF _Toc5149 \h </w:instrText>
      </w:r>
      <w:r>
        <w:fldChar w:fldCharType="separate"/>
      </w:r>
      <w:r>
        <w:t>20</w:t>
      </w:r>
      <w:r>
        <w:fldChar w:fldCharType="end"/>
      </w:r>
      <w:r>
        <w:fldChar w:fldCharType="end"/>
      </w:r>
    </w:p>
    <w:p>
      <w:pPr>
        <w:pStyle w:val="24"/>
        <w:tabs>
          <w:tab w:val="right" w:leader="dot" w:pos="8504"/>
          <w:tab w:val="clear" w:pos="8588"/>
        </w:tabs>
      </w:pPr>
      <w:r>
        <w:fldChar w:fldCharType="begin"/>
      </w:r>
      <w:r>
        <w:instrText xml:space="preserve"> HYPERLINK \l "_Toc19955" </w:instrText>
      </w:r>
      <w:r>
        <w:fldChar w:fldCharType="separate"/>
      </w:r>
      <w:r>
        <w:rPr>
          <w:rFonts w:hint="eastAsia" w:ascii="宋体" w:hAnsi="宋体" w:cs="宋体"/>
          <w:kern w:val="0"/>
          <w:szCs w:val="20"/>
        </w:rPr>
        <w:t>13. 磋商</w:t>
      </w:r>
      <w:r>
        <w:tab/>
      </w:r>
      <w:r>
        <w:fldChar w:fldCharType="begin"/>
      </w:r>
      <w:r>
        <w:instrText xml:space="preserve"> PAGEREF _Toc19955 \h </w:instrText>
      </w:r>
      <w:r>
        <w:fldChar w:fldCharType="separate"/>
      </w:r>
      <w:r>
        <w:t>20</w:t>
      </w:r>
      <w:r>
        <w:fldChar w:fldCharType="end"/>
      </w:r>
      <w:r>
        <w:fldChar w:fldCharType="end"/>
      </w:r>
    </w:p>
    <w:p>
      <w:pPr>
        <w:pStyle w:val="24"/>
        <w:tabs>
          <w:tab w:val="right" w:leader="dot" w:pos="8504"/>
          <w:tab w:val="clear" w:pos="8588"/>
        </w:tabs>
      </w:pPr>
      <w:r>
        <w:fldChar w:fldCharType="begin"/>
      </w:r>
      <w:r>
        <w:instrText xml:space="preserve"> HYPERLINK \l "_Toc17870" </w:instrText>
      </w:r>
      <w:r>
        <w:fldChar w:fldCharType="separate"/>
      </w:r>
      <w:r>
        <w:rPr>
          <w:rFonts w:hint="eastAsia" w:ascii="宋体" w:hAnsi="宋体" w:cs="宋体"/>
          <w:kern w:val="0"/>
          <w:szCs w:val="20"/>
        </w:rPr>
        <w:t>14. 磋商小组</w:t>
      </w:r>
      <w:r>
        <w:tab/>
      </w:r>
      <w:r>
        <w:fldChar w:fldCharType="begin"/>
      </w:r>
      <w:r>
        <w:instrText xml:space="preserve"> PAGEREF _Toc17870 \h </w:instrText>
      </w:r>
      <w:r>
        <w:fldChar w:fldCharType="separate"/>
      </w:r>
      <w:r>
        <w:t>20</w:t>
      </w:r>
      <w:r>
        <w:fldChar w:fldCharType="end"/>
      </w:r>
      <w:r>
        <w:fldChar w:fldCharType="end"/>
      </w:r>
    </w:p>
    <w:p>
      <w:pPr>
        <w:pStyle w:val="24"/>
        <w:tabs>
          <w:tab w:val="right" w:leader="dot" w:pos="8504"/>
          <w:tab w:val="clear" w:pos="8588"/>
        </w:tabs>
      </w:pPr>
      <w:r>
        <w:fldChar w:fldCharType="begin"/>
      </w:r>
      <w:r>
        <w:instrText xml:space="preserve"> HYPERLINK \l "_Toc6742" </w:instrText>
      </w:r>
      <w:r>
        <w:fldChar w:fldCharType="separate"/>
      </w:r>
      <w:r>
        <w:rPr>
          <w:rFonts w:hint="eastAsia" w:ascii="宋体" w:hAnsi="宋体" w:cs="宋体"/>
          <w:kern w:val="0"/>
          <w:szCs w:val="20"/>
        </w:rPr>
        <w:t>15. 对响应文件的审查和响应性的确定</w:t>
      </w:r>
      <w:r>
        <w:tab/>
      </w:r>
      <w:r>
        <w:fldChar w:fldCharType="begin"/>
      </w:r>
      <w:r>
        <w:instrText xml:space="preserve"> PAGEREF _Toc6742 \h </w:instrText>
      </w:r>
      <w:r>
        <w:fldChar w:fldCharType="separate"/>
      </w:r>
      <w:r>
        <w:t>20</w:t>
      </w:r>
      <w:r>
        <w:fldChar w:fldCharType="end"/>
      </w:r>
      <w:r>
        <w:fldChar w:fldCharType="end"/>
      </w:r>
    </w:p>
    <w:p>
      <w:pPr>
        <w:pStyle w:val="24"/>
        <w:tabs>
          <w:tab w:val="right" w:leader="dot" w:pos="8504"/>
          <w:tab w:val="clear" w:pos="8588"/>
        </w:tabs>
      </w:pPr>
      <w:r>
        <w:fldChar w:fldCharType="begin"/>
      </w:r>
      <w:r>
        <w:instrText xml:space="preserve"> HYPERLINK \l "_Toc9189" </w:instrText>
      </w:r>
      <w:r>
        <w:fldChar w:fldCharType="separate"/>
      </w:r>
      <w:r>
        <w:rPr>
          <w:rFonts w:hint="eastAsia" w:ascii="宋体" w:hAnsi="宋体" w:cs="宋体"/>
          <w:kern w:val="0"/>
          <w:szCs w:val="20"/>
        </w:rPr>
        <w:t>16．磋商</w:t>
      </w:r>
      <w:r>
        <w:tab/>
      </w:r>
      <w:r>
        <w:fldChar w:fldCharType="begin"/>
      </w:r>
      <w:r>
        <w:instrText xml:space="preserve"> PAGEREF _Toc9189 \h </w:instrText>
      </w:r>
      <w:r>
        <w:fldChar w:fldCharType="separate"/>
      </w:r>
      <w:r>
        <w:t>21</w:t>
      </w:r>
      <w:r>
        <w:fldChar w:fldCharType="end"/>
      </w:r>
      <w:r>
        <w:fldChar w:fldCharType="end"/>
      </w:r>
    </w:p>
    <w:p>
      <w:pPr>
        <w:pStyle w:val="24"/>
        <w:tabs>
          <w:tab w:val="right" w:leader="dot" w:pos="8504"/>
          <w:tab w:val="clear" w:pos="8588"/>
        </w:tabs>
      </w:pPr>
      <w:r>
        <w:fldChar w:fldCharType="begin"/>
      </w:r>
      <w:r>
        <w:instrText xml:space="preserve"> HYPERLINK \l "_Toc32627" </w:instrText>
      </w:r>
      <w:r>
        <w:fldChar w:fldCharType="separate"/>
      </w:r>
      <w:r>
        <w:rPr>
          <w:rFonts w:hint="eastAsia" w:ascii="宋体" w:hAnsi="宋体" w:cs="宋体"/>
          <w:kern w:val="0"/>
          <w:szCs w:val="20"/>
        </w:rPr>
        <w:t>17. 最后报价</w:t>
      </w:r>
      <w:r>
        <w:tab/>
      </w:r>
      <w:r>
        <w:fldChar w:fldCharType="begin"/>
      </w:r>
      <w:r>
        <w:instrText xml:space="preserve"> PAGEREF _Toc32627 \h </w:instrText>
      </w:r>
      <w:r>
        <w:fldChar w:fldCharType="separate"/>
      </w:r>
      <w:r>
        <w:t>21</w:t>
      </w:r>
      <w:r>
        <w:fldChar w:fldCharType="end"/>
      </w:r>
      <w:r>
        <w:fldChar w:fldCharType="end"/>
      </w:r>
    </w:p>
    <w:p>
      <w:pPr>
        <w:pStyle w:val="24"/>
        <w:tabs>
          <w:tab w:val="right" w:leader="dot" w:pos="8504"/>
          <w:tab w:val="clear" w:pos="8588"/>
        </w:tabs>
      </w:pPr>
      <w:r>
        <w:fldChar w:fldCharType="begin"/>
      </w:r>
      <w:r>
        <w:instrText xml:space="preserve"> HYPERLINK \l "_Toc6926" </w:instrText>
      </w:r>
      <w:r>
        <w:fldChar w:fldCharType="separate"/>
      </w:r>
      <w:r>
        <w:rPr>
          <w:rFonts w:hint="eastAsia" w:ascii="宋体" w:hAnsi="宋体" w:cs="宋体"/>
          <w:kern w:val="0"/>
          <w:szCs w:val="20"/>
        </w:rPr>
        <w:t>18. 评审方法和确定成交供应商的原则</w:t>
      </w:r>
      <w:r>
        <w:tab/>
      </w:r>
      <w:r>
        <w:fldChar w:fldCharType="begin"/>
      </w:r>
      <w:r>
        <w:instrText xml:space="preserve"> PAGEREF _Toc6926 \h </w:instrText>
      </w:r>
      <w:r>
        <w:fldChar w:fldCharType="separate"/>
      </w:r>
      <w:r>
        <w:t>22</w:t>
      </w:r>
      <w:r>
        <w:fldChar w:fldCharType="end"/>
      </w:r>
      <w:r>
        <w:fldChar w:fldCharType="end"/>
      </w:r>
    </w:p>
    <w:p>
      <w:pPr>
        <w:pStyle w:val="24"/>
        <w:tabs>
          <w:tab w:val="right" w:leader="dot" w:pos="8504"/>
          <w:tab w:val="clear" w:pos="8588"/>
        </w:tabs>
      </w:pPr>
      <w:r>
        <w:fldChar w:fldCharType="begin"/>
      </w:r>
      <w:r>
        <w:instrText xml:space="preserve"> HYPERLINK \l "_Toc14492" </w:instrText>
      </w:r>
      <w:r>
        <w:fldChar w:fldCharType="separate"/>
      </w:r>
      <w:r>
        <w:rPr>
          <w:rFonts w:hint="eastAsia" w:ascii="宋体" w:hAnsi="宋体" w:cs="宋体"/>
          <w:kern w:val="0"/>
          <w:szCs w:val="20"/>
        </w:rPr>
        <w:t>19. 保密及其它注意事项</w:t>
      </w:r>
      <w:r>
        <w:tab/>
      </w:r>
      <w:r>
        <w:fldChar w:fldCharType="begin"/>
      </w:r>
      <w:r>
        <w:instrText xml:space="preserve"> PAGEREF _Toc14492 \h </w:instrText>
      </w:r>
      <w:r>
        <w:fldChar w:fldCharType="separate"/>
      </w:r>
      <w:r>
        <w:t>26</w:t>
      </w:r>
      <w:r>
        <w:fldChar w:fldCharType="end"/>
      </w:r>
      <w:r>
        <w:fldChar w:fldCharType="end"/>
      </w:r>
    </w:p>
    <w:p>
      <w:pPr>
        <w:pStyle w:val="36"/>
        <w:tabs>
          <w:tab w:val="right" w:leader="dot" w:pos="8504"/>
          <w:tab w:val="clear" w:pos="8610"/>
        </w:tabs>
      </w:pPr>
      <w:r>
        <w:fldChar w:fldCharType="begin"/>
      </w:r>
      <w:r>
        <w:instrText xml:space="preserve"> HYPERLINK \l "_Toc23871" </w:instrText>
      </w:r>
      <w:r>
        <w:fldChar w:fldCharType="separate"/>
      </w:r>
      <w:r>
        <w:rPr>
          <w:rFonts w:hint="eastAsia" w:ascii="宋体" w:hAnsi="宋体" w:cs="宋体"/>
        </w:rPr>
        <w:t>D  代理服务费</w:t>
      </w:r>
      <w:r>
        <w:tab/>
      </w:r>
      <w:r>
        <w:fldChar w:fldCharType="begin"/>
      </w:r>
      <w:r>
        <w:instrText xml:space="preserve"> PAGEREF _Toc23871 \h </w:instrText>
      </w:r>
      <w:r>
        <w:fldChar w:fldCharType="separate"/>
      </w:r>
      <w:r>
        <w:t>26</w:t>
      </w:r>
      <w:r>
        <w:fldChar w:fldCharType="end"/>
      </w:r>
      <w:r>
        <w:fldChar w:fldCharType="end"/>
      </w:r>
    </w:p>
    <w:p>
      <w:pPr>
        <w:pStyle w:val="24"/>
        <w:tabs>
          <w:tab w:val="right" w:leader="dot" w:pos="8504"/>
          <w:tab w:val="clear" w:pos="8588"/>
        </w:tabs>
      </w:pPr>
      <w:r>
        <w:fldChar w:fldCharType="begin"/>
      </w:r>
      <w:r>
        <w:instrText xml:space="preserve"> HYPERLINK \l "_Toc19487" </w:instrText>
      </w:r>
      <w:r>
        <w:fldChar w:fldCharType="separate"/>
      </w:r>
      <w:r>
        <w:rPr>
          <w:rFonts w:hint="eastAsia" w:ascii="宋体" w:hAnsi="宋体" w:cs="宋体"/>
          <w:kern w:val="0"/>
          <w:szCs w:val="20"/>
        </w:rPr>
        <w:t>20. 代理服务费</w:t>
      </w:r>
      <w:r>
        <w:tab/>
      </w:r>
      <w:r>
        <w:fldChar w:fldCharType="begin"/>
      </w:r>
      <w:r>
        <w:instrText xml:space="preserve"> PAGEREF _Toc19487 \h </w:instrText>
      </w:r>
      <w:r>
        <w:fldChar w:fldCharType="separate"/>
      </w:r>
      <w:r>
        <w:t>26</w:t>
      </w:r>
      <w:r>
        <w:fldChar w:fldCharType="end"/>
      </w:r>
      <w:r>
        <w:fldChar w:fldCharType="end"/>
      </w:r>
    </w:p>
    <w:p>
      <w:pPr>
        <w:pStyle w:val="36"/>
        <w:tabs>
          <w:tab w:val="right" w:leader="dot" w:pos="8504"/>
          <w:tab w:val="clear" w:pos="8610"/>
        </w:tabs>
      </w:pPr>
      <w:r>
        <w:fldChar w:fldCharType="begin"/>
      </w:r>
      <w:r>
        <w:instrText xml:space="preserve"> HYPERLINK \l "_Toc11033" </w:instrText>
      </w:r>
      <w:r>
        <w:fldChar w:fldCharType="separate"/>
      </w:r>
      <w:r>
        <w:rPr>
          <w:rFonts w:hint="eastAsia" w:ascii="宋体" w:hAnsi="宋体" w:cs="宋体"/>
        </w:rPr>
        <w:t>E  合同签订</w:t>
      </w:r>
      <w:r>
        <w:tab/>
      </w:r>
      <w:r>
        <w:fldChar w:fldCharType="begin"/>
      </w:r>
      <w:r>
        <w:instrText xml:space="preserve"> PAGEREF _Toc11033 \h </w:instrText>
      </w:r>
      <w:r>
        <w:fldChar w:fldCharType="separate"/>
      </w:r>
      <w:r>
        <w:t>27</w:t>
      </w:r>
      <w:r>
        <w:fldChar w:fldCharType="end"/>
      </w:r>
      <w:r>
        <w:fldChar w:fldCharType="end"/>
      </w:r>
    </w:p>
    <w:p>
      <w:pPr>
        <w:pStyle w:val="24"/>
        <w:tabs>
          <w:tab w:val="right" w:leader="dot" w:pos="8504"/>
          <w:tab w:val="clear" w:pos="8588"/>
        </w:tabs>
      </w:pPr>
      <w:r>
        <w:fldChar w:fldCharType="begin"/>
      </w:r>
      <w:r>
        <w:instrText xml:space="preserve"> HYPERLINK \l "_Toc1424" </w:instrText>
      </w:r>
      <w:r>
        <w:fldChar w:fldCharType="separate"/>
      </w:r>
      <w:r>
        <w:rPr>
          <w:rFonts w:hint="eastAsia" w:ascii="宋体" w:hAnsi="宋体" w:cs="宋体"/>
          <w:kern w:val="0"/>
          <w:szCs w:val="20"/>
        </w:rPr>
        <w:t>21、合同主要条款</w:t>
      </w:r>
      <w:r>
        <w:tab/>
      </w:r>
      <w:r>
        <w:fldChar w:fldCharType="begin"/>
      </w:r>
      <w:r>
        <w:instrText xml:space="preserve"> PAGEREF _Toc1424 \h </w:instrText>
      </w:r>
      <w:r>
        <w:fldChar w:fldCharType="separate"/>
      </w:r>
      <w:r>
        <w:t>27</w:t>
      </w:r>
      <w:r>
        <w:fldChar w:fldCharType="end"/>
      </w:r>
      <w:r>
        <w:fldChar w:fldCharType="end"/>
      </w:r>
    </w:p>
    <w:p>
      <w:pPr>
        <w:pStyle w:val="24"/>
        <w:tabs>
          <w:tab w:val="right" w:leader="dot" w:pos="8504"/>
          <w:tab w:val="clear" w:pos="8588"/>
        </w:tabs>
      </w:pPr>
      <w:r>
        <w:fldChar w:fldCharType="begin"/>
      </w:r>
      <w:r>
        <w:instrText xml:space="preserve"> HYPERLINK \l "_Toc24937" </w:instrText>
      </w:r>
      <w:r>
        <w:fldChar w:fldCharType="separate"/>
      </w:r>
      <w:r>
        <w:rPr>
          <w:rFonts w:hint="eastAsia" w:ascii="宋体" w:hAnsi="宋体" w:cs="宋体"/>
          <w:kern w:val="0"/>
          <w:szCs w:val="20"/>
        </w:rPr>
        <w:t>22、合同的签订</w:t>
      </w:r>
      <w:r>
        <w:tab/>
      </w:r>
      <w:r>
        <w:fldChar w:fldCharType="begin"/>
      </w:r>
      <w:r>
        <w:instrText xml:space="preserve"> PAGEREF _Toc24937 \h </w:instrText>
      </w:r>
      <w:r>
        <w:fldChar w:fldCharType="separate"/>
      </w:r>
      <w:r>
        <w:t>27</w:t>
      </w:r>
      <w:r>
        <w:fldChar w:fldCharType="end"/>
      </w:r>
      <w:r>
        <w:fldChar w:fldCharType="end"/>
      </w:r>
    </w:p>
    <w:p>
      <w:pPr>
        <w:pStyle w:val="32"/>
        <w:tabs>
          <w:tab w:val="right" w:leader="dot" w:pos="8504"/>
          <w:tab w:val="clear" w:pos="8610"/>
        </w:tabs>
      </w:pPr>
      <w:r>
        <w:fldChar w:fldCharType="begin"/>
      </w:r>
      <w:r>
        <w:instrText xml:space="preserve"> HYPERLINK \l "_Toc22482" </w:instrText>
      </w:r>
      <w:r>
        <w:fldChar w:fldCharType="separate"/>
      </w:r>
      <w:r>
        <w:rPr>
          <w:rFonts w:hint="eastAsia" w:ascii="宋体" w:hAnsi="宋体" w:cs="宋体"/>
          <w:szCs w:val="44"/>
        </w:rPr>
        <w:t>第三部分 合同条款</w:t>
      </w:r>
      <w:r>
        <w:tab/>
      </w:r>
      <w:r>
        <w:fldChar w:fldCharType="begin"/>
      </w:r>
      <w:r>
        <w:instrText xml:space="preserve"> PAGEREF _Toc22482 \h </w:instrText>
      </w:r>
      <w:r>
        <w:fldChar w:fldCharType="separate"/>
      </w:r>
      <w:r>
        <w:t>28</w:t>
      </w:r>
      <w:r>
        <w:fldChar w:fldCharType="end"/>
      </w:r>
      <w:r>
        <w:fldChar w:fldCharType="end"/>
      </w:r>
    </w:p>
    <w:p>
      <w:pPr>
        <w:pStyle w:val="32"/>
        <w:tabs>
          <w:tab w:val="right" w:leader="dot" w:pos="8504"/>
          <w:tab w:val="clear" w:pos="8610"/>
        </w:tabs>
      </w:pPr>
      <w:r>
        <w:fldChar w:fldCharType="begin"/>
      </w:r>
      <w:r>
        <w:instrText xml:space="preserve"> HYPERLINK \l "_Toc13231" </w:instrText>
      </w:r>
      <w:r>
        <w:fldChar w:fldCharType="separate"/>
      </w:r>
      <w:r>
        <w:rPr>
          <w:rFonts w:hint="eastAsia" w:ascii="宋体" w:hAnsi="宋体" w:cs="宋体"/>
          <w:szCs w:val="44"/>
        </w:rPr>
        <w:t>第四部分 工程范围及技术要求</w:t>
      </w:r>
      <w:r>
        <w:tab/>
      </w:r>
      <w:r>
        <w:fldChar w:fldCharType="begin"/>
      </w:r>
      <w:r>
        <w:instrText xml:space="preserve"> PAGEREF _Toc13231 \h </w:instrText>
      </w:r>
      <w:r>
        <w:fldChar w:fldCharType="separate"/>
      </w:r>
      <w:r>
        <w:t>36</w:t>
      </w:r>
      <w:r>
        <w:fldChar w:fldCharType="end"/>
      </w:r>
      <w:r>
        <w:fldChar w:fldCharType="end"/>
      </w:r>
    </w:p>
    <w:p>
      <w:pPr>
        <w:pStyle w:val="32"/>
        <w:tabs>
          <w:tab w:val="right" w:leader="dot" w:pos="8504"/>
          <w:tab w:val="clear" w:pos="8610"/>
        </w:tabs>
      </w:pPr>
      <w:r>
        <w:fldChar w:fldCharType="begin"/>
      </w:r>
      <w:r>
        <w:instrText xml:space="preserve"> HYPERLINK \l "_Toc3069" </w:instrText>
      </w:r>
      <w:r>
        <w:fldChar w:fldCharType="separate"/>
      </w:r>
      <w:r>
        <w:rPr>
          <w:rFonts w:hint="eastAsia" w:ascii="宋体" w:hAnsi="宋体" w:cs="宋体"/>
          <w:szCs w:val="44"/>
        </w:rPr>
        <w:t>第五部分 响应文件格式及附件</w:t>
      </w:r>
      <w:r>
        <w:tab/>
      </w:r>
      <w:r>
        <w:fldChar w:fldCharType="begin"/>
      </w:r>
      <w:r>
        <w:instrText xml:space="preserve"> PAGEREF _Toc3069 \h </w:instrText>
      </w:r>
      <w:r>
        <w:fldChar w:fldCharType="separate"/>
      </w:r>
      <w:r>
        <w:t>39</w:t>
      </w:r>
      <w:r>
        <w:fldChar w:fldCharType="end"/>
      </w:r>
      <w:r>
        <w:fldChar w:fldCharType="end"/>
      </w:r>
    </w:p>
    <w:p>
      <w:pPr>
        <w:pStyle w:val="32"/>
        <w:tabs>
          <w:tab w:val="right" w:leader="dot" w:pos="8504"/>
          <w:tab w:val="clear" w:pos="8610"/>
        </w:tabs>
      </w:pPr>
      <w:r>
        <w:fldChar w:fldCharType="begin"/>
      </w:r>
      <w:r>
        <w:instrText xml:space="preserve"> HYPERLINK \l "_Toc978" </w:instrText>
      </w:r>
      <w:r>
        <w:fldChar w:fldCharType="separate"/>
      </w:r>
      <w:r>
        <w:rPr>
          <w:rFonts w:hint="eastAsia" w:ascii="宋体" w:hAnsi="宋体" w:cs="宋体"/>
        </w:rPr>
        <w:t>A、响应文件封面格式</w:t>
      </w:r>
      <w:r>
        <w:tab/>
      </w:r>
      <w:r>
        <w:fldChar w:fldCharType="begin"/>
      </w:r>
      <w:r>
        <w:instrText xml:space="preserve"> PAGEREF _Toc978 \h </w:instrText>
      </w:r>
      <w:r>
        <w:fldChar w:fldCharType="separate"/>
      </w:r>
      <w:r>
        <w:t>40</w:t>
      </w:r>
      <w:r>
        <w:fldChar w:fldCharType="end"/>
      </w:r>
      <w:r>
        <w:fldChar w:fldCharType="end"/>
      </w:r>
    </w:p>
    <w:p>
      <w:pPr>
        <w:pStyle w:val="32"/>
        <w:tabs>
          <w:tab w:val="right" w:leader="dot" w:pos="8504"/>
          <w:tab w:val="clear" w:pos="8610"/>
        </w:tabs>
      </w:pPr>
      <w:r>
        <w:fldChar w:fldCharType="begin"/>
      </w:r>
      <w:r>
        <w:instrText xml:space="preserve"> HYPERLINK \l "_Toc3276" </w:instrText>
      </w:r>
      <w:r>
        <w:fldChar w:fldCharType="separate"/>
      </w:r>
      <w:r>
        <w:rPr>
          <w:rFonts w:hint="eastAsia" w:ascii="宋体" w:hAnsi="宋体" w:cs="宋体"/>
        </w:rPr>
        <w:t>B、法定代表人授权书</w:t>
      </w:r>
      <w:r>
        <w:tab/>
      </w:r>
      <w:r>
        <w:fldChar w:fldCharType="begin"/>
      </w:r>
      <w:r>
        <w:instrText xml:space="preserve"> PAGEREF _Toc3276 \h </w:instrText>
      </w:r>
      <w:r>
        <w:fldChar w:fldCharType="separate"/>
      </w:r>
      <w:r>
        <w:t>41</w:t>
      </w:r>
      <w:r>
        <w:fldChar w:fldCharType="end"/>
      </w:r>
      <w:r>
        <w:fldChar w:fldCharType="end"/>
      </w:r>
    </w:p>
    <w:p>
      <w:pPr>
        <w:pStyle w:val="32"/>
        <w:tabs>
          <w:tab w:val="right" w:leader="dot" w:pos="8504"/>
          <w:tab w:val="clear" w:pos="8610"/>
        </w:tabs>
      </w:pPr>
      <w:r>
        <w:fldChar w:fldCharType="begin"/>
      </w:r>
      <w:r>
        <w:instrText xml:space="preserve"> HYPERLINK \l "_Toc23109" </w:instrText>
      </w:r>
      <w:r>
        <w:fldChar w:fldCharType="separate"/>
      </w:r>
      <w:r>
        <w:rPr>
          <w:rFonts w:hint="eastAsia" w:ascii="宋体" w:hAnsi="宋体" w:cs="宋体"/>
        </w:rPr>
        <w:t>C、响   应  书</w:t>
      </w:r>
      <w:r>
        <w:tab/>
      </w:r>
      <w:r>
        <w:fldChar w:fldCharType="begin"/>
      </w:r>
      <w:r>
        <w:instrText xml:space="preserve"> PAGEREF _Toc23109 \h </w:instrText>
      </w:r>
      <w:r>
        <w:fldChar w:fldCharType="separate"/>
      </w:r>
      <w:r>
        <w:t>42</w:t>
      </w:r>
      <w:r>
        <w:fldChar w:fldCharType="end"/>
      </w:r>
      <w:r>
        <w:fldChar w:fldCharType="end"/>
      </w:r>
    </w:p>
    <w:p>
      <w:pPr>
        <w:pStyle w:val="32"/>
        <w:tabs>
          <w:tab w:val="right" w:leader="dot" w:pos="8504"/>
          <w:tab w:val="clear" w:pos="8610"/>
        </w:tabs>
      </w:pPr>
      <w:r>
        <w:fldChar w:fldCharType="begin"/>
      </w:r>
      <w:r>
        <w:instrText xml:space="preserve"> HYPERLINK \l "_Toc15905" </w:instrText>
      </w:r>
      <w:r>
        <w:fldChar w:fldCharType="separate"/>
      </w:r>
      <w:r>
        <w:rPr>
          <w:rFonts w:hint="eastAsia" w:ascii="宋体" w:hAnsi="宋体" w:cs="宋体"/>
        </w:rPr>
        <w:t>D、资格证明文件</w:t>
      </w:r>
      <w:r>
        <w:tab/>
      </w:r>
      <w:r>
        <w:fldChar w:fldCharType="begin"/>
      </w:r>
      <w:r>
        <w:instrText xml:space="preserve"> PAGEREF _Toc15905 \h </w:instrText>
      </w:r>
      <w:r>
        <w:fldChar w:fldCharType="separate"/>
      </w:r>
      <w:r>
        <w:t>43</w:t>
      </w:r>
      <w:r>
        <w:fldChar w:fldCharType="end"/>
      </w:r>
      <w:r>
        <w:fldChar w:fldCharType="end"/>
      </w:r>
    </w:p>
    <w:p>
      <w:pPr>
        <w:pStyle w:val="32"/>
        <w:tabs>
          <w:tab w:val="right" w:leader="dot" w:pos="8504"/>
          <w:tab w:val="clear" w:pos="8610"/>
        </w:tabs>
      </w:pPr>
      <w:r>
        <w:fldChar w:fldCharType="begin"/>
      </w:r>
      <w:r>
        <w:instrText xml:space="preserve"> HYPERLINK \l "_Toc20392" </w:instrText>
      </w:r>
      <w:r>
        <w:fldChar w:fldCharType="separate"/>
      </w:r>
      <w:r>
        <w:rPr>
          <w:rFonts w:hint="eastAsia" w:ascii="宋体" w:hAnsi="宋体" w:cs="宋体"/>
        </w:rPr>
        <w:t>E、法定代表人和磋商代表身份证明</w:t>
      </w:r>
      <w:r>
        <w:tab/>
      </w:r>
      <w:r>
        <w:fldChar w:fldCharType="begin"/>
      </w:r>
      <w:r>
        <w:instrText xml:space="preserve"> PAGEREF _Toc20392 \h </w:instrText>
      </w:r>
      <w:r>
        <w:fldChar w:fldCharType="separate"/>
      </w:r>
      <w:r>
        <w:t>45</w:t>
      </w:r>
      <w:r>
        <w:fldChar w:fldCharType="end"/>
      </w:r>
      <w:r>
        <w:fldChar w:fldCharType="end"/>
      </w:r>
    </w:p>
    <w:p>
      <w:pPr>
        <w:pStyle w:val="32"/>
        <w:tabs>
          <w:tab w:val="right" w:leader="dot" w:pos="8504"/>
          <w:tab w:val="clear" w:pos="8610"/>
        </w:tabs>
      </w:pPr>
      <w:r>
        <w:fldChar w:fldCharType="begin"/>
      </w:r>
      <w:r>
        <w:instrText xml:space="preserve"> HYPERLINK \l "_Toc18094" </w:instrText>
      </w:r>
      <w:r>
        <w:fldChar w:fldCharType="separate"/>
      </w:r>
      <w:r>
        <w:rPr>
          <w:rFonts w:hint="eastAsia" w:ascii="宋体" w:hAnsi="宋体" w:cs="宋体"/>
        </w:rPr>
        <w:t>F、响应文件附件</w:t>
      </w:r>
      <w:r>
        <w:tab/>
      </w:r>
      <w:r>
        <w:fldChar w:fldCharType="begin"/>
      </w:r>
      <w:r>
        <w:instrText xml:space="preserve"> PAGEREF _Toc18094 \h </w:instrText>
      </w:r>
      <w:r>
        <w:fldChar w:fldCharType="separate"/>
      </w:r>
      <w:r>
        <w:t>46</w:t>
      </w:r>
      <w:r>
        <w:fldChar w:fldCharType="end"/>
      </w:r>
      <w:r>
        <w:fldChar w:fldCharType="end"/>
      </w:r>
    </w:p>
    <w:p>
      <w:pPr>
        <w:pStyle w:val="32"/>
        <w:tabs>
          <w:tab w:val="right" w:leader="dot" w:pos="8504"/>
          <w:tab w:val="clear" w:pos="8610"/>
        </w:tabs>
      </w:pPr>
      <w:r>
        <w:fldChar w:fldCharType="begin"/>
      </w:r>
      <w:r>
        <w:instrText xml:space="preserve"> HYPERLINK \l "_Toc30199" </w:instrText>
      </w:r>
      <w:r>
        <w:fldChar w:fldCharType="separate"/>
      </w:r>
      <w:r>
        <w:rPr>
          <w:rFonts w:hint="eastAsia" w:ascii="宋体" w:hAnsi="宋体" w:cs="宋体"/>
        </w:rPr>
        <w:t>G、竞争性磋商最后报价书</w:t>
      </w:r>
      <w:r>
        <w:tab/>
      </w:r>
      <w:r>
        <w:fldChar w:fldCharType="begin"/>
      </w:r>
      <w:r>
        <w:instrText xml:space="preserve"> PAGEREF _Toc30199 \h </w:instrText>
      </w:r>
      <w:r>
        <w:fldChar w:fldCharType="separate"/>
      </w:r>
      <w:r>
        <w:t>53</w:t>
      </w:r>
      <w:r>
        <w:fldChar w:fldCharType="end"/>
      </w:r>
      <w:r>
        <w:fldChar w:fldCharType="end"/>
      </w:r>
    </w:p>
    <w:p>
      <w:pPr>
        <w:pStyle w:val="32"/>
        <w:tabs>
          <w:tab w:val="right" w:leader="dot" w:pos="8504"/>
          <w:tab w:val="clear" w:pos="8610"/>
        </w:tabs>
      </w:pPr>
      <w:r>
        <w:fldChar w:fldCharType="begin"/>
      </w:r>
      <w:r>
        <w:instrText xml:space="preserve"> HYPERLINK \l "_Toc9593" </w:instrText>
      </w:r>
      <w:r>
        <w:fldChar w:fldCharType="separate"/>
      </w:r>
      <w:r>
        <w:rPr>
          <w:rFonts w:hint="eastAsia" w:ascii="宋体" w:hAnsi="宋体" w:cs="宋体"/>
        </w:rPr>
        <w:t>H、磋商文件要求的其他证明文件</w:t>
      </w:r>
      <w:r>
        <w:tab/>
      </w:r>
      <w:r>
        <w:fldChar w:fldCharType="begin"/>
      </w:r>
      <w:r>
        <w:instrText xml:space="preserve"> PAGEREF _Toc9593 \h </w:instrText>
      </w:r>
      <w:r>
        <w:fldChar w:fldCharType="separate"/>
      </w:r>
      <w:r>
        <w:t>57</w:t>
      </w:r>
      <w:r>
        <w:fldChar w:fldCharType="end"/>
      </w:r>
      <w:r>
        <w:fldChar w:fldCharType="end"/>
      </w:r>
    </w:p>
    <w:p>
      <w:pPr>
        <w:snapToGrid w:val="0"/>
        <w:rPr>
          <w:rFonts w:ascii="宋体" w:hAnsi="宋体" w:cs="宋体"/>
          <w:b/>
          <w:sz w:val="22"/>
          <w:szCs w:val="22"/>
        </w:rPr>
      </w:pPr>
      <w:r>
        <w:rPr>
          <w:rFonts w:hint="eastAsia" w:ascii="宋体" w:hAnsi="宋体" w:cs="宋体"/>
        </w:rPr>
        <w:fldChar w:fldCharType="end"/>
      </w:r>
    </w:p>
    <w:p>
      <w:pPr>
        <w:snapToGrid w:val="0"/>
        <w:rPr>
          <w:rFonts w:ascii="宋体" w:hAnsi="宋体" w:cs="宋体"/>
          <w:b/>
          <w:sz w:val="22"/>
          <w:szCs w:val="22"/>
        </w:rPr>
        <w:sectPr>
          <w:footerReference r:id="rId5" w:type="first"/>
          <w:footerReference r:id="rId4" w:type="default"/>
          <w:pgSz w:w="11906" w:h="16838"/>
          <w:pgMar w:top="1417" w:right="1701" w:bottom="1417" w:left="1701" w:header="851" w:footer="992" w:gutter="0"/>
          <w:pgNumType w:start="1"/>
          <w:cols w:space="720" w:num="1"/>
          <w:docGrid w:type="lines" w:linePitch="312" w:charSpace="0"/>
        </w:sectPr>
      </w:pPr>
    </w:p>
    <w:p>
      <w:pPr>
        <w:snapToGrid w:val="0"/>
        <w:rPr>
          <w:rFonts w:ascii="宋体" w:hAnsi="宋体" w:cs="宋体"/>
          <w:b/>
          <w:sz w:val="22"/>
          <w:szCs w:val="22"/>
        </w:rPr>
      </w:pPr>
    </w:p>
    <w:p>
      <w:pPr>
        <w:snapToGrid w:val="0"/>
        <w:jc w:val="center"/>
        <w:rPr>
          <w:rFonts w:ascii="宋体" w:hAnsi="宋体" w:cs="宋体"/>
          <w:sz w:val="44"/>
          <w:szCs w:val="44"/>
        </w:rPr>
      </w:pPr>
      <w:bookmarkStart w:id="1" w:name="_Toc3136"/>
      <w:bookmarkStart w:id="2" w:name="_Toc9812"/>
      <w:bookmarkStart w:id="3" w:name="_Toc25266"/>
      <w:bookmarkStart w:id="4" w:name="_Toc28485"/>
      <w:bookmarkStart w:id="5" w:name="_Toc8133"/>
      <w:bookmarkStart w:id="6" w:name="_Toc15899"/>
      <w:bookmarkStart w:id="7" w:name="_Toc16259"/>
      <w:bookmarkStart w:id="8" w:name="_Toc23308"/>
      <w:bookmarkStart w:id="9" w:name="_Toc12049274"/>
      <w:bookmarkStart w:id="10" w:name="_Toc27437"/>
      <w:bookmarkStart w:id="11" w:name="_Toc5315"/>
      <w:bookmarkStart w:id="12" w:name="_Toc13303"/>
      <w:bookmarkStart w:id="13" w:name="_Toc31234"/>
      <w:bookmarkStart w:id="14" w:name="_Toc30540"/>
      <w:bookmarkStart w:id="15" w:name="_Toc28517"/>
      <w:bookmarkStart w:id="16" w:name="_Toc1437"/>
      <w:bookmarkStart w:id="17" w:name="_Toc6891"/>
      <w:bookmarkStart w:id="18" w:name="_Toc3237"/>
      <w:bookmarkStart w:id="19" w:name="_Toc11717"/>
      <w:bookmarkStart w:id="20" w:name="_Toc11723"/>
      <w:bookmarkStart w:id="21" w:name="_Toc26976"/>
    </w:p>
    <w:p>
      <w:pPr>
        <w:snapToGrid w:val="0"/>
        <w:jc w:val="center"/>
        <w:rPr>
          <w:rFonts w:ascii="宋体" w:hAnsi="宋体" w:cs="宋体"/>
          <w:sz w:val="44"/>
          <w:szCs w:val="44"/>
        </w:rPr>
      </w:pPr>
    </w:p>
    <w:p>
      <w:pPr>
        <w:snapToGrid w:val="0"/>
        <w:jc w:val="center"/>
        <w:rPr>
          <w:rFonts w:ascii="宋体" w:hAnsi="宋体" w:cs="宋体"/>
          <w:sz w:val="44"/>
          <w:szCs w:val="44"/>
        </w:rPr>
      </w:pPr>
    </w:p>
    <w:p>
      <w:pPr>
        <w:snapToGrid w:val="0"/>
        <w:jc w:val="center"/>
        <w:rPr>
          <w:rFonts w:ascii="宋体" w:hAnsi="宋体" w:cs="宋体"/>
          <w:sz w:val="44"/>
          <w:szCs w:val="44"/>
        </w:rPr>
      </w:pPr>
    </w:p>
    <w:p>
      <w:pPr>
        <w:pStyle w:val="3"/>
        <w:numPr>
          <w:ilvl w:val="0"/>
          <w:numId w:val="0"/>
        </w:numPr>
        <w:jc w:val="center"/>
        <w:rPr>
          <w:rFonts w:ascii="宋体" w:hAnsi="宋体" w:eastAsia="宋体" w:cs="宋体"/>
          <w:sz w:val="44"/>
          <w:szCs w:val="44"/>
        </w:rPr>
        <w:sectPr>
          <w:headerReference r:id="rId6" w:type="first"/>
          <w:footerReference r:id="rId8" w:type="first"/>
          <w:footerReference r:id="rId7" w:type="default"/>
          <w:pgSz w:w="11906" w:h="16838"/>
          <w:pgMar w:top="1417" w:right="1701" w:bottom="1417" w:left="1701" w:header="851" w:footer="992" w:gutter="0"/>
          <w:cols w:space="720" w:num="1"/>
          <w:titlePg/>
          <w:docGrid w:type="lines" w:linePitch="312" w:charSpace="0"/>
        </w:sectPr>
      </w:pPr>
      <w:bookmarkStart w:id="22" w:name="_Toc29499"/>
      <w:bookmarkStart w:id="23" w:name="_Toc1341"/>
      <w:bookmarkStart w:id="24" w:name="_Toc14212"/>
      <w:bookmarkStart w:id="25" w:name="_Toc8974"/>
      <w:bookmarkStart w:id="26" w:name="_Toc31827"/>
      <w:bookmarkStart w:id="27" w:name="_Toc10608"/>
      <w:bookmarkStart w:id="28" w:name="_Toc3982"/>
      <w:bookmarkStart w:id="29" w:name="_Toc15417"/>
      <w:bookmarkStart w:id="30" w:name="_Toc7516"/>
      <w:bookmarkStart w:id="31" w:name="_Toc17909"/>
      <w:bookmarkStart w:id="32" w:name="_Toc21909"/>
      <w:bookmarkStart w:id="33" w:name="_Toc30002"/>
      <w:bookmarkStart w:id="34" w:name="_Toc19652"/>
      <w:bookmarkStart w:id="35" w:name="_Toc25096"/>
      <w:bookmarkStart w:id="36" w:name="_Toc8203"/>
      <w:bookmarkStart w:id="37" w:name="_Toc26299"/>
      <w:bookmarkStart w:id="38" w:name="_Toc6788"/>
      <w:bookmarkStart w:id="39" w:name="_Toc30760"/>
      <w:bookmarkStart w:id="40" w:name="_Toc20295"/>
      <w:bookmarkStart w:id="41" w:name="_Toc9569"/>
      <w:bookmarkStart w:id="42" w:name="_Toc18469"/>
      <w:bookmarkStart w:id="43" w:name="_Toc13614"/>
      <w:bookmarkStart w:id="44" w:name="_Toc15369"/>
      <w:bookmarkStart w:id="45" w:name="_Toc21686"/>
      <w:bookmarkStart w:id="46" w:name="_Toc12457"/>
      <w:r>
        <w:rPr>
          <w:rFonts w:hint="eastAsia" w:ascii="宋体" w:hAnsi="宋体" w:eastAsia="宋体" w:cs="宋体"/>
          <w:sz w:val="44"/>
          <w:szCs w:val="44"/>
        </w:rPr>
        <w:t>第一部分 竞争性磋商公告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snapToGrid w:val="0"/>
        <w:jc w:val="center"/>
        <w:rPr>
          <w:rFonts w:hint="eastAsia" w:ascii="宋体" w:hAnsi="宋体" w:eastAsia="宋体" w:cs="宋体"/>
          <w:b/>
          <w:sz w:val="32"/>
          <w:szCs w:val="32"/>
          <w:lang w:eastAsia="zh-CN"/>
        </w:rPr>
      </w:pPr>
      <w:r>
        <w:rPr>
          <w:rFonts w:hint="eastAsia" w:ascii="宋体" w:hAnsi="宋体" w:cs="宋体"/>
          <w:b/>
          <w:sz w:val="32"/>
          <w:szCs w:val="32"/>
          <w:lang w:eastAsia="zh-CN"/>
        </w:rPr>
        <w:t>黑龙江省省直机关第五幼儿园2个教学班级更换防火窗</w:t>
      </w:r>
    </w:p>
    <w:p>
      <w:pPr>
        <w:snapToGrid w:val="0"/>
        <w:jc w:val="center"/>
        <w:rPr>
          <w:rFonts w:ascii="宋体" w:hAnsi="宋体" w:cs="宋体"/>
          <w:b/>
          <w:sz w:val="32"/>
          <w:szCs w:val="32"/>
        </w:rPr>
      </w:pPr>
      <w:r>
        <w:rPr>
          <w:rFonts w:hint="eastAsia" w:ascii="宋体" w:hAnsi="宋体" w:cs="宋体"/>
          <w:b/>
          <w:sz w:val="32"/>
          <w:szCs w:val="32"/>
        </w:rPr>
        <w:t>竞争性磋商公告</w:t>
      </w:r>
    </w:p>
    <w:tbl>
      <w:tblPr>
        <w:tblStyle w:val="4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8522" w:type="dxa"/>
          </w:tcPr>
          <w:p>
            <w:pPr>
              <w:ind w:firstLine="480" w:firstLineChars="200"/>
              <w:rPr>
                <w:rFonts w:ascii="宋体" w:hAnsi="宋体" w:cs="宋体"/>
                <w:sz w:val="24"/>
              </w:rPr>
            </w:pPr>
            <w:r>
              <w:rPr>
                <w:rFonts w:hint="eastAsia" w:ascii="宋体" w:hAnsi="宋体" w:cs="宋体"/>
                <w:sz w:val="24"/>
              </w:rPr>
              <w:t>项目概况</w:t>
            </w:r>
          </w:p>
          <w:p>
            <w:pPr>
              <w:ind w:firstLine="480" w:firstLineChars="200"/>
              <w:rPr>
                <w:rFonts w:ascii="宋体" w:hAnsi="宋体" w:cs="宋体"/>
                <w:sz w:val="24"/>
              </w:rPr>
            </w:pPr>
            <w:r>
              <w:rPr>
                <w:rFonts w:hint="eastAsia" w:ascii="宋体" w:hAnsi="宋体" w:cs="宋体"/>
                <w:sz w:val="24"/>
                <w:lang w:eastAsia="zh-CN"/>
              </w:rPr>
              <w:t>黑龙江省省直机关第五幼儿园2个教学班级更换防火窗</w:t>
            </w:r>
            <w:r>
              <w:rPr>
                <w:rFonts w:hint="eastAsia" w:ascii="宋体" w:hAnsi="宋体" w:cs="宋体"/>
                <w:sz w:val="24"/>
              </w:rPr>
              <w:t>的潜在供应商应登录“黑龙江省政府采购管理平台”（http://hljcg.hlj.gov.cn/）获取采购文件，并于</w:t>
            </w:r>
            <w:r>
              <w:rPr>
                <w:rFonts w:hint="eastAsia" w:ascii="宋体" w:hAnsi="宋体" w:cs="宋体"/>
                <w:color w:val="0000FF"/>
                <w:sz w:val="24"/>
                <w:highlight w:val="none"/>
                <w:lang w:eastAsia="zh-CN"/>
              </w:rPr>
              <w:t>2021年10月25日09时30分</w:t>
            </w:r>
            <w:r>
              <w:rPr>
                <w:rFonts w:hint="eastAsia" w:ascii="宋体" w:hAnsi="宋体" w:cs="宋体"/>
                <w:sz w:val="24"/>
              </w:rPr>
              <w:t>（北京时间）前提交响应文件。</w:t>
            </w:r>
          </w:p>
        </w:tc>
      </w:tr>
    </w:tbl>
    <w:p>
      <w:pPr>
        <w:ind w:firstLine="480" w:firstLineChars="200"/>
        <w:rPr>
          <w:rFonts w:ascii="宋体" w:hAnsi="宋体" w:cs="宋体"/>
          <w:sz w:val="24"/>
        </w:rPr>
      </w:pPr>
      <w:r>
        <w:rPr>
          <w:rFonts w:hint="eastAsia" w:ascii="宋体" w:hAnsi="宋体" w:cs="宋体"/>
          <w:sz w:val="24"/>
        </w:rPr>
        <w:t>一、项目基本情况</w:t>
      </w:r>
    </w:p>
    <w:p>
      <w:pPr>
        <w:ind w:firstLine="480" w:firstLineChars="200"/>
        <w:rPr>
          <w:rFonts w:hint="eastAsia" w:ascii="宋体" w:hAnsi="宋体" w:eastAsia="宋体" w:cs="宋体"/>
          <w:sz w:val="24"/>
          <w:lang w:eastAsia="zh-CN"/>
        </w:rPr>
      </w:pPr>
      <w:r>
        <w:rPr>
          <w:rFonts w:hint="eastAsia" w:ascii="宋体" w:hAnsi="宋体" w:cs="宋体"/>
          <w:sz w:val="24"/>
        </w:rPr>
        <w:t>项目编号：</w:t>
      </w:r>
      <w:r>
        <w:rPr>
          <w:rFonts w:hint="eastAsia" w:ascii="宋体" w:hAnsi="宋体" w:cs="宋体"/>
          <w:sz w:val="24"/>
          <w:lang w:eastAsia="zh-CN"/>
        </w:rPr>
        <w:t>C-21637-BTZB</w:t>
      </w:r>
    </w:p>
    <w:p>
      <w:pPr>
        <w:ind w:firstLine="480" w:firstLineChars="200"/>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eastAsia="zh-CN"/>
        </w:rPr>
        <w:t>黑龙江省省直机关第五幼儿园2个教学班级更换防火窗</w:t>
      </w:r>
    </w:p>
    <w:p>
      <w:pPr>
        <w:ind w:firstLine="480" w:firstLineChars="200"/>
        <w:rPr>
          <w:rFonts w:ascii="宋体" w:hAnsi="宋体" w:cs="宋体"/>
          <w:sz w:val="24"/>
        </w:rPr>
      </w:pPr>
      <w:r>
        <w:rPr>
          <w:rFonts w:hint="eastAsia" w:ascii="宋体" w:hAnsi="宋体" w:cs="宋体"/>
          <w:sz w:val="24"/>
        </w:rPr>
        <w:t>采购方式：竞争性磋商</w:t>
      </w:r>
    </w:p>
    <w:p>
      <w:pPr>
        <w:ind w:firstLine="480" w:firstLineChars="200"/>
        <w:rPr>
          <w:rFonts w:ascii="宋体" w:hAnsi="宋体" w:cs="宋体"/>
          <w:sz w:val="24"/>
        </w:rPr>
      </w:pPr>
      <w:r>
        <w:rPr>
          <w:rFonts w:hint="eastAsia" w:ascii="宋体" w:hAnsi="宋体" w:cs="宋体"/>
          <w:sz w:val="24"/>
        </w:rPr>
        <w:t>预算金额：</w:t>
      </w:r>
      <w:r>
        <w:rPr>
          <w:rFonts w:hint="eastAsia" w:ascii="宋体" w:hAnsi="宋体" w:cs="宋体"/>
          <w:sz w:val="24"/>
          <w:lang w:eastAsia="zh-CN"/>
        </w:rPr>
        <w:t>49,467.00</w:t>
      </w:r>
      <w:r>
        <w:rPr>
          <w:rFonts w:hint="eastAsia" w:ascii="宋体" w:hAnsi="宋体" w:cs="宋体"/>
          <w:sz w:val="24"/>
        </w:rPr>
        <w:t>元</w:t>
      </w:r>
    </w:p>
    <w:p>
      <w:pPr>
        <w:ind w:firstLine="480" w:firstLineChars="200"/>
        <w:rPr>
          <w:rFonts w:ascii="宋体" w:hAnsi="宋体" w:cs="宋体"/>
          <w:sz w:val="24"/>
        </w:rPr>
      </w:pPr>
      <w:r>
        <w:rPr>
          <w:rFonts w:hint="eastAsia" w:ascii="宋体" w:hAnsi="宋体" w:cs="宋体"/>
          <w:sz w:val="24"/>
        </w:rPr>
        <w:t>最高限价：</w:t>
      </w:r>
      <w:r>
        <w:rPr>
          <w:rFonts w:hint="eastAsia" w:ascii="宋体" w:hAnsi="宋体" w:cs="宋体"/>
          <w:sz w:val="24"/>
          <w:lang w:eastAsia="zh-CN"/>
        </w:rPr>
        <w:t>49,467.00</w:t>
      </w:r>
      <w:r>
        <w:rPr>
          <w:rFonts w:hint="eastAsia" w:ascii="宋体" w:hAnsi="宋体" w:cs="宋体"/>
          <w:sz w:val="24"/>
        </w:rPr>
        <w:t>元</w:t>
      </w:r>
    </w:p>
    <w:p>
      <w:pPr>
        <w:ind w:firstLine="480" w:firstLineChars="200"/>
        <w:rPr>
          <w:rFonts w:ascii="宋体" w:hAnsi="宋体" w:cs="宋体"/>
          <w:sz w:val="24"/>
        </w:rPr>
      </w:pPr>
      <w:r>
        <w:rPr>
          <w:rFonts w:hint="eastAsia" w:ascii="宋体" w:hAnsi="宋体" w:cs="宋体"/>
          <w:sz w:val="24"/>
        </w:rPr>
        <w:t>采购需求：</w:t>
      </w:r>
      <w:r>
        <w:rPr>
          <w:rFonts w:hint="eastAsia" w:ascii="宋体" w:hAnsi="宋体" w:cs="宋体"/>
          <w:sz w:val="24"/>
          <w:lang w:eastAsia="zh-CN"/>
        </w:rPr>
        <w:t>2个教学班级更换防火窗</w:t>
      </w:r>
      <w:r>
        <w:rPr>
          <w:rFonts w:hint="eastAsia" w:ascii="宋体" w:hAnsi="宋体" w:cs="宋体"/>
          <w:sz w:val="24"/>
        </w:rPr>
        <w:t>，详见竞争性磋商文件及工程量清单。</w:t>
      </w:r>
    </w:p>
    <w:p>
      <w:pPr>
        <w:ind w:firstLine="480" w:firstLineChars="200"/>
        <w:rPr>
          <w:rFonts w:ascii="宋体" w:hAnsi="宋体" w:cs="宋体"/>
          <w:sz w:val="24"/>
          <w:highlight w:val="none"/>
        </w:rPr>
      </w:pPr>
      <w:r>
        <w:rPr>
          <w:rFonts w:hint="eastAsia" w:ascii="宋体" w:hAnsi="宋体" w:cs="宋体"/>
          <w:sz w:val="24"/>
        </w:rPr>
        <w:t>合同履行</w:t>
      </w:r>
      <w:bookmarkStart w:id="1864" w:name="_GoBack"/>
      <w:r>
        <w:rPr>
          <w:rFonts w:hint="eastAsia" w:ascii="宋体" w:hAnsi="宋体" w:cs="宋体"/>
          <w:sz w:val="24"/>
          <w:highlight w:val="none"/>
        </w:rPr>
        <w:t>期限：签订合同后30日历天内竣工并验收合格。</w:t>
      </w:r>
    </w:p>
    <w:p>
      <w:pPr>
        <w:ind w:firstLine="480" w:firstLineChars="200"/>
        <w:rPr>
          <w:rFonts w:ascii="宋体" w:hAnsi="宋体" w:cs="宋体"/>
          <w:sz w:val="24"/>
          <w:highlight w:val="none"/>
        </w:rPr>
      </w:pPr>
      <w:r>
        <w:rPr>
          <w:rFonts w:hint="eastAsia" w:ascii="宋体" w:hAnsi="宋体" w:cs="宋体"/>
          <w:sz w:val="24"/>
          <w:highlight w:val="none"/>
        </w:rPr>
        <w:t>合同履行地点：采购人指定地点</w:t>
      </w:r>
    </w:p>
    <w:bookmarkEnd w:id="1864"/>
    <w:p>
      <w:pPr>
        <w:ind w:firstLine="480" w:firstLineChars="200"/>
        <w:rPr>
          <w:rFonts w:ascii="宋体" w:hAnsi="宋体" w:cs="宋体"/>
          <w:sz w:val="24"/>
        </w:rPr>
      </w:pPr>
      <w:r>
        <w:rPr>
          <w:rFonts w:hint="eastAsia" w:ascii="宋体" w:hAnsi="宋体" w:cs="宋体"/>
          <w:sz w:val="24"/>
        </w:rPr>
        <w:t>本项目（是/否）接受联合体：否</w:t>
      </w:r>
    </w:p>
    <w:p>
      <w:pPr>
        <w:ind w:firstLine="480" w:firstLineChars="200"/>
        <w:rPr>
          <w:rFonts w:ascii="宋体" w:hAnsi="宋体" w:cs="宋体"/>
          <w:sz w:val="24"/>
        </w:rPr>
      </w:pPr>
      <w:r>
        <w:rPr>
          <w:rFonts w:hint="eastAsia" w:ascii="宋体" w:hAnsi="宋体" w:cs="宋体"/>
          <w:sz w:val="24"/>
        </w:rPr>
        <w:t>二、申请人的资格要求：</w:t>
      </w:r>
    </w:p>
    <w:p>
      <w:pPr>
        <w:ind w:firstLine="480" w:firstLineChars="200"/>
        <w:rPr>
          <w:rFonts w:ascii="宋体" w:hAnsi="宋体" w:cs="宋体"/>
          <w:sz w:val="24"/>
        </w:rPr>
      </w:pPr>
      <w:r>
        <w:rPr>
          <w:rFonts w:hint="eastAsia" w:ascii="宋体" w:hAnsi="宋体" w:cs="宋体"/>
          <w:sz w:val="24"/>
        </w:rPr>
        <w:t>1.满足《中华人民共和国政府采购法》第二十二条规定。</w:t>
      </w:r>
    </w:p>
    <w:p>
      <w:pPr>
        <w:ind w:firstLine="480" w:firstLineChars="200"/>
        <w:rPr>
          <w:rFonts w:ascii="宋体" w:hAnsi="宋体" w:cs="宋体"/>
          <w:sz w:val="24"/>
        </w:rPr>
      </w:pPr>
      <w:r>
        <w:rPr>
          <w:rFonts w:hint="eastAsia" w:ascii="宋体" w:hAnsi="宋体" w:cs="宋体"/>
          <w:sz w:val="24"/>
        </w:rPr>
        <w:t>2.落实政府采购政策需满足的资格要求：无。</w:t>
      </w:r>
    </w:p>
    <w:p>
      <w:pPr>
        <w:ind w:firstLine="480" w:firstLineChars="200"/>
        <w:rPr>
          <w:rFonts w:ascii="宋体" w:hAnsi="宋体" w:cs="宋体"/>
          <w:sz w:val="24"/>
        </w:rPr>
      </w:pPr>
      <w:r>
        <w:rPr>
          <w:rFonts w:hint="eastAsia" w:ascii="宋体" w:hAnsi="宋体" w:cs="宋体"/>
          <w:sz w:val="24"/>
        </w:rPr>
        <w:t>3.本项目的特定资格要求：</w:t>
      </w:r>
    </w:p>
    <w:p>
      <w:pPr>
        <w:ind w:firstLine="480" w:firstLineChars="200"/>
        <w:rPr>
          <w:rFonts w:ascii="宋体" w:hAnsi="宋体" w:cs="宋体"/>
          <w:sz w:val="24"/>
        </w:rPr>
      </w:pPr>
      <w:r>
        <w:rPr>
          <w:rFonts w:hint="eastAsia" w:ascii="宋体" w:hAnsi="宋体" w:cs="宋体"/>
          <w:sz w:val="24"/>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cs="宋体"/>
          <w:sz w:val="24"/>
        </w:rPr>
      </w:pPr>
      <w:r>
        <w:rPr>
          <w:rFonts w:hint="eastAsia" w:ascii="宋体" w:hAnsi="宋体" w:cs="宋体"/>
          <w:sz w:val="24"/>
        </w:rPr>
        <w:t>（2）参加本项目采购的潜在供应商自本公告发布之日起（含公告发布当日）前三年内没有重大违法记录，已被列入失信被执行人、重大税收违法案件当事人名单、政府采购严重违法失信行为记录名单，不得参与政府采购活动。</w:t>
      </w:r>
    </w:p>
    <w:p>
      <w:pPr>
        <w:ind w:firstLine="480" w:firstLineChars="200"/>
        <w:rPr>
          <w:rFonts w:ascii="宋体" w:hAnsi="宋体" w:cs="宋体"/>
          <w:sz w:val="24"/>
        </w:rPr>
      </w:pPr>
      <w:r>
        <w:rPr>
          <w:rFonts w:hint="eastAsia" w:ascii="宋体" w:hAnsi="宋体" w:cs="宋体"/>
          <w:sz w:val="24"/>
        </w:rPr>
        <w:t>核查路径：</w:t>
      </w:r>
    </w:p>
    <w:p>
      <w:pPr>
        <w:ind w:firstLine="480" w:firstLineChars="200"/>
        <w:rPr>
          <w:rFonts w:ascii="宋体" w:hAnsi="宋体" w:cs="宋体"/>
          <w:sz w:val="24"/>
        </w:rPr>
      </w:pPr>
      <w:r>
        <w:rPr>
          <w:rFonts w:hint="eastAsia" w:ascii="宋体" w:hAnsi="宋体" w:cs="宋体"/>
          <w:sz w:val="24"/>
        </w:rPr>
        <w:t>“信用中国”网站(http://www.creditchina.gov.cn/)</w:t>
      </w:r>
    </w:p>
    <w:p>
      <w:pPr>
        <w:ind w:firstLine="480" w:firstLineChars="200"/>
        <w:rPr>
          <w:rFonts w:ascii="宋体" w:hAnsi="宋体" w:cs="宋体"/>
          <w:sz w:val="24"/>
        </w:rPr>
      </w:pPr>
      <w:r>
        <w:rPr>
          <w:rFonts w:hint="eastAsia" w:ascii="宋体" w:hAnsi="宋体" w:cs="宋体"/>
          <w:sz w:val="24"/>
        </w:rPr>
        <w:t>“中国政府采购网”网站(http://www.ccgp.gov.cn/cr/list)</w:t>
      </w:r>
    </w:p>
    <w:p>
      <w:pPr>
        <w:ind w:firstLine="480" w:firstLineChars="200"/>
        <w:rPr>
          <w:rFonts w:ascii="宋体" w:hAnsi="宋体" w:cs="宋体"/>
          <w:sz w:val="24"/>
        </w:rPr>
      </w:pPr>
      <w:r>
        <w:rPr>
          <w:rFonts w:hint="eastAsia" w:ascii="宋体" w:hAnsi="宋体" w:cs="宋体"/>
          <w:sz w:val="24"/>
        </w:rPr>
        <w:t>（3）企业资质及人员要求</w:t>
      </w:r>
    </w:p>
    <w:p>
      <w:pPr>
        <w:ind w:firstLine="480" w:firstLineChars="200"/>
        <w:rPr>
          <w:rFonts w:ascii="宋体" w:hAnsi="宋体" w:cs="宋体"/>
          <w:sz w:val="24"/>
        </w:rPr>
      </w:pPr>
      <w:r>
        <w:rPr>
          <w:rFonts w:hint="eastAsia" w:ascii="宋体" w:hAnsi="宋体" w:cs="宋体"/>
          <w:sz w:val="24"/>
        </w:rPr>
        <w:t>1）拟参加本项目采购的供应</w:t>
      </w:r>
      <w:r>
        <w:rPr>
          <w:rFonts w:hint="eastAsia" w:ascii="宋体" w:hAnsi="宋体" w:cs="宋体"/>
          <w:sz w:val="24"/>
          <w:highlight w:val="none"/>
        </w:rPr>
        <w:t>商须具备建设行政主管部</w:t>
      </w:r>
      <w:r>
        <w:rPr>
          <w:rFonts w:hint="eastAsia" w:ascii="宋体" w:hAnsi="宋体" w:cs="宋体"/>
          <w:sz w:val="24"/>
          <w:highlight w:val="none"/>
        </w:rPr>
        <w:t>门颁发的</w:t>
      </w:r>
      <w:r>
        <w:rPr>
          <w:rFonts w:hint="eastAsia" w:ascii="宋体" w:hAnsi="宋体" w:cs="宋体"/>
          <w:sz w:val="24"/>
          <w:highlight w:val="none"/>
          <w:lang w:eastAsia="zh-CN"/>
        </w:rPr>
        <w:t>建筑装修装饰工程专业承包二级及以上资质</w:t>
      </w:r>
      <w:r>
        <w:rPr>
          <w:rFonts w:hint="eastAsia" w:ascii="宋体" w:hAnsi="宋体" w:cs="宋体"/>
          <w:sz w:val="24"/>
          <w:highlight w:val="none"/>
        </w:rPr>
        <w:t>；具有有效的安全生</w:t>
      </w:r>
      <w:r>
        <w:rPr>
          <w:rFonts w:hint="eastAsia" w:ascii="宋体" w:hAnsi="宋体" w:cs="宋体"/>
          <w:sz w:val="24"/>
        </w:rPr>
        <w:t>产许可证；</w:t>
      </w:r>
    </w:p>
    <w:p>
      <w:pPr>
        <w:ind w:firstLine="480" w:firstLineChars="200"/>
        <w:rPr>
          <w:rFonts w:ascii="宋体" w:hAnsi="宋体" w:cs="宋体"/>
          <w:sz w:val="24"/>
        </w:rPr>
      </w:pPr>
      <w:r>
        <w:rPr>
          <w:rFonts w:hint="eastAsia" w:ascii="宋体" w:hAnsi="宋体" w:cs="宋体"/>
          <w:sz w:val="24"/>
        </w:rPr>
        <w:t>2）潜在供应商拟派项目经理须具备相关专业二级及以上（含二级）注册建造师资格（证企相符），具备有效的安全生产考核B证，且未担任其他在施建设工程项目（由供应商自行将项目经理无在建承诺放入磋商响应文件中并加盖公章，无项目经理承诺按响应无效处理）；</w:t>
      </w:r>
    </w:p>
    <w:p>
      <w:pPr>
        <w:ind w:firstLine="480" w:firstLineChars="200"/>
        <w:rPr>
          <w:rFonts w:ascii="宋体" w:hAnsi="宋体" w:cs="宋体"/>
          <w:sz w:val="24"/>
        </w:rPr>
      </w:pPr>
      <w:r>
        <w:rPr>
          <w:rFonts w:hint="eastAsia" w:ascii="宋体" w:hAnsi="宋体" w:cs="宋体"/>
          <w:sz w:val="24"/>
        </w:rPr>
        <w:t>3）潜在供应商拟派技术负责人须具备相关专业中级及以上（含中级）技术职称。</w:t>
      </w:r>
    </w:p>
    <w:p>
      <w:pPr>
        <w:ind w:firstLine="480" w:firstLineChars="200"/>
      </w:pPr>
      <w:r>
        <w:rPr>
          <w:rFonts w:hint="eastAsia" w:ascii="宋体" w:hAnsi="宋体" w:cs="宋体"/>
          <w:sz w:val="24"/>
        </w:rPr>
        <w:t>4）潜在供应商拟派项目班子须具备施工员、质量员具有有效的岗位证书；安全员须具有有效的安全生产考核合格证书（C证）及以上。</w:t>
      </w:r>
    </w:p>
    <w:p>
      <w:pPr>
        <w:ind w:firstLine="480" w:firstLineChars="200"/>
        <w:rPr>
          <w:rFonts w:ascii="宋体" w:hAnsi="宋体" w:cs="宋体"/>
          <w:sz w:val="24"/>
        </w:rPr>
      </w:pPr>
      <w:r>
        <w:rPr>
          <w:rFonts w:hint="eastAsia" w:ascii="宋体" w:hAnsi="宋体" w:cs="宋体"/>
          <w:sz w:val="24"/>
        </w:rPr>
        <w:t>三、获取采购文件</w:t>
      </w:r>
    </w:p>
    <w:p>
      <w:pPr>
        <w:pStyle w:val="40"/>
        <w:shd w:val="clear" w:color="auto" w:fill="FFFFFF"/>
        <w:spacing w:before="0" w:beforeAutospacing="0" w:after="0" w:afterAutospacing="0" w:line="360" w:lineRule="auto"/>
        <w:ind w:firstLine="480"/>
        <w:jc w:val="both"/>
        <w:textAlignment w:val="baseline"/>
        <w:rPr>
          <w:rFonts w:cs="宋体"/>
        </w:rPr>
      </w:pPr>
      <w:r>
        <w:rPr>
          <w:rFonts w:hint="eastAsia" w:cs="宋体"/>
          <w:shd w:val="clear" w:color="auto" w:fill="FFFFFF"/>
        </w:rPr>
        <w:t>时间：详见公告</w:t>
      </w:r>
    </w:p>
    <w:p>
      <w:pPr>
        <w:pStyle w:val="40"/>
        <w:shd w:val="clear" w:color="auto" w:fill="FFFFFF"/>
        <w:spacing w:before="0" w:beforeAutospacing="0" w:after="0" w:afterAutospacing="0" w:line="360" w:lineRule="auto"/>
        <w:ind w:firstLine="480"/>
        <w:jc w:val="both"/>
        <w:textAlignment w:val="baseline"/>
        <w:rPr>
          <w:rFonts w:cs="宋体"/>
        </w:rPr>
      </w:pPr>
      <w:r>
        <w:rPr>
          <w:rFonts w:hint="eastAsia" w:cs="宋体"/>
          <w:shd w:val="clear" w:color="auto" w:fill="FFFFFF"/>
        </w:rPr>
        <w:t>地点：登录“黑龙江省政府采购管理平台”（http://hljcg.hlj.gov.cn/）</w:t>
      </w:r>
    </w:p>
    <w:p>
      <w:pPr>
        <w:pStyle w:val="40"/>
        <w:shd w:val="clear" w:color="auto" w:fill="FFFFFF"/>
        <w:spacing w:before="0" w:beforeAutospacing="0" w:after="0" w:afterAutospacing="0" w:line="360" w:lineRule="auto"/>
        <w:ind w:firstLine="480"/>
        <w:jc w:val="both"/>
        <w:textAlignment w:val="baseline"/>
        <w:rPr>
          <w:rFonts w:cs="宋体"/>
        </w:rPr>
      </w:pPr>
      <w:r>
        <w:rPr>
          <w:rFonts w:hint="eastAsia" w:cs="宋体"/>
          <w:shd w:val="clear" w:color="auto" w:fill="FFFFFF"/>
        </w:rPr>
        <w:t>方式：在线获取</w:t>
      </w:r>
    </w:p>
    <w:p>
      <w:pPr>
        <w:pStyle w:val="40"/>
        <w:shd w:val="clear" w:color="auto" w:fill="FFFFFF"/>
        <w:spacing w:before="0" w:beforeAutospacing="0" w:after="0" w:afterAutospacing="0" w:line="360" w:lineRule="auto"/>
        <w:ind w:firstLine="480"/>
        <w:jc w:val="both"/>
        <w:textAlignment w:val="baseline"/>
        <w:rPr>
          <w:rFonts w:cs="宋体"/>
        </w:rPr>
      </w:pPr>
      <w:r>
        <w:rPr>
          <w:rFonts w:hint="eastAsia" w:cs="宋体"/>
          <w:shd w:val="clear" w:color="auto" w:fill="FFFFFF"/>
        </w:rPr>
        <w:t>售价：500元</w:t>
      </w:r>
    </w:p>
    <w:p>
      <w:pPr>
        <w:ind w:firstLine="480" w:firstLineChars="200"/>
        <w:rPr>
          <w:rFonts w:ascii="宋体" w:hAnsi="宋体" w:cs="宋体"/>
          <w:sz w:val="24"/>
        </w:rPr>
      </w:pPr>
      <w:r>
        <w:rPr>
          <w:rFonts w:hint="eastAsia" w:ascii="宋体" w:hAnsi="宋体" w:cs="宋体"/>
          <w:sz w:val="24"/>
        </w:rPr>
        <w:t>四、响应文件提交</w:t>
      </w:r>
    </w:p>
    <w:p>
      <w:pPr>
        <w:pStyle w:val="40"/>
        <w:shd w:val="clear" w:color="auto" w:fill="FFFFFF"/>
        <w:spacing w:before="0" w:beforeAutospacing="0" w:after="0" w:afterAutospacing="0" w:line="360" w:lineRule="auto"/>
        <w:ind w:firstLine="480"/>
        <w:jc w:val="both"/>
        <w:textAlignment w:val="baseline"/>
        <w:rPr>
          <w:rFonts w:cs="宋体"/>
          <w:shd w:val="clear" w:color="auto" w:fill="FFFFFF"/>
        </w:rPr>
      </w:pPr>
      <w:r>
        <w:rPr>
          <w:rFonts w:hint="eastAsia" w:cs="宋体"/>
          <w:shd w:val="clear" w:color="auto" w:fill="FFFFFF"/>
        </w:rPr>
        <w:t>截止时间：</w:t>
      </w:r>
      <w:r>
        <w:rPr>
          <w:rFonts w:hint="eastAsia" w:cs="宋体"/>
          <w:shd w:val="clear" w:color="auto" w:fill="FFFFFF"/>
          <w:lang w:eastAsia="zh-CN"/>
        </w:rPr>
        <w:t>2021年10月25日09时30分</w:t>
      </w:r>
      <w:r>
        <w:rPr>
          <w:rFonts w:hint="eastAsia" w:cs="宋体"/>
          <w:shd w:val="clear" w:color="auto" w:fill="FFFFFF"/>
        </w:rPr>
        <w:t>00秒（北京时间）</w:t>
      </w:r>
    </w:p>
    <w:p>
      <w:pPr>
        <w:ind w:firstLine="480" w:firstLineChars="200"/>
        <w:rPr>
          <w:rFonts w:ascii="宋体" w:hAnsi="宋体" w:cs="宋体"/>
          <w:sz w:val="24"/>
          <w:shd w:val="clear" w:color="auto" w:fill="FFFFFF"/>
        </w:rPr>
      </w:pPr>
      <w:r>
        <w:rPr>
          <w:rFonts w:hint="eastAsia" w:ascii="宋体" w:hAnsi="宋体" w:cs="宋体"/>
          <w:sz w:val="24"/>
          <w:shd w:val="clear" w:color="auto" w:fill="FFFFFF"/>
        </w:rPr>
        <w:t>地点：电子响应文件线上提交并现场解密响应文件，纸质文件提交至黑龙江省公共资源标准化交易场所先锋国际中心（哈尔滨市南岗区先锋路469号院内，哈尔滨广告产业园11栋3楼开标室)</w:t>
      </w:r>
      <w:r>
        <w:rPr>
          <w:rFonts w:hint="eastAsia" w:ascii="宋体" w:hAnsi="宋体" w:cs="宋体"/>
          <w:bCs/>
          <w:kern w:val="0"/>
          <w:sz w:val="24"/>
        </w:rPr>
        <w:t>（递交响应文件时，需出示递交人身份证原件）</w:t>
      </w:r>
    </w:p>
    <w:p>
      <w:pPr>
        <w:ind w:firstLine="480" w:firstLineChars="200"/>
        <w:rPr>
          <w:rFonts w:ascii="宋体" w:hAnsi="宋体" w:cs="宋体"/>
          <w:sz w:val="24"/>
        </w:rPr>
      </w:pPr>
      <w:r>
        <w:rPr>
          <w:rFonts w:hint="eastAsia" w:ascii="宋体" w:hAnsi="宋体" w:cs="宋体"/>
          <w:sz w:val="24"/>
        </w:rPr>
        <w:t>五、开启</w:t>
      </w:r>
    </w:p>
    <w:p>
      <w:pPr>
        <w:ind w:firstLine="480" w:firstLineChars="200"/>
        <w:rPr>
          <w:rFonts w:ascii="宋体" w:hAnsi="宋体" w:cs="宋体"/>
          <w:sz w:val="24"/>
        </w:rPr>
      </w:pPr>
      <w:r>
        <w:rPr>
          <w:rFonts w:hint="eastAsia" w:ascii="宋体" w:hAnsi="宋体" w:cs="宋体"/>
          <w:sz w:val="24"/>
        </w:rPr>
        <w:t>时间：</w:t>
      </w:r>
      <w:r>
        <w:rPr>
          <w:rFonts w:hint="eastAsia" w:ascii="宋体" w:hAnsi="宋体" w:cs="宋体"/>
          <w:sz w:val="24"/>
          <w:lang w:eastAsia="zh-CN"/>
        </w:rPr>
        <w:t>2021年10月25日09时30分</w:t>
      </w:r>
      <w:r>
        <w:rPr>
          <w:rFonts w:hint="eastAsia" w:ascii="宋体" w:hAnsi="宋体" w:cs="宋体"/>
          <w:sz w:val="24"/>
        </w:rPr>
        <w:t>00秒（北京时间）</w:t>
      </w:r>
    </w:p>
    <w:p>
      <w:pPr>
        <w:pStyle w:val="40"/>
        <w:shd w:val="clear" w:color="auto" w:fill="FFFFFF"/>
        <w:spacing w:before="0" w:beforeAutospacing="0" w:after="0" w:afterAutospacing="0" w:line="420" w:lineRule="atLeast"/>
        <w:ind w:firstLine="480"/>
        <w:jc w:val="both"/>
        <w:textAlignment w:val="baseline"/>
        <w:rPr>
          <w:rFonts w:cs="宋体"/>
        </w:rPr>
      </w:pPr>
      <w:r>
        <w:rPr>
          <w:rFonts w:hint="eastAsia" w:cs="宋体"/>
        </w:rPr>
        <w:t>地点：黑龙江省公共资源标准化交易场所先锋国际中心（哈尔滨市南岗区先锋路469号院内，哈尔滨广告产业园11栋3楼评标室)</w:t>
      </w:r>
    </w:p>
    <w:p>
      <w:pPr>
        <w:ind w:firstLine="480" w:firstLineChars="200"/>
        <w:rPr>
          <w:rFonts w:ascii="宋体" w:hAnsi="宋体" w:cs="宋体"/>
          <w:sz w:val="24"/>
        </w:rPr>
      </w:pPr>
      <w:r>
        <w:rPr>
          <w:rFonts w:hint="eastAsia" w:ascii="宋体" w:hAnsi="宋体" w:cs="宋体"/>
          <w:sz w:val="24"/>
        </w:rPr>
        <w:t>六、公告期限</w:t>
      </w:r>
    </w:p>
    <w:p>
      <w:pPr>
        <w:ind w:firstLine="480" w:firstLineChars="200"/>
        <w:rPr>
          <w:rFonts w:ascii="宋体" w:hAnsi="宋体" w:cs="宋体"/>
          <w:sz w:val="24"/>
        </w:rPr>
      </w:pPr>
      <w:r>
        <w:rPr>
          <w:rFonts w:hint="eastAsia" w:ascii="宋体" w:hAnsi="宋体" w:cs="宋体"/>
          <w:sz w:val="24"/>
        </w:rPr>
        <w:t>自本公告发布之日起3个工作日。</w:t>
      </w:r>
    </w:p>
    <w:p>
      <w:pPr>
        <w:ind w:firstLine="480" w:firstLineChars="200"/>
        <w:rPr>
          <w:rFonts w:ascii="宋体" w:hAnsi="宋体" w:cs="宋体"/>
          <w:sz w:val="24"/>
        </w:rPr>
      </w:pPr>
      <w:r>
        <w:rPr>
          <w:rFonts w:hint="eastAsia" w:ascii="宋体" w:hAnsi="宋体" w:cs="宋体"/>
          <w:sz w:val="24"/>
        </w:rPr>
        <w:t>七、其他补充事宜</w:t>
      </w:r>
    </w:p>
    <w:p>
      <w:pPr>
        <w:ind w:firstLine="480" w:firstLineChars="200"/>
        <w:rPr>
          <w:rFonts w:ascii="宋体" w:hAnsi="宋体" w:cs="宋体"/>
          <w:sz w:val="24"/>
        </w:rPr>
      </w:pPr>
      <w:r>
        <w:rPr>
          <w:rFonts w:hint="eastAsia" w:ascii="宋体" w:hAnsi="宋体" w:cs="宋体"/>
          <w:sz w:val="24"/>
        </w:rPr>
        <w:t>1.本项目采用资格后审方式，主要资格审查标准、内容等详见采购文件，只有资格审查合格的供应商才有可能被授予合同；</w:t>
      </w:r>
    </w:p>
    <w:p>
      <w:pPr>
        <w:ind w:firstLine="480" w:firstLineChars="200"/>
        <w:rPr>
          <w:rFonts w:ascii="宋体" w:hAnsi="宋体" w:cs="宋体"/>
          <w:sz w:val="24"/>
        </w:rPr>
      </w:pPr>
      <w:r>
        <w:rPr>
          <w:rFonts w:hint="eastAsia" w:ascii="宋体" w:hAnsi="宋体" w:cs="宋体"/>
          <w:sz w:val="24"/>
        </w:rPr>
        <w:t>2.供应商须在公告期内凭用户名和密码，登录黑龙江省政府采购网，选择“交易执行-应标-项目投标”，在“未参与项目”列表中选择需要参与的项目，确认参与后即可获取磋商文件，获取磋商文件的供应商，方具有递交响应文件和质疑资格。逾期报名，不在受理；</w:t>
      </w:r>
    </w:p>
    <w:p>
      <w:pPr>
        <w:ind w:firstLine="480" w:firstLineChars="200"/>
        <w:rPr>
          <w:rFonts w:ascii="宋体" w:hAnsi="宋体" w:cs="宋体"/>
          <w:sz w:val="24"/>
        </w:rPr>
      </w:pPr>
      <w:r>
        <w:rPr>
          <w:rFonts w:hint="eastAsia" w:ascii="宋体" w:hAnsi="宋体" w:cs="宋体"/>
          <w:sz w:val="24"/>
        </w:rPr>
        <w:t>3.如果供应商没有黑龙江省政府采购网账号需要提前注册，没有电子签章CA的需要提前办理，CA用于制作响应文件时盖章、加密和磋商时解密（CA办理流程及驱动下载参考黑龙江省政府采购网（http://hljcg.hlj.gov.cn）办事指南-CA办理流程）具体操作步骤，供应商在黑龙江省政府采购网（http://hljcg.hlj.gov.cn/）下载政府采购供应商操作手册；</w:t>
      </w:r>
    </w:p>
    <w:p>
      <w:pPr>
        <w:ind w:firstLine="480" w:firstLineChars="200"/>
        <w:rPr>
          <w:rFonts w:ascii="宋体" w:hAnsi="宋体" w:cs="宋体"/>
          <w:sz w:val="24"/>
        </w:rPr>
      </w:pPr>
      <w:r>
        <w:rPr>
          <w:rFonts w:hint="eastAsia" w:ascii="宋体" w:hAnsi="宋体" w:cs="宋体"/>
          <w:sz w:val="24"/>
        </w:rPr>
        <w:t>4.本次采购执行政府强制采购节能产品、鼓励环保产品、支持中小微企业、促进残疾人就业、支持监狱和戒毒企业、扶持不发达地区和少数民族地区以及限制采购进口产品等相关政府采购政策；</w:t>
      </w:r>
    </w:p>
    <w:p>
      <w:pPr>
        <w:ind w:firstLine="480" w:firstLineChars="200"/>
        <w:rPr>
          <w:rFonts w:ascii="宋体" w:hAnsi="宋体" w:cs="宋体"/>
          <w:sz w:val="24"/>
        </w:rPr>
      </w:pPr>
      <w:r>
        <w:rPr>
          <w:rFonts w:hint="eastAsia" w:ascii="宋体" w:hAnsi="宋体" w:cs="宋体"/>
          <w:sz w:val="24"/>
        </w:rPr>
        <w:t>5.发布媒介：</w:t>
      </w:r>
    </w:p>
    <w:p>
      <w:pPr>
        <w:ind w:firstLine="480" w:firstLineChars="200"/>
        <w:jc w:val="both"/>
        <w:rPr>
          <w:rFonts w:ascii="宋体" w:hAnsi="宋体" w:cs="宋体"/>
          <w:sz w:val="24"/>
        </w:rPr>
      </w:pPr>
      <w:r>
        <w:rPr>
          <w:rFonts w:hint="eastAsia" w:ascii="宋体" w:hAnsi="宋体" w:cs="宋体"/>
          <w:sz w:val="24"/>
        </w:rPr>
        <w:t>本次采购公告在中国政府采购网（www.ccgp.gov.cn）黑龙江省政府采购网（http://hljcg.hlj.gov.cn/）发布。</w:t>
      </w:r>
    </w:p>
    <w:p>
      <w:pPr>
        <w:ind w:firstLine="480" w:firstLineChars="200"/>
        <w:rPr>
          <w:rFonts w:ascii="宋体" w:hAnsi="宋体" w:cs="宋体"/>
          <w:sz w:val="24"/>
        </w:rPr>
      </w:pPr>
      <w:r>
        <w:rPr>
          <w:rFonts w:hint="eastAsia" w:ascii="宋体" w:hAnsi="宋体" w:cs="宋体"/>
          <w:sz w:val="24"/>
        </w:rPr>
        <w:t>八、凡对本次采购提出询问，请按以下方式联系。</w:t>
      </w:r>
    </w:p>
    <w:p>
      <w:pPr>
        <w:ind w:firstLine="480" w:firstLineChars="200"/>
        <w:rPr>
          <w:rFonts w:ascii="宋体" w:hAnsi="宋体" w:cs="宋体"/>
          <w:sz w:val="24"/>
        </w:rPr>
      </w:pPr>
      <w:r>
        <w:rPr>
          <w:rFonts w:hint="eastAsia" w:ascii="宋体" w:hAnsi="宋体" w:cs="宋体"/>
          <w:sz w:val="24"/>
        </w:rPr>
        <w:t>1.采购人信息</w:t>
      </w:r>
    </w:p>
    <w:p>
      <w:pPr>
        <w:ind w:firstLine="480" w:firstLineChars="200"/>
        <w:rPr>
          <w:rFonts w:hint="eastAsia" w:ascii="宋体" w:hAnsi="宋体" w:eastAsia="宋体" w:cs="宋体"/>
          <w:sz w:val="24"/>
          <w:lang w:eastAsia="zh-CN"/>
        </w:rPr>
      </w:pPr>
      <w:r>
        <w:rPr>
          <w:rFonts w:hint="eastAsia" w:ascii="宋体" w:hAnsi="宋体" w:cs="宋体"/>
          <w:sz w:val="24"/>
        </w:rPr>
        <w:t>名称：</w:t>
      </w:r>
      <w:r>
        <w:rPr>
          <w:rFonts w:hint="eastAsia" w:ascii="宋体" w:hAnsi="宋体" w:cs="宋体"/>
          <w:sz w:val="24"/>
          <w:lang w:eastAsia="zh-CN"/>
        </w:rPr>
        <w:t>黑龙江省省直机关第五幼儿园</w:t>
      </w:r>
    </w:p>
    <w:p>
      <w:pPr>
        <w:ind w:firstLine="480" w:firstLineChars="200"/>
        <w:rPr>
          <w:rFonts w:hint="eastAsia" w:ascii="宋体" w:hAnsi="宋体" w:eastAsia="宋体" w:cs="宋体"/>
          <w:sz w:val="24"/>
          <w:lang w:eastAsia="zh-CN"/>
        </w:rPr>
      </w:pPr>
      <w:r>
        <w:rPr>
          <w:rFonts w:hint="eastAsia" w:ascii="宋体" w:hAnsi="宋体" w:cs="宋体"/>
          <w:sz w:val="24"/>
        </w:rPr>
        <w:t>地址：黑龙江省哈尔滨市南岗区马家街23号</w:t>
      </w:r>
    </w:p>
    <w:p>
      <w:pPr>
        <w:ind w:firstLine="480" w:firstLineChars="200"/>
        <w:rPr>
          <w:rFonts w:ascii="宋体" w:hAnsi="宋体" w:cs="宋体"/>
          <w:sz w:val="24"/>
        </w:rPr>
      </w:pPr>
      <w:r>
        <w:rPr>
          <w:rFonts w:hint="eastAsia" w:ascii="宋体" w:hAnsi="宋体" w:cs="宋体"/>
          <w:sz w:val="24"/>
        </w:rPr>
        <w:t>联系方式：0451-53676128</w:t>
      </w:r>
    </w:p>
    <w:p>
      <w:pPr>
        <w:ind w:firstLine="480" w:firstLineChars="200"/>
        <w:rPr>
          <w:rFonts w:ascii="宋体" w:hAnsi="宋体" w:cs="宋体"/>
          <w:sz w:val="24"/>
        </w:rPr>
      </w:pPr>
      <w:r>
        <w:rPr>
          <w:rFonts w:hint="eastAsia" w:ascii="宋体" w:hAnsi="宋体" w:cs="宋体"/>
          <w:sz w:val="24"/>
        </w:rPr>
        <w:t>2.采购代理机构信息</w:t>
      </w:r>
    </w:p>
    <w:p>
      <w:pPr>
        <w:shd w:val="clear" w:color="auto" w:fill="FFFFFF"/>
        <w:ind w:firstLine="480" w:firstLineChars="200"/>
        <w:rPr>
          <w:rFonts w:ascii="宋体" w:hAnsi="宋体" w:cs="宋体"/>
          <w:sz w:val="24"/>
        </w:rPr>
      </w:pPr>
      <w:r>
        <w:rPr>
          <w:rFonts w:hint="eastAsia" w:ascii="宋体" w:hAnsi="宋体" w:cs="宋体"/>
          <w:sz w:val="24"/>
          <w:shd w:val="clear" w:color="auto" w:fill="FFFFFF"/>
        </w:rPr>
        <w:t>名称：</w:t>
      </w:r>
      <w:r>
        <w:rPr>
          <w:rFonts w:hint="eastAsia" w:ascii="宋体" w:hAnsi="宋体" w:cs="宋体"/>
          <w:bCs/>
          <w:kern w:val="0"/>
          <w:sz w:val="24"/>
        </w:rPr>
        <w:t>黑龙江省北通建筑工程管理咨询有限公司</w:t>
      </w:r>
    </w:p>
    <w:p>
      <w:pPr>
        <w:ind w:firstLine="480" w:firstLineChars="200"/>
        <w:rPr>
          <w:rFonts w:ascii="宋体" w:hAnsi="宋体" w:cs="宋体"/>
          <w:sz w:val="24"/>
        </w:rPr>
      </w:pPr>
      <w:r>
        <w:rPr>
          <w:rFonts w:hint="eastAsia" w:ascii="宋体" w:hAnsi="宋体" w:cs="宋体"/>
          <w:sz w:val="24"/>
        </w:rPr>
        <w:t>地址：哈尔滨市南岗区闽江路75号华鸿国际中心3号楼12层1201室</w:t>
      </w:r>
    </w:p>
    <w:p>
      <w:pPr>
        <w:ind w:firstLine="480" w:firstLineChars="200"/>
        <w:rPr>
          <w:rFonts w:ascii="宋体" w:hAnsi="宋体" w:cs="宋体"/>
          <w:sz w:val="24"/>
        </w:rPr>
      </w:pPr>
      <w:r>
        <w:rPr>
          <w:rFonts w:hint="eastAsia" w:ascii="宋体" w:hAnsi="宋体" w:cs="宋体"/>
          <w:sz w:val="24"/>
        </w:rPr>
        <w:t>联系方式：0451-51085723</w:t>
      </w:r>
    </w:p>
    <w:p>
      <w:pPr>
        <w:ind w:firstLine="480" w:firstLineChars="200"/>
        <w:rPr>
          <w:rFonts w:ascii="宋体" w:hAnsi="宋体" w:cs="宋体"/>
          <w:sz w:val="24"/>
        </w:rPr>
      </w:pPr>
      <w:r>
        <w:rPr>
          <w:rFonts w:hint="eastAsia" w:ascii="宋体" w:hAnsi="宋体" w:cs="宋体"/>
          <w:sz w:val="24"/>
        </w:rPr>
        <w:t>3.项目联系方式</w:t>
      </w:r>
    </w:p>
    <w:p>
      <w:pPr>
        <w:ind w:firstLine="480" w:firstLineChars="200"/>
        <w:rPr>
          <w:rFonts w:ascii="宋体" w:hAnsi="宋体" w:cs="宋体"/>
          <w:sz w:val="24"/>
        </w:rPr>
      </w:pPr>
      <w:r>
        <w:rPr>
          <w:rFonts w:hint="eastAsia" w:ascii="宋体" w:hAnsi="宋体" w:cs="宋体"/>
          <w:sz w:val="24"/>
        </w:rPr>
        <w:t>项目联系人：焦女士</w:t>
      </w:r>
    </w:p>
    <w:p>
      <w:pPr>
        <w:ind w:firstLine="480" w:firstLineChars="200"/>
        <w:rPr>
          <w:rFonts w:ascii="宋体" w:hAnsi="宋体" w:cs="宋体"/>
          <w:sz w:val="24"/>
        </w:rPr>
      </w:pPr>
      <w:r>
        <w:rPr>
          <w:rFonts w:hint="eastAsia" w:ascii="宋体" w:hAnsi="宋体" w:cs="宋体"/>
          <w:sz w:val="24"/>
        </w:rPr>
        <w:t>电话：0451-51085723</w:t>
      </w:r>
    </w:p>
    <w:p>
      <w:pPr>
        <w:widowControl/>
        <w:spacing w:line="240" w:lineRule="auto"/>
        <w:ind w:firstLine="480" w:firstLineChars="200"/>
        <w:rPr>
          <w:rFonts w:ascii="宋体" w:hAnsi="宋体" w:cs="宋体"/>
          <w:sz w:val="24"/>
        </w:rPr>
      </w:pPr>
      <w:r>
        <w:rPr>
          <w:rFonts w:hint="eastAsia" w:ascii="宋体" w:hAnsi="宋体" w:cs="宋体"/>
          <w:sz w:val="24"/>
        </w:rPr>
        <w:t>邮箱：zhaobiao@hljbeitong.com</w:t>
      </w:r>
    </w:p>
    <w:p>
      <w:pPr>
        <w:pStyle w:val="3"/>
        <w:numPr>
          <w:ilvl w:val="0"/>
          <w:numId w:val="0"/>
        </w:numPr>
        <w:jc w:val="center"/>
        <w:rPr>
          <w:rFonts w:ascii="宋体" w:hAnsi="宋体" w:eastAsia="宋体" w:cs="宋体"/>
          <w:sz w:val="44"/>
          <w:szCs w:val="44"/>
        </w:rPr>
      </w:pPr>
      <w:r>
        <w:rPr>
          <w:rFonts w:hint="eastAsia" w:ascii="宋体" w:hAnsi="宋体" w:cs="宋体"/>
          <w:sz w:val="24"/>
        </w:rPr>
        <w:br w:type="page"/>
      </w:r>
      <w:bookmarkStart w:id="47" w:name="_Toc25965"/>
      <w:bookmarkStart w:id="48" w:name="_Toc12049275"/>
      <w:bookmarkStart w:id="49" w:name="_Toc11699"/>
      <w:bookmarkStart w:id="50" w:name="_Toc20788"/>
      <w:bookmarkStart w:id="51" w:name="_Toc13526"/>
      <w:bookmarkStart w:id="52" w:name="_Toc89"/>
      <w:bookmarkStart w:id="53" w:name="_Toc21116"/>
      <w:bookmarkStart w:id="54" w:name="_Toc13228"/>
      <w:bookmarkStart w:id="55" w:name="_Toc491"/>
      <w:bookmarkStart w:id="56" w:name="_Toc3170"/>
      <w:bookmarkStart w:id="57" w:name="_Toc10318"/>
      <w:bookmarkStart w:id="58" w:name="_Toc29054"/>
      <w:bookmarkStart w:id="59" w:name="_Toc17789"/>
      <w:bookmarkStart w:id="60" w:name="_Toc839"/>
      <w:bookmarkStart w:id="61" w:name="_Toc16845"/>
      <w:bookmarkStart w:id="62" w:name="_Toc3001"/>
      <w:bookmarkStart w:id="63" w:name="_Toc17456"/>
      <w:bookmarkStart w:id="64" w:name="_Toc16257"/>
      <w:bookmarkStart w:id="65" w:name="_Toc22758"/>
      <w:bookmarkStart w:id="66" w:name="_Toc23072"/>
      <w:bookmarkStart w:id="67" w:name="_Toc25597"/>
      <w:bookmarkStart w:id="68" w:name="_Toc8087"/>
      <w:bookmarkStart w:id="69" w:name="_Toc30375"/>
      <w:bookmarkStart w:id="70" w:name="_Toc8281"/>
      <w:bookmarkStart w:id="71" w:name="_Toc4459"/>
      <w:bookmarkStart w:id="72" w:name="_Toc22143"/>
      <w:bookmarkStart w:id="73" w:name="_Toc12495"/>
      <w:bookmarkStart w:id="74" w:name="_Toc30534"/>
      <w:bookmarkStart w:id="75" w:name="_Toc22881"/>
      <w:bookmarkStart w:id="76" w:name="_Toc3684"/>
      <w:bookmarkStart w:id="77" w:name="_Toc23987"/>
      <w:bookmarkStart w:id="78" w:name="_Toc8479"/>
      <w:bookmarkStart w:id="79" w:name="_Toc25038"/>
      <w:bookmarkStart w:id="80" w:name="_Toc15200"/>
      <w:bookmarkStart w:id="81" w:name="_Toc15950"/>
      <w:bookmarkStart w:id="82" w:name="_Toc2324"/>
      <w:bookmarkStart w:id="83" w:name="_Toc12320"/>
      <w:bookmarkStart w:id="84" w:name="_Toc23655"/>
      <w:bookmarkStart w:id="85" w:name="_Toc13407"/>
      <w:bookmarkStart w:id="86" w:name="_Toc14986"/>
      <w:bookmarkStart w:id="87" w:name="_Toc29680"/>
      <w:bookmarkStart w:id="88" w:name="_Toc30658"/>
      <w:bookmarkStart w:id="89" w:name="_Toc20690"/>
      <w:bookmarkStart w:id="90" w:name="_Toc14729"/>
      <w:bookmarkStart w:id="91" w:name="_Toc23773"/>
      <w:bookmarkStart w:id="92" w:name="_Toc21351"/>
      <w:r>
        <w:rPr>
          <w:rFonts w:hint="eastAsia" w:ascii="宋体" w:hAnsi="宋体" w:eastAsia="宋体" w:cs="宋体"/>
          <w:sz w:val="44"/>
          <w:szCs w:val="44"/>
        </w:rPr>
        <w:t>第二部分 供应商须知</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2"/>
        <w:numPr>
          <w:ilvl w:val="1"/>
          <w:numId w:val="0"/>
        </w:numPr>
        <w:spacing w:before="0"/>
        <w:rPr>
          <w:rFonts w:ascii="宋体" w:hAnsi="宋体" w:eastAsia="宋体" w:cs="宋体"/>
        </w:rPr>
        <w:sectPr>
          <w:pgSz w:w="11906" w:h="16838"/>
          <w:pgMar w:top="1417" w:right="1701" w:bottom="1417" w:left="1701" w:header="851" w:footer="992" w:gutter="0"/>
          <w:cols w:space="720" w:num="1"/>
          <w:titlePg/>
          <w:docGrid w:type="lines" w:linePitch="312" w:charSpace="0"/>
        </w:sectPr>
      </w:pPr>
    </w:p>
    <w:p>
      <w:pPr>
        <w:pStyle w:val="2"/>
        <w:numPr>
          <w:ilvl w:val="0"/>
          <w:numId w:val="0"/>
        </w:numPr>
        <w:spacing w:before="0"/>
        <w:jc w:val="center"/>
        <w:rPr>
          <w:rFonts w:ascii="宋体" w:hAnsi="宋体" w:eastAsia="宋体" w:cs="宋体"/>
        </w:rPr>
      </w:pPr>
      <w:bookmarkStart w:id="93" w:name="_Toc27132"/>
      <w:bookmarkStart w:id="94" w:name="_Toc24870"/>
      <w:bookmarkStart w:id="95" w:name="_Toc18147"/>
      <w:bookmarkStart w:id="96" w:name="_Toc15464"/>
      <w:bookmarkStart w:id="97" w:name="_Toc17953"/>
      <w:bookmarkStart w:id="98" w:name="_Toc12872"/>
      <w:bookmarkStart w:id="99" w:name="_Toc5502"/>
      <w:bookmarkStart w:id="100" w:name="_Toc15203"/>
      <w:bookmarkStart w:id="101" w:name="_Toc14907"/>
      <w:bookmarkStart w:id="102" w:name="_Toc2188"/>
      <w:bookmarkStart w:id="103" w:name="_Toc5036"/>
      <w:r>
        <w:rPr>
          <w:rFonts w:hint="eastAsia" w:ascii="宋体" w:hAnsi="宋体" w:eastAsia="宋体" w:cs="宋体"/>
        </w:rPr>
        <w:t>须知前附表</w:t>
      </w:r>
      <w:bookmarkEnd w:id="93"/>
      <w:bookmarkEnd w:id="94"/>
      <w:bookmarkEnd w:id="95"/>
      <w:bookmarkEnd w:id="96"/>
      <w:bookmarkEnd w:id="97"/>
      <w:bookmarkEnd w:id="98"/>
      <w:bookmarkEnd w:id="99"/>
      <w:bookmarkEnd w:id="100"/>
      <w:bookmarkEnd w:id="101"/>
      <w:bookmarkEnd w:id="102"/>
      <w:bookmarkEnd w:id="103"/>
    </w:p>
    <w:tbl>
      <w:tblPr>
        <w:tblStyle w:val="4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105"/>
        <w:gridCol w:w="5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序号</w:t>
            </w:r>
          </w:p>
        </w:tc>
        <w:tc>
          <w:tcPr>
            <w:tcW w:w="2105" w:type="dxa"/>
          </w:tcPr>
          <w:p>
            <w:pPr>
              <w:jc w:val="center"/>
            </w:pPr>
            <w:r>
              <w:rPr>
                <w:rFonts w:hint="eastAsia"/>
              </w:rPr>
              <w:t>条款名称</w:t>
            </w:r>
          </w:p>
        </w:tc>
        <w:tc>
          <w:tcPr>
            <w:tcW w:w="5878" w:type="dxa"/>
          </w:tcPr>
          <w:p>
            <w:pPr>
              <w:jc w:val="center"/>
            </w:pPr>
            <w:r>
              <w:rPr>
                <w:rFonts w:hint="eastAsia"/>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w:t>
            </w:r>
          </w:p>
        </w:tc>
        <w:tc>
          <w:tcPr>
            <w:tcW w:w="2105" w:type="dxa"/>
            <w:vAlign w:val="center"/>
          </w:tcPr>
          <w:p>
            <w:pPr>
              <w:jc w:val="both"/>
            </w:pPr>
            <w:r>
              <w:rPr>
                <w:rFonts w:hint="eastAsia"/>
              </w:rPr>
              <w:t>计划编号</w:t>
            </w:r>
          </w:p>
        </w:tc>
        <w:tc>
          <w:tcPr>
            <w:tcW w:w="5878" w:type="dxa"/>
            <w:vAlign w:val="center"/>
          </w:tcPr>
          <w:p>
            <w:pPr>
              <w:jc w:val="both"/>
            </w:pPr>
            <w:r>
              <w:rPr>
                <w:rFonts w:hint="eastAsia"/>
              </w:rPr>
              <w:t>黑财购备字[2021]08001号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2</w:t>
            </w:r>
          </w:p>
        </w:tc>
        <w:tc>
          <w:tcPr>
            <w:tcW w:w="2105" w:type="dxa"/>
            <w:vAlign w:val="center"/>
          </w:tcPr>
          <w:p>
            <w:pPr>
              <w:jc w:val="both"/>
            </w:pPr>
            <w:r>
              <w:rPr>
                <w:rFonts w:hint="eastAsia"/>
              </w:rPr>
              <w:t>项目编号</w:t>
            </w:r>
          </w:p>
        </w:tc>
        <w:tc>
          <w:tcPr>
            <w:tcW w:w="5878" w:type="dxa"/>
            <w:vAlign w:val="center"/>
          </w:tcPr>
          <w:p>
            <w:pPr>
              <w:jc w:val="both"/>
              <w:rPr>
                <w:rFonts w:hint="eastAsia" w:eastAsia="宋体"/>
                <w:lang w:eastAsia="zh-CN"/>
              </w:rPr>
            </w:pPr>
            <w:r>
              <w:rPr>
                <w:rFonts w:hint="eastAsia"/>
                <w:lang w:eastAsia="zh-CN"/>
              </w:rPr>
              <w:t>C-21637-BTZB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3</w:t>
            </w:r>
          </w:p>
        </w:tc>
        <w:tc>
          <w:tcPr>
            <w:tcW w:w="2105" w:type="dxa"/>
            <w:vAlign w:val="center"/>
          </w:tcPr>
          <w:p>
            <w:pPr>
              <w:jc w:val="both"/>
            </w:pPr>
            <w:r>
              <w:rPr>
                <w:rFonts w:hint="eastAsia"/>
              </w:rPr>
              <w:t>项目名称</w:t>
            </w:r>
          </w:p>
        </w:tc>
        <w:tc>
          <w:tcPr>
            <w:tcW w:w="5878" w:type="dxa"/>
            <w:vAlign w:val="center"/>
          </w:tcPr>
          <w:p>
            <w:pPr>
              <w:jc w:val="both"/>
              <w:rPr>
                <w:rFonts w:hint="eastAsia" w:eastAsia="宋体"/>
                <w:lang w:eastAsia="zh-CN"/>
              </w:rPr>
            </w:pPr>
            <w:r>
              <w:rPr>
                <w:rFonts w:hint="eastAsia"/>
                <w:lang w:eastAsia="zh-CN"/>
              </w:rPr>
              <w:t>黑龙江省省直机关第五幼儿园2个教学班级更换防火窗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4</w:t>
            </w:r>
          </w:p>
        </w:tc>
        <w:tc>
          <w:tcPr>
            <w:tcW w:w="2105" w:type="dxa"/>
            <w:vAlign w:val="center"/>
          </w:tcPr>
          <w:p>
            <w:pPr>
              <w:jc w:val="both"/>
            </w:pPr>
            <w:r>
              <w:rPr>
                <w:rFonts w:hint="eastAsia"/>
              </w:rPr>
              <w:t>包组情况</w:t>
            </w:r>
          </w:p>
        </w:tc>
        <w:tc>
          <w:tcPr>
            <w:tcW w:w="5878" w:type="dxa"/>
            <w:vAlign w:val="center"/>
          </w:tcPr>
          <w:p>
            <w:pPr>
              <w:jc w:val="both"/>
            </w:pPr>
            <w:r>
              <w:rPr>
                <w:rFonts w:hint="eastAsia"/>
              </w:rPr>
              <w:t>共1包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5</w:t>
            </w:r>
          </w:p>
        </w:tc>
        <w:tc>
          <w:tcPr>
            <w:tcW w:w="2105" w:type="dxa"/>
            <w:vAlign w:val="center"/>
          </w:tcPr>
          <w:p>
            <w:pPr>
              <w:jc w:val="both"/>
            </w:pPr>
            <w:r>
              <w:rPr>
                <w:rFonts w:hint="eastAsia"/>
              </w:rPr>
              <w:t>采购资金预算金额</w:t>
            </w:r>
          </w:p>
        </w:tc>
        <w:tc>
          <w:tcPr>
            <w:tcW w:w="5878" w:type="dxa"/>
            <w:vAlign w:val="center"/>
          </w:tcPr>
          <w:p>
            <w:pPr>
              <w:jc w:val="both"/>
            </w:pPr>
            <w:r>
              <w:rPr>
                <w:rFonts w:hint="eastAsia"/>
                <w:lang w:eastAsia="zh-CN"/>
              </w:rPr>
              <w:t>49,467.00</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6</w:t>
            </w:r>
          </w:p>
        </w:tc>
        <w:tc>
          <w:tcPr>
            <w:tcW w:w="2105" w:type="dxa"/>
            <w:vAlign w:val="center"/>
          </w:tcPr>
          <w:p>
            <w:pPr>
              <w:jc w:val="both"/>
            </w:pPr>
            <w:r>
              <w:rPr>
                <w:rFonts w:hint="eastAsia"/>
              </w:rPr>
              <w:t>采购方式</w:t>
            </w:r>
          </w:p>
        </w:tc>
        <w:tc>
          <w:tcPr>
            <w:tcW w:w="5878" w:type="dxa"/>
            <w:vAlign w:val="center"/>
          </w:tcPr>
          <w:p>
            <w:pPr>
              <w:jc w:val="both"/>
            </w:pPr>
            <w:r>
              <w:rPr>
                <w:rFonts w:hint="eastAsia"/>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7</w:t>
            </w:r>
          </w:p>
        </w:tc>
        <w:tc>
          <w:tcPr>
            <w:tcW w:w="2105" w:type="dxa"/>
            <w:vAlign w:val="center"/>
          </w:tcPr>
          <w:p>
            <w:pPr>
              <w:jc w:val="both"/>
            </w:pPr>
            <w:r>
              <w:rPr>
                <w:rFonts w:hint="eastAsia"/>
              </w:rPr>
              <w:t>响应文件提交方式</w:t>
            </w:r>
          </w:p>
        </w:tc>
        <w:tc>
          <w:tcPr>
            <w:tcW w:w="5878" w:type="dxa"/>
            <w:vAlign w:val="center"/>
          </w:tcPr>
          <w:p>
            <w:pPr>
              <w:jc w:val="both"/>
            </w:pPr>
            <w:r>
              <w:rPr>
                <w:rFonts w:hint="eastAsia"/>
              </w:rPr>
              <w:t>电子响应文件线上提交并现场解密响应文件，纸质文件提交至黑龙江省公共资源标准化交易场所先锋国际中心（哈尔滨市南岗区先锋路469号院内，哈尔滨广告产业园11栋3楼开标室)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8</w:t>
            </w:r>
          </w:p>
        </w:tc>
        <w:tc>
          <w:tcPr>
            <w:tcW w:w="2105" w:type="dxa"/>
            <w:vAlign w:val="center"/>
          </w:tcPr>
          <w:p>
            <w:pPr>
              <w:jc w:val="both"/>
            </w:pPr>
            <w:r>
              <w:rPr>
                <w:rFonts w:hint="eastAsia"/>
              </w:rPr>
              <w:t>评审方式</w:t>
            </w:r>
          </w:p>
        </w:tc>
        <w:tc>
          <w:tcPr>
            <w:tcW w:w="5878" w:type="dxa"/>
            <w:vAlign w:val="center"/>
          </w:tcPr>
          <w:p>
            <w:pPr>
              <w:jc w:val="both"/>
            </w:pPr>
            <w:r>
              <w:rPr>
                <w:rFonts w:hint="eastAsia"/>
              </w:rPr>
              <w:t>现场评审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9</w:t>
            </w:r>
          </w:p>
        </w:tc>
        <w:tc>
          <w:tcPr>
            <w:tcW w:w="2105" w:type="dxa"/>
            <w:vAlign w:val="center"/>
          </w:tcPr>
          <w:p>
            <w:pPr>
              <w:jc w:val="both"/>
            </w:pPr>
            <w:r>
              <w:rPr>
                <w:rFonts w:hint="eastAsia"/>
              </w:rPr>
              <w:t>评审办法</w:t>
            </w:r>
          </w:p>
        </w:tc>
        <w:tc>
          <w:tcPr>
            <w:tcW w:w="5878" w:type="dxa"/>
            <w:vAlign w:val="center"/>
          </w:tcPr>
          <w:p>
            <w:pPr>
              <w:jc w:val="both"/>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10</w:t>
            </w:r>
          </w:p>
        </w:tc>
        <w:tc>
          <w:tcPr>
            <w:tcW w:w="2105" w:type="dxa"/>
            <w:vAlign w:val="center"/>
          </w:tcPr>
          <w:p>
            <w:pPr>
              <w:jc w:val="both"/>
            </w:pPr>
            <w:r>
              <w:rPr>
                <w:rFonts w:hint="eastAsia"/>
              </w:rPr>
              <w:t>现场踏勘</w:t>
            </w:r>
          </w:p>
        </w:tc>
        <w:tc>
          <w:tcPr>
            <w:tcW w:w="5878" w:type="dxa"/>
            <w:vAlign w:val="center"/>
          </w:tcPr>
          <w:p>
            <w:pPr>
              <w:jc w:val="both"/>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11</w:t>
            </w:r>
          </w:p>
        </w:tc>
        <w:tc>
          <w:tcPr>
            <w:tcW w:w="2105" w:type="dxa"/>
            <w:vAlign w:val="center"/>
          </w:tcPr>
          <w:p>
            <w:pPr>
              <w:jc w:val="both"/>
            </w:pPr>
            <w:r>
              <w:rPr>
                <w:rFonts w:hint="eastAsia"/>
              </w:rPr>
              <w:t>保证金缴纳截止时间（同递交响应文件截止时间）</w:t>
            </w:r>
          </w:p>
        </w:tc>
        <w:tc>
          <w:tcPr>
            <w:tcW w:w="5878" w:type="dxa"/>
            <w:vAlign w:val="center"/>
          </w:tcPr>
          <w:p>
            <w:pPr>
              <w:jc w:val="both"/>
              <w:rPr>
                <w:rFonts w:hint="eastAsia" w:eastAsia="宋体"/>
                <w:lang w:eastAsia="zh-CN"/>
              </w:rPr>
            </w:pPr>
            <w:r>
              <w:rPr>
                <w:rFonts w:hint="eastAsia"/>
                <w:lang w:eastAsia="zh-CN"/>
              </w:rPr>
              <w:t>2021年10月25日09时30分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12</w:t>
            </w:r>
          </w:p>
        </w:tc>
        <w:tc>
          <w:tcPr>
            <w:tcW w:w="2105" w:type="dxa"/>
            <w:vAlign w:val="center"/>
          </w:tcPr>
          <w:p>
            <w:pPr>
              <w:jc w:val="both"/>
            </w:pPr>
            <w:r>
              <w:rPr>
                <w:rFonts w:hint="eastAsia"/>
              </w:rPr>
              <w:t>电子响应文件递交</w:t>
            </w:r>
          </w:p>
        </w:tc>
        <w:tc>
          <w:tcPr>
            <w:tcW w:w="5878" w:type="dxa"/>
            <w:vAlign w:val="center"/>
          </w:tcPr>
          <w:p>
            <w:pPr>
              <w:jc w:val="both"/>
            </w:pPr>
            <w:r>
              <w:rPr>
                <w:rFonts w:hint="eastAsia"/>
              </w:rPr>
              <w:t>电子响应文件在响应截止时间前递交至黑龙江省项目采购电子交易系统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13</w:t>
            </w:r>
          </w:p>
        </w:tc>
        <w:tc>
          <w:tcPr>
            <w:tcW w:w="2105" w:type="dxa"/>
            <w:vAlign w:val="center"/>
          </w:tcPr>
          <w:p>
            <w:pPr>
              <w:jc w:val="both"/>
            </w:pPr>
            <w:r>
              <w:rPr>
                <w:rFonts w:hint="eastAsia"/>
              </w:rPr>
              <w:t>响应有效期</w:t>
            </w:r>
          </w:p>
        </w:tc>
        <w:tc>
          <w:tcPr>
            <w:tcW w:w="5878" w:type="dxa"/>
            <w:vAlign w:val="center"/>
          </w:tcPr>
          <w:p>
            <w:pPr>
              <w:jc w:val="both"/>
            </w:pPr>
            <w:r>
              <w:rPr>
                <w:rFonts w:hint="eastAsia"/>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14</w:t>
            </w:r>
          </w:p>
        </w:tc>
        <w:tc>
          <w:tcPr>
            <w:tcW w:w="2105" w:type="dxa"/>
            <w:vAlign w:val="center"/>
          </w:tcPr>
          <w:p>
            <w:pPr>
              <w:jc w:val="both"/>
            </w:pPr>
            <w:r>
              <w:rPr>
                <w:rFonts w:hint="eastAsia"/>
              </w:rPr>
              <w:t>响应文件要求</w:t>
            </w:r>
          </w:p>
        </w:tc>
        <w:tc>
          <w:tcPr>
            <w:tcW w:w="5878" w:type="dxa"/>
            <w:vAlign w:val="center"/>
          </w:tcPr>
          <w:p>
            <w:pPr>
              <w:numPr>
                <w:ilvl w:val="0"/>
                <w:numId w:val="3"/>
              </w:numPr>
              <w:jc w:val="both"/>
            </w:pPr>
            <w:r>
              <w:rPr>
                <w:rFonts w:hint="eastAsia"/>
              </w:rPr>
              <w:t>加密的电子响应文件1份（需在递交文件截止时间前上传至“项目采购电子交易系统”）</w:t>
            </w:r>
          </w:p>
          <w:p>
            <w:pPr>
              <w:numPr>
                <w:ilvl w:val="0"/>
                <w:numId w:val="3"/>
              </w:numPr>
              <w:jc w:val="both"/>
            </w:pPr>
            <w:r>
              <w:rPr>
                <w:rFonts w:hint="eastAsia"/>
              </w:rPr>
              <w:t>竞争性磋商最后报价书应在磋商结束后单独递交纸质文件,同时需自行准备设备进行线上填报最后报价。</w:t>
            </w:r>
          </w:p>
          <w:p>
            <w:pPr>
              <w:numPr>
                <w:ilvl w:val="0"/>
                <w:numId w:val="3"/>
              </w:numPr>
              <w:jc w:val="both"/>
            </w:pPr>
            <w:r>
              <w:rPr>
                <w:rFonts w:hint="eastAsia"/>
              </w:rPr>
              <w:t>若现场无法使用系统进行解密响应文件的，供应商须开标现场递交非加密电子版响应文件U盘1份。</w:t>
            </w:r>
          </w:p>
          <w:p>
            <w:pPr>
              <w:numPr>
                <w:ilvl w:val="0"/>
                <w:numId w:val="3"/>
              </w:numPr>
              <w:jc w:val="both"/>
            </w:pPr>
            <w:r>
              <w:rPr>
                <w:rFonts w:hint="eastAsia"/>
              </w:rPr>
              <w:t>纸质响应文件正本1份，副本2份。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15</w:t>
            </w:r>
          </w:p>
        </w:tc>
        <w:tc>
          <w:tcPr>
            <w:tcW w:w="2105" w:type="dxa"/>
            <w:vAlign w:val="center"/>
          </w:tcPr>
          <w:p>
            <w:pPr>
              <w:jc w:val="both"/>
            </w:pPr>
            <w:r>
              <w:rPr>
                <w:rFonts w:hint="eastAsia"/>
              </w:rPr>
              <w:t>成交候选人推荐家数</w:t>
            </w:r>
          </w:p>
        </w:tc>
        <w:tc>
          <w:tcPr>
            <w:tcW w:w="5878" w:type="dxa"/>
            <w:vAlign w:val="center"/>
          </w:tcPr>
          <w:p>
            <w:pPr>
              <w:jc w:val="both"/>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16</w:t>
            </w:r>
          </w:p>
        </w:tc>
        <w:tc>
          <w:tcPr>
            <w:tcW w:w="2105" w:type="dxa"/>
            <w:vAlign w:val="center"/>
          </w:tcPr>
          <w:p>
            <w:pPr>
              <w:jc w:val="both"/>
            </w:pPr>
            <w:r>
              <w:rPr>
                <w:rFonts w:hint="eastAsia"/>
              </w:rPr>
              <w:t>成交供应商确定</w:t>
            </w:r>
          </w:p>
        </w:tc>
        <w:tc>
          <w:tcPr>
            <w:tcW w:w="5878" w:type="dxa"/>
            <w:vAlign w:val="center"/>
          </w:tcPr>
          <w:p>
            <w:pPr>
              <w:jc w:val="both"/>
            </w:pPr>
            <w:r>
              <w:rPr>
                <w:rFonts w:hint="eastAsia"/>
              </w:rPr>
              <w:t>采购人授权磋商小组按照评审原则直接确定成交供应商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17</w:t>
            </w:r>
          </w:p>
        </w:tc>
        <w:tc>
          <w:tcPr>
            <w:tcW w:w="2105" w:type="dxa"/>
            <w:vAlign w:val="center"/>
          </w:tcPr>
          <w:p>
            <w:pPr>
              <w:jc w:val="both"/>
            </w:pPr>
            <w:r>
              <w:rPr>
                <w:rFonts w:hint="eastAsia"/>
              </w:rPr>
              <w:t>备选方案</w:t>
            </w:r>
          </w:p>
        </w:tc>
        <w:tc>
          <w:tcPr>
            <w:tcW w:w="5878" w:type="dxa"/>
            <w:vAlign w:val="center"/>
          </w:tcPr>
          <w:p>
            <w:pPr>
              <w:jc w:val="both"/>
            </w:pPr>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18</w:t>
            </w:r>
          </w:p>
        </w:tc>
        <w:tc>
          <w:tcPr>
            <w:tcW w:w="2105" w:type="dxa"/>
            <w:vAlign w:val="center"/>
          </w:tcPr>
          <w:p>
            <w:pPr>
              <w:jc w:val="both"/>
            </w:pPr>
            <w:r>
              <w:rPr>
                <w:rFonts w:hint="eastAsia"/>
              </w:rPr>
              <w:t>是否接受联合体</w:t>
            </w:r>
          </w:p>
        </w:tc>
        <w:tc>
          <w:tcPr>
            <w:tcW w:w="5878" w:type="dxa"/>
            <w:vAlign w:val="center"/>
          </w:tcPr>
          <w:p>
            <w:pPr>
              <w:jc w:val="both"/>
            </w:pPr>
            <w:r>
              <w:rPr>
                <w:rFonts w:hint="eastAsi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19</w:t>
            </w:r>
          </w:p>
        </w:tc>
        <w:tc>
          <w:tcPr>
            <w:tcW w:w="2105" w:type="dxa"/>
            <w:vAlign w:val="center"/>
          </w:tcPr>
          <w:p>
            <w:pPr>
              <w:jc w:val="both"/>
            </w:pPr>
            <w:r>
              <w:rPr>
                <w:rFonts w:hint="eastAsia"/>
              </w:rPr>
              <w:t>代理服务费</w:t>
            </w:r>
          </w:p>
        </w:tc>
        <w:tc>
          <w:tcPr>
            <w:tcW w:w="5878" w:type="dxa"/>
            <w:vAlign w:val="center"/>
          </w:tcPr>
          <w:p>
            <w:pPr>
              <w:jc w:val="both"/>
            </w:pPr>
            <w:r>
              <w:rPr>
                <w:rFonts w:hint="eastAsia"/>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20</w:t>
            </w:r>
          </w:p>
        </w:tc>
        <w:tc>
          <w:tcPr>
            <w:tcW w:w="2105" w:type="dxa"/>
            <w:vAlign w:val="center"/>
          </w:tcPr>
          <w:p>
            <w:pPr>
              <w:jc w:val="both"/>
            </w:pPr>
            <w:r>
              <w:rPr>
                <w:rFonts w:hint="eastAsia"/>
              </w:rPr>
              <w:t>代理服务费收取方式</w:t>
            </w:r>
          </w:p>
        </w:tc>
        <w:tc>
          <w:tcPr>
            <w:tcW w:w="5878" w:type="dxa"/>
            <w:vAlign w:val="center"/>
          </w:tcPr>
          <w:p>
            <w:pPr>
              <w:jc w:val="both"/>
            </w:pPr>
            <w:r>
              <w:t>采购机构代理服务收费标准：</w:t>
            </w:r>
            <w:r>
              <w:rPr>
                <w:rFonts w:hint="eastAsia"/>
                <w:lang w:val="en-US" w:eastAsia="zh-CN"/>
              </w:rPr>
              <w:t>固定金额500.00元</w:t>
            </w:r>
            <w:r>
              <w:t>。</w:t>
            </w:r>
          </w:p>
          <w:p>
            <w:pPr>
              <w:jc w:val="both"/>
            </w:pPr>
            <w:r>
              <w:t>向成交供应商收取。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21</w:t>
            </w:r>
          </w:p>
        </w:tc>
        <w:tc>
          <w:tcPr>
            <w:tcW w:w="2105" w:type="dxa"/>
            <w:vAlign w:val="center"/>
          </w:tcPr>
          <w:p>
            <w:pPr>
              <w:jc w:val="both"/>
            </w:pPr>
            <w:r>
              <w:rPr>
                <w:rFonts w:hint="eastAsia"/>
              </w:rPr>
              <w:t>电子招投标</w:t>
            </w:r>
          </w:p>
        </w:tc>
        <w:tc>
          <w:tcPr>
            <w:tcW w:w="5878" w:type="dxa"/>
            <w:vAlign w:val="center"/>
          </w:tcPr>
          <w:p>
            <w:pPr>
              <w:jc w:val="both"/>
            </w:pPr>
            <w:r>
              <w:rPr>
                <w:rFonts w:hint="eastAsia"/>
              </w:rPr>
              <w:t>各供应商须在响应文件提交截止时间前上传加密的电子响应文件至“黑龙江省项目采购电子交易系统”。且需携带供应商有效CA前往磋商现场。各供应商未在响应文件提交截止时间前上传电子响应文件的，视为自动放弃。供应商所上传的电子响应文件、磋商时提交的U盘存储的非加密响应文件及纸质响应文件内容应一致，若供应商所上传的电子响应文件、磋商时提交的U盘存储的非加密响应文件及纸质响应文件内容出现不一致，应以供应商上传的电子响应文件为准。供应商因系统或网络问题无法上传电子响应文件时，请与“黑龙江省项目采购电子交易系统”后台服务人员联系。</w:t>
            </w:r>
          </w:p>
          <w:p>
            <w:pPr>
              <w:numPr>
                <w:ilvl w:val="0"/>
                <w:numId w:val="4"/>
              </w:numPr>
              <w:jc w:val="both"/>
            </w:pPr>
            <w:r>
              <w:rPr>
                <w:rFonts w:hint="eastAsia"/>
              </w:rPr>
              <w:t>本项目采用线上递交并现场解密响应文件，如在磋商过程中出现意外情况导致无法继续进行现场解密响应文件时，改为非加密电子响应文件磋商。</w:t>
            </w:r>
          </w:p>
          <w:p>
            <w:pPr>
              <w:numPr>
                <w:ilvl w:val="0"/>
                <w:numId w:val="4"/>
              </w:numPr>
              <w:jc w:val="both"/>
            </w:pPr>
            <w:r>
              <w:rPr>
                <w:rFonts w:hint="eastAsia"/>
              </w:rPr>
              <w:t>定义：</w:t>
            </w:r>
          </w:p>
          <w:p>
            <w:pPr>
              <w:numPr>
                <w:ilvl w:val="0"/>
                <w:numId w:val="5"/>
              </w:numPr>
              <w:jc w:val="both"/>
            </w:pPr>
            <w:r>
              <w:rPr>
                <w:rFonts w:hint="eastAsia"/>
              </w:rPr>
              <w:t>电子响应文件是指通过投标客户端编制，在电子响应文件中，涉及“加盖单位公章”的内容应使用单位电子公章完成加密后，成功上传至黑龙江省项目采购电子交易系统的最终版指定格式电子响应文件。</w:t>
            </w:r>
          </w:p>
          <w:p>
            <w:pPr>
              <w:numPr>
                <w:ilvl w:val="0"/>
                <w:numId w:val="5"/>
              </w:numPr>
              <w:jc w:val="both"/>
            </w:pPr>
            <w:r>
              <w:rPr>
                <w:rFonts w:hint="eastAsia"/>
              </w:rPr>
              <w:t>非加密电子版响应文件是指存储U盘中的响应文件。</w:t>
            </w:r>
          </w:p>
          <w:p>
            <w:pPr>
              <w:numPr>
                <w:ilvl w:val="0"/>
                <w:numId w:val="4"/>
              </w:numPr>
              <w:jc w:val="both"/>
            </w:pPr>
            <w:r>
              <w:rPr>
                <w:rFonts w:hint="eastAsia"/>
              </w:rPr>
              <w:t>使用投标客户端，经过编制、签章，在生成加密响应文件时，会同时生成非加密响应文件，供响应供应商刻录使用。U盘有响应供应商自行刻录、存储，响应供应商必须保证电子存储设备能够正常读取。U盘表面、外包装上应简要载明项目编号、项目名称、响应单位名称等信息。</w:t>
            </w:r>
          </w:p>
          <w:p>
            <w:pPr>
              <w:numPr>
                <w:ilvl w:val="0"/>
                <w:numId w:val="4"/>
              </w:numPr>
              <w:jc w:val="both"/>
            </w:pPr>
            <w:r>
              <w:rPr>
                <w:rFonts w:hint="eastAsia"/>
              </w:rPr>
              <w:t>响应供应商的法定代表人/单位负责人或其委托代理人应当按照本竞争性磋商公告载明的时间和地点参加磋商。磋商时，供应商应当使用CA在采购代理机构设置的时间内完成响应文件在线解密。</w:t>
            </w:r>
          </w:p>
          <w:p>
            <w:pPr>
              <w:numPr>
                <w:ilvl w:val="0"/>
                <w:numId w:val="4"/>
              </w:numPr>
              <w:jc w:val="both"/>
            </w:pPr>
            <w:r>
              <w:rPr>
                <w:rFonts w:hint="eastAsia"/>
              </w:rPr>
              <w:t>磋商时出现下列情况的，采购人、采购代理机构视其为无效响应：</w:t>
            </w:r>
          </w:p>
          <w:p>
            <w:pPr>
              <w:numPr>
                <w:ilvl w:val="0"/>
                <w:numId w:val="6"/>
              </w:numPr>
              <w:jc w:val="both"/>
            </w:pPr>
            <w:r>
              <w:rPr>
                <w:rFonts w:hint="eastAsia"/>
              </w:rPr>
              <w:t>经检查数字证书无效的响应文件；</w:t>
            </w:r>
          </w:p>
          <w:p>
            <w:pPr>
              <w:numPr>
                <w:ilvl w:val="0"/>
                <w:numId w:val="6"/>
              </w:numPr>
              <w:jc w:val="both"/>
            </w:pPr>
            <w:r>
              <w:rPr>
                <w:rFonts w:hint="eastAsia"/>
              </w:rPr>
              <w:t>供应商应在采购代理机构设置的时间内完成解密，因自身原因造成电子响应文件未能解密的；</w:t>
            </w:r>
          </w:p>
          <w:p>
            <w:pPr>
              <w:numPr>
                <w:ilvl w:val="0"/>
                <w:numId w:val="6"/>
              </w:numPr>
              <w:jc w:val="both"/>
            </w:pPr>
            <w:r>
              <w:rPr>
                <w:rFonts w:hint="eastAsia"/>
              </w:rPr>
              <w:t>磋商现场无法使用系统进行解密响应文件时，响应供应商未按照竞争性磋商文件要求提供非加密电子响应文件的；</w:t>
            </w:r>
          </w:p>
          <w:p>
            <w:pPr>
              <w:numPr>
                <w:ilvl w:val="0"/>
                <w:numId w:val="6"/>
              </w:numPr>
              <w:jc w:val="both"/>
            </w:pPr>
            <w:r>
              <w:rPr>
                <w:rFonts w:hint="eastAsia"/>
              </w:rPr>
              <w:t>逾期送达或者未按照竞争性磋商文件要求密封响应文件的。</w:t>
            </w:r>
          </w:p>
          <w:p>
            <w:pPr>
              <w:jc w:val="both"/>
            </w:pPr>
            <w:r>
              <w:rPr>
                <w:rFonts w:hint="eastAsia"/>
              </w:rPr>
              <w:t>6、本项目的供应商必须保证在采购代理机构设置的时间内完成全部包组的电子响应文件解密。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jc w:val="center"/>
            </w:pPr>
            <w:r>
              <w:rPr>
                <w:rFonts w:hint="eastAsia"/>
              </w:rPr>
              <w:t>22</w:t>
            </w:r>
          </w:p>
        </w:tc>
        <w:tc>
          <w:tcPr>
            <w:tcW w:w="2105" w:type="dxa"/>
            <w:vAlign w:val="center"/>
          </w:tcPr>
          <w:p>
            <w:pPr>
              <w:jc w:val="both"/>
            </w:pPr>
            <w:r>
              <w:rPr>
                <w:rFonts w:hint="eastAsia"/>
              </w:rPr>
              <w:t>电子响应文件签字、盖章要求</w:t>
            </w:r>
          </w:p>
        </w:tc>
        <w:tc>
          <w:tcPr>
            <w:tcW w:w="5878" w:type="dxa"/>
            <w:vAlign w:val="center"/>
          </w:tcPr>
          <w:p>
            <w:pPr>
              <w:jc w:val="both"/>
            </w:pPr>
            <w:r>
              <w:rPr>
                <w:rFonts w:hint="eastAsia"/>
              </w:rPr>
              <w:t>应按照第五部分“响应文件格式及附件”，使用CA进行签字、盖章。</w:t>
            </w:r>
          </w:p>
          <w:p>
            <w:pPr>
              <w:jc w:val="both"/>
            </w:pPr>
            <w:r>
              <w:rPr>
                <w:rFonts w:hint="eastAsia"/>
              </w:rPr>
              <w:t>说明：若涉及到授权委托人签字的可将文件签字页先进行签字、扫描后倒入加密电子响应文件。</w:t>
            </w:r>
          </w:p>
        </w:tc>
      </w:tr>
    </w:tbl>
    <w:p>
      <w:pPr>
        <w:pStyle w:val="2"/>
        <w:numPr>
          <w:ilvl w:val="1"/>
          <w:numId w:val="0"/>
        </w:numPr>
        <w:spacing w:before="0"/>
        <w:rPr>
          <w:rFonts w:ascii="宋体" w:hAnsi="宋体" w:eastAsia="宋体" w:cs="宋体"/>
        </w:rPr>
        <w:sectPr>
          <w:pgSz w:w="11906" w:h="16838"/>
          <w:pgMar w:top="1417" w:right="1701" w:bottom="1417" w:left="1701" w:header="851" w:footer="992" w:gutter="0"/>
          <w:cols w:space="720" w:num="1"/>
          <w:titlePg/>
          <w:docGrid w:type="lines" w:linePitch="312" w:charSpace="0"/>
        </w:sectPr>
      </w:pPr>
    </w:p>
    <w:p>
      <w:pPr>
        <w:pStyle w:val="2"/>
        <w:numPr>
          <w:ilvl w:val="1"/>
          <w:numId w:val="0"/>
        </w:numPr>
        <w:spacing w:before="0"/>
        <w:rPr>
          <w:rFonts w:ascii="宋体" w:hAnsi="宋体" w:eastAsia="宋体" w:cs="宋体"/>
        </w:rPr>
      </w:pPr>
      <w:r>
        <w:rPr>
          <w:rFonts w:hint="eastAsia" w:ascii="宋体" w:hAnsi="宋体" w:eastAsia="宋体" w:cs="宋体"/>
        </w:rPr>
        <w:t xml:space="preserve"> </w:t>
      </w:r>
      <w:bookmarkStart w:id="104" w:name="_Toc14310"/>
      <w:bookmarkStart w:id="105" w:name="_Toc15028"/>
      <w:bookmarkStart w:id="106" w:name="_Toc4439"/>
      <w:bookmarkStart w:id="107" w:name="_Toc8862"/>
      <w:bookmarkStart w:id="108" w:name="_Toc10766"/>
      <w:bookmarkStart w:id="109" w:name="_Toc31676"/>
      <w:bookmarkStart w:id="110" w:name="_Toc4483"/>
      <w:bookmarkStart w:id="111" w:name="_Toc19265"/>
      <w:bookmarkStart w:id="112" w:name="_Toc2593"/>
      <w:bookmarkStart w:id="113" w:name="_Toc30716"/>
      <w:bookmarkStart w:id="114" w:name="_Toc1074"/>
      <w:bookmarkStart w:id="115" w:name="_Toc13902"/>
      <w:bookmarkStart w:id="116" w:name="_Toc30721"/>
      <w:bookmarkStart w:id="117" w:name="_Toc31313"/>
      <w:bookmarkStart w:id="118" w:name="_Toc14257"/>
      <w:bookmarkStart w:id="119" w:name="_Toc24899"/>
      <w:bookmarkStart w:id="120" w:name="_Toc12135"/>
      <w:bookmarkStart w:id="121" w:name="_Toc17986"/>
      <w:bookmarkStart w:id="122" w:name="_Toc23540"/>
      <w:bookmarkStart w:id="123" w:name="_Toc22720"/>
      <w:bookmarkStart w:id="124" w:name="_Toc27805"/>
      <w:bookmarkStart w:id="125" w:name="_Toc16924"/>
      <w:bookmarkStart w:id="126" w:name="_Toc4748"/>
      <w:bookmarkStart w:id="127" w:name="_Toc21299"/>
      <w:bookmarkStart w:id="128" w:name="_Toc20551"/>
      <w:bookmarkStart w:id="129" w:name="_Toc32017"/>
      <w:bookmarkStart w:id="130" w:name="_Toc3521"/>
      <w:bookmarkStart w:id="131" w:name="_Toc1994"/>
      <w:bookmarkStart w:id="132" w:name="_Toc31306"/>
      <w:bookmarkStart w:id="133" w:name="_Toc29310"/>
      <w:bookmarkStart w:id="134" w:name="_Toc29818"/>
      <w:bookmarkStart w:id="135" w:name="_Toc19171"/>
      <w:bookmarkStart w:id="136" w:name="_Toc23820"/>
      <w:bookmarkStart w:id="137" w:name="_Toc20623"/>
      <w:bookmarkStart w:id="138" w:name="_Toc26618"/>
      <w:bookmarkStart w:id="139" w:name="_Toc31666"/>
      <w:bookmarkStart w:id="140" w:name="_Toc69"/>
      <w:bookmarkStart w:id="141" w:name="_Toc295"/>
      <w:bookmarkStart w:id="142" w:name="_Toc30535"/>
      <w:bookmarkStart w:id="143" w:name="_Toc13145"/>
      <w:bookmarkStart w:id="144" w:name="_Toc27911"/>
      <w:bookmarkStart w:id="145" w:name="_Toc20577"/>
      <w:bookmarkStart w:id="146" w:name="_Toc20327"/>
      <w:bookmarkStart w:id="147" w:name="_Toc4671"/>
      <w:bookmarkStart w:id="148" w:name="_Toc12049276"/>
      <w:bookmarkStart w:id="149" w:name="_Toc4519"/>
      <w:r>
        <w:rPr>
          <w:rFonts w:hint="eastAsia" w:ascii="宋体" w:hAnsi="宋体" w:eastAsia="宋体" w:cs="宋体"/>
        </w:rPr>
        <w:t>A  说明</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4"/>
        <w:adjustRightInd w:val="0"/>
        <w:spacing w:before="0" w:after="0"/>
        <w:textAlignment w:val="baseline"/>
        <w:rPr>
          <w:rFonts w:ascii="宋体" w:hAnsi="宋体" w:eastAsia="宋体" w:cs="宋体"/>
          <w:bCs w:val="0"/>
          <w:kern w:val="0"/>
          <w:sz w:val="24"/>
          <w:szCs w:val="20"/>
        </w:rPr>
      </w:pPr>
      <w:bookmarkStart w:id="150" w:name="_Toc14767"/>
      <w:bookmarkStart w:id="151" w:name="_Toc8973"/>
      <w:bookmarkStart w:id="152" w:name="_Toc13646"/>
      <w:bookmarkStart w:id="153" w:name="_Toc8767"/>
      <w:bookmarkStart w:id="154" w:name="_Toc25290"/>
      <w:bookmarkStart w:id="155" w:name="_Toc22432"/>
      <w:bookmarkStart w:id="156" w:name="_Toc13076"/>
      <w:bookmarkStart w:id="157" w:name="_Toc12395"/>
      <w:bookmarkStart w:id="158" w:name="_Toc24500"/>
      <w:bookmarkStart w:id="159" w:name="_Toc15672"/>
      <w:bookmarkStart w:id="160" w:name="_Toc28830"/>
      <w:bookmarkStart w:id="161" w:name="_Toc6675"/>
      <w:bookmarkStart w:id="162" w:name="_Toc21689"/>
      <w:bookmarkStart w:id="163" w:name="_Toc22903"/>
      <w:bookmarkStart w:id="164" w:name="_Toc20407"/>
      <w:bookmarkStart w:id="165" w:name="_Toc7283"/>
      <w:bookmarkStart w:id="166" w:name="_Toc4705"/>
      <w:bookmarkStart w:id="167" w:name="_Toc23705"/>
      <w:bookmarkStart w:id="168" w:name="_Toc22034"/>
      <w:bookmarkStart w:id="169" w:name="_Toc27092"/>
      <w:bookmarkStart w:id="170" w:name="_Toc29369"/>
      <w:bookmarkStart w:id="171" w:name="_Toc6166"/>
      <w:bookmarkStart w:id="172" w:name="_Toc8536"/>
      <w:bookmarkStart w:id="173" w:name="_Toc4340"/>
      <w:bookmarkStart w:id="174" w:name="_Toc19239"/>
      <w:bookmarkStart w:id="175" w:name="_Toc7844"/>
      <w:bookmarkStart w:id="176" w:name="_Toc10568"/>
      <w:bookmarkStart w:id="177" w:name="_Toc13192"/>
      <w:bookmarkStart w:id="178" w:name="_Toc32376"/>
      <w:bookmarkStart w:id="179" w:name="_Toc29921"/>
      <w:bookmarkStart w:id="180" w:name="_Toc16086"/>
      <w:bookmarkStart w:id="181" w:name="_Toc28193"/>
      <w:bookmarkStart w:id="182" w:name="_Toc1083"/>
      <w:bookmarkStart w:id="183" w:name="_Toc9344"/>
      <w:bookmarkStart w:id="184" w:name="_Toc29466"/>
      <w:bookmarkStart w:id="185" w:name="_Toc13234"/>
      <w:bookmarkStart w:id="186" w:name="_Toc26059"/>
      <w:bookmarkStart w:id="187" w:name="_Toc12049277"/>
      <w:bookmarkStart w:id="188" w:name="_Toc4007"/>
      <w:bookmarkStart w:id="189" w:name="_Toc6000"/>
      <w:bookmarkStart w:id="190" w:name="_Toc13966"/>
      <w:bookmarkStart w:id="191" w:name="_Toc6145"/>
      <w:bookmarkStart w:id="192" w:name="_Toc26775"/>
      <w:bookmarkStart w:id="193" w:name="_Toc11306"/>
      <w:bookmarkStart w:id="194" w:name="_Toc25837"/>
      <w:bookmarkStart w:id="195" w:name="_Toc15902"/>
      <w:r>
        <w:rPr>
          <w:rFonts w:hint="eastAsia" w:ascii="宋体" w:hAnsi="宋体" w:eastAsia="宋体" w:cs="宋体"/>
          <w:bCs w:val="0"/>
          <w:kern w:val="0"/>
          <w:sz w:val="24"/>
          <w:szCs w:val="20"/>
        </w:rPr>
        <w:t>1. 合格供应商范围</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jc w:val="both"/>
        <w:rPr>
          <w:rFonts w:ascii="宋体" w:hAnsi="宋体" w:cs="宋体"/>
          <w:sz w:val="24"/>
        </w:rPr>
      </w:pPr>
      <w:bookmarkStart w:id="196" w:name="_Toc12049278"/>
      <w:r>
        <w:rPr>
          <w:rFonts w:hint="eastAsia" w:ascii="宋体" w:hAnsi="宋体" w:cs="宋体"/>
          <w:sz w:val="24"/>
        </w:rPr>
        <w:t>1.1满足《中华人民共和国政府采购法》第二十二条规定。</w:t>
      </w:r>
    </w:p>
    <w:p>
      <w:pPr>
        <w:jc w:val="both"/>
        <w:rPr>
          <w:rFonts w:ascii="宋体" w:hAnsi="宋体" w:cs="宋体"/>
          <w:sz w:val="24"/>
        </w:rPr>
      </w:pPr>
      <w:r>
        <w:rPr>
          <w:rFonts w:hint="eastAsia" w:ascii="宋体" w:hAnsi="宋体" w:cs="宋体"/>
          <w:sz w:val="24"/>
        </w:rPr>
        <w:t>1.1.1具有独立承担民事责任的能力：在中华人民共和国境内的法人或其他组织或自然人，提交有效的营业执照（或事业法人登记证或身份证等相关证明）副本复印件。</w:t>
      </w:r>
    </w:p>
    <w:p>
      <w:pPr>
        <w:jc w:val="both"/>
        <w:rPr>
          <w:rFonts w:ascii="宋体" w:hAnsi="宋体" w:cs="宋体"/>
          <w:sz w:val="24"/>
        </w:rPr>
      </w:pPr>
      <w:r>
        <w:rPr>
          <w:rFonts w:hint="eastAsia" w:ascii="宋体" w:hAnsi="宋体" w:cs="宋体"/>
          <w:sz w:val="24"/>
        </w:rPr>
        <w:t>1.1.2提供响应文件提交截止时间前6个月任意1个月依法缴纳税收和社会保障资金的相关材料（缴费证明或相关内容承诺函）。如依法免税或不需要缴纳社会保障资金的，提供相应证明材料。</w:t>
      </w:r>
    </w:p>
    <w:p>
      <w:pPr>
        <w:jc w:val="both"/>
        <w:rPr>
          <w:rFonts w:ascii="宋体" w:hAnsi="宋体" w:cs="宋体"/>
          <w:sz w:val="24"/>
        </w:rPr>
      </w:pPr>
      <w:r>
        <w:rPr>
          <w:rFonts w:hint="eastAsia" w:ascii="宋体" w:hAnsi="宋体" w:cs="宋体"/>
          <w:sz w:val="24"/>
        </w:rPr>
        <w:t>1.1.3供应商必须具有良好的商业信誉和健全的财务会计制度（提供2019年度或2020年度财务状况报告或基本开户行出具的资信证明或相关内容承诺函）。</w:t>
      </w:r>
    </w:p>
    <w:p>
      <w:pPr>
        <w:jc w:val="both"/>
        <w:rPr>
          <w:rFonts w:ascii="宋体" w:hAnsi="宋体" w:cs="宋体"/>
          <w:sz w:val="24"/>
        </w:rPr>
      </w:pPr>
      <w:r>
        <w:rPr>
          <w:rFonts w:hint="eastAsia" w:ascii="宋体" w:hAnsi="宋体" w:cs="宋体"/>
          <w:sz w:val="24"/>
        </w:rPr>
        <w:t>1.1.4履行合同所必须的设备和专业技术能力：按采购文件服务要求填报设备及专业技术能力情况。</w:t>
      </w:r>
    </w:p>
    <w:p>
      <w:pPr>
        <w:jc w:val="both"/>
        <w:rPr>
          <w:rFonts w:ascii="宋体" w:hAnsi="宋体" w:cs="宋体"/>
          <w:sz w:val="24"/>
        </w:rPr>
      </w:pPr>
      <w:r>
        <w:rPr>
          <w:rFonts w:hint="eastAsia" w:ascii="宋体" w:hAnsi="宋体" w:cs="宋体"/>
          <w:sz w:val="24"/>
        </w:rPr>
        <w:t>1.1.5参加采购活动前三年内，在经营活动中没有重大违法记录。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供应商提供相关承诺函）。</w:t>
      </w:r>
    </w:p>
    <w:p>
      <w:pPr>
        <w:jc w:val="both"/>
        <w:rPr>
          <w:rFonts w:ascii="宋体" w:hAnsi="宋体" w:cs="宋体"/>
          <w:sz w:val="24"/>
        </w:rPr>
      </w:pPr>
      <w:r>
        <w:rPr>
          <w:rFonts w:hint="eastAsia" w:ascii="宋体" w:hAnsi="宋体" w:cs="宋体"/>
          <w:sz w:val="24"/>
        </w:rPr>
        <w:t>1.2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供应商提供相关承诺函）。</w:t>
      </w:r>
    </w:p>
    <w:p>
      <w:pPr>
        <w:jc w:val="both"/>
        <w:rPr>
          <w:rFonts w:ascii="宋体" w:hAnsi="宋体" w:cs="宋体"/>
          <w:sz w:val="24"/>
        </w:rPr>
      </w:pPr>
      <w:r>
        <w:rPr>
          <w:rFonts w:hint="eastAsia" w:ascii="宋体" w:hAnsi="宋体" w:cs="宋体"/>
          <w:sz w:val="24"/>
        </w:rPr>
        <w:t>1.3参加本项目采购的潜在供应商自本公告发布之日起（含公告发布当日）前三年内没有重大违法记录，已被列入失信被执行人、重大税收违法案件当事人名单、政府采购严重违法失信行为记录名单，不得参与政府采购活动，由代理机构现场核查信用记录。核查路径：</w:t>
      </w:r>
    </w:p>
    <w:p>
      <w:pPr>
        <w:jc w:val="both"/>
        <w:rPr>
          <w:rFonts w:ascii="宋体" w:hAnsi="宋体" w:cs="宋体"/>
          <w:sz w:val="24"/>
        </w:rPr>
      </w:pPr>
      <w:r>
        <w:rPr>
          <w:rFonts w:hint="eastAsia" w:ascii="宋体" w:hAnsi="宋体" w:cs="宋体"/>
          <w:sz w:val="24"/>
        </w:rPr>
        <w:t>①“信用中国”网站（http://www.creditchina.gov.cn/）</w:t>
      </w:r>
    </w:p>
    <w:p>
      <w:pPr>
        <w:jc w:val="both"/>
        <w:rPr>
          <w:rFonts w:ascii="宋体" w:hAnsi="宋体" w:cs="宋体"/>
          <w:sz w:val="24"/>
        </w:rPr>
      </w:pPr>
      <w:r>
        <w:rPr>
          <w:rFonts w:hint="eastAsia" w:ascii="宋体" w:hAnsi="宋体" w:cs="宋体"/>
          <w:sz w:val="24"/>
        </w:rPr>
        <w:t>②“中国政府采购网”网站（http://www.ccgp.gov.cn/cr/list）</w:t>
      </w:r>
    </w:p>
    <w:p>
      <w:pPr>
        <w:jc w:val="both"/>
        <w:rPr>
          <w:rFonts w:ascii="宋体" w:hAnsi="宋体" w:cs="宋体"/>
          <w:sz w:val="24"/>
        </w:rPr>
      </w:pPr>
      <w:r>
        <w:rPr>
          <w:rFonts w:hint="eastAsia" w:ascii="宋体" w:hAnsi="宋体" w:cs="宋体"/>
          <w:sz w:val="24"/>
        </w:rPr>
        <w:t>1.4企业资质及人员要求：</w:t>
      </w:r>
    </w:p>
    <w:p>
      <w:pPr>
        <w:rPr>
          <w:rFonts w:ascii="宋体" w:hAnsi="宋体" w:cs="宋体"/>
          <w:sz w:val="24"/>
        </w:rPr>
      </w:pPr>
      <w:bookmarkStart w:id="197" w:name="_Toc22385"/>
      <w:bookmarkStart w:id="198" w:name="_Toc17367"/>
      <w:r>
        <w:rPr>
          <w:rFonts w:hint="eastAsia" w:ascii="宋体" w:hAnsi="宋体" w:cs="宋体"/>
          <w:sz w:val="24"/>
        </w:rPr>
        <w:t>1.4.1拟参加本项目采购的供应商须具备建设行政主管部门颁发的</w:t>
      </w:r>
      <w:r>
        <w:rPr>
          <w:rFonts w:hint="eastAsia" w:ascii="宋体" w:hAnsi="宋体" w:cs="宋体"/>
          <w:sz w:val="24"/>
          <w:lang w:eastAsia="zh-CN"/>
        </w:rPr>
        <w:t>建筑装修装饰工程专业承包二级及以上资质</w:t>
      </w:r>
      <w:r>
        <w:rPr>
          <w:rFonts w:hint="eastAsia" w:ascii="宋体" w:hAnsi="宋体" w:cs="宋体"/>
          <w:sz w:val="24"/>
        </w:rPr>
        <w:t>；具有有效的安全生产许可证；</w:t>
      </w:r>
    </w:p>
    <w:p>
      <w:pPr>
        <w:rPr>
          <w:rFonts w:ascii="宋体" w:hAnsi="宋体" w:cs="宋体"/>
          <w:sz w:val="24"/>
        </w:rPr>
      </w:pPr>
      <w:r>
        <w:rPr>
          <w:rFonts w:hint="eastAsia" w:ascii="宋体" w:hAnsi="宋体" w:cs="宋体"/>
          <w:sz w:val="24"/>
        </w:rPr>
        <w:t>1.4.2潜在供应商拟派项目经理须具备相关专业二级及以上（含二级）注册建造师资格（证企相符），具备有效的安全生产考核B证，且未担任其他在施建设工程项目（由供应商自行将项目经理无在建承诺放入磋商响应文件中并加盖公章，无项目经理承诺按响应无效处理）；</w:t>
      </w:r>
    </w:p>
    <w:p>
      <w:pPr>
        <w:rPr>
          <w:rFonts w:ascii="宋体" w:hAnsi="宋体" w:cs="宋体"/>
          <w:sz w:val="24"/>
        </w:rPr>
      </w:pPr>
      <w:r>
        <w:rPr>
          <w:rFonts w:hint="eastAsia" w:ascii="宋体" w:hAnsi="宋体" w:cs="宋体"/>
          <w:sz w:val="24"/>
        </w:rPr>
        <w:t>1.4.3潜在供应商拟派技术负责人须具备相关专业中级及以上（含中级）技术职称。</w:t>
      </w:r>
    </w:p>
    <w:p>
      <w:pPr>
        <w:rPr>
          <w:rFonts w:ascii="宋体" w:hAnsi="宋体" w:cs="宋体"/>
          <w:sz w:val="24"/>
        </w:rPr>
      </w:pPr>
      <w:r>
        <w:rPr>
          <w:rFonts w:hint="eastAsia" w:ascii="宋体" w:hAnsi="宋体" w:cs="宋体"/>
          <w:sz w:val="24"/>
        </w:rPr>
        <w:t>1.4.4潜在供应商拟派项目班子须具备施工员、质量员具有有效的岗位证书；安全员须具有有效的安全生产考核合格证书（C证）及以上。</w:t>
      </w:r>
    </w:p>
    <w:p>
      <w:pPr>
        <w:jc w:val="both"/>
        <w:rPr>
          <w:rFonts w:ascii="宋体" w:hAnsi="宋体" w:cs="宋体"/>
          <w:sz w:val="24"/>
        </w:rPr>
      </w:pPr>
      <w:r>
        <w:rPr>
          <w:rFonts w:hint="eastAsia" w:ascii="宋体" w:hAnsi="宋体" w:cs="宋体"/>
          <w:sz w:val="24"/>
        </w:rPr>
        <w:t>1.5本项目不允许供应商组成联合体参加</w:t>
      </w:r>
      <w:bookmarkEnd w:id="197"/>
      <w:bookmarkEnd w:id="198"/>
      <w:r>
        <w:rPr>
          <w:rFonts w:hint="eastAsia" w:ascii="宋体" w:hAnsi="宋体" w:cs="宋体"/>
          <w:sz w:val="24"/>
        </w:rPr>
        <w:t>；</w:t>
      </w:r>
    </w:p>
    <w:p>
      <w:pPr>
        <w:rPr>
          <w:rFonts w:ascii="宋体" w:hAnsi="宋体" w:cs="宋体"/>
          <w:sz w:val="24"/>
        </w:rPr>
      </w:pPr>
      <w:r>
        <w:rPr>
          <w:rFonts w:hint="eastAsia" w:ascii="宋体" w:hAnsi="宋体" w:cs="宋体"/>
          <w:sz w:val="24"/>
        </w:rPr>
        <w:t>1.6本项目采用资格后审方式，主要资格审查标准、内容等详见磋商文件，只有资格审查合格的磋商申请人才有可能被授予合同。</w:t>
      </w:r>
    </w:p>
    <w:p>
      <w:pPr>
        <w:pStyle w:val="4"/>
        <w:spacing w:before="0" w:after="0"/>
        <w:rPr>
          <w:rFonts w:ascii="宋体" w:hAnsi="宋体" w:eastAsia="宋体" w:cs="宋体"/>
          <w:bCs w:val="0"/>
          <w:kern w:val="0"/>
          <w:sz w:val="24"/>
          <w:szCs w:val="20"/>
        </w:rPr>
      </w:pPr>
      <w:bookmarkStart w:id="199" w:name="_Toc24547"/>
      <w:bookmarkStart w:id="200" w:name="_Toc8763"/>
      <w:bookmarkStart w:id="201" w:name="_Toc25884"/>
      <w:bookmarkStart w:id="202" w:name="_Toc23366"/>
      <w:bookmarkStart w:id="203" w:name="_Toc9659"/>
      <w:bookmarkStart w:id="204" w:name="_Toc27326"/>
      <w:bookmarkStart w:id="205" w:name="_Toc25090"/>
      <w:bookmarkStart w:id="206" w:name="_Toc7239"/>
      <w:bookmarkStart w:id="207" w:name="_Toc28057"/>
      <w:bookmarkStart w:id="208" w:name="_Toc21024"/>
      <w:bookmarkStart w:id="209" w:name="_Toc29529"/>
      <w:bookmarkStart w:id="210" w:name="_Toc4309"/>
      <w:bookmarkStart w:id="211" w:name="_Toc2145"/>
      <w:bookmarkStart w:id="212" w:name="_Toc11787"/>
      <w:bookmarkStart w:id="213" w:name="_Toc25269"/>
      <w:bookmarkStart w:id="214" w:name="_Toc26081"/>
      <w:bookmarkStart w:id="215" w:name="_Toc4395"/>
      <w:bookmarkStart w:id="216" w:name="_Toc12186"/>
      <w:bookmarkStart w:id="217" w:name="_Toc10372"/>
      <w:bookmarkStart w:id="218" w:name="_Toc32365"/>
      <w:bookmarkStart w:id="219" w:name="_Toc3148"/>
      <w:bookmarkStart w:id="220" w:name="_Toc14935"/>
      <w:bookmarkStart w:id="221" w:name="_Toc1786"/>
      <w:bookmarkStart w:id="222" w:name="_Toc11754"/>
      <w:bookmarkStart w:id="223" w:name="_Toc20869"/>
      <w:bookmarkStart w:id="224" w:name="_Toc11516"/>
      <w:bookmarkStart w:id="225" w:name="_Toc28072"/>
      <w:bookmarkStart w:id="226" w:name="_Toc5688"/>
      <w:bookmarkStart w:id="227" w:name="_Toc30625"/>
      <w:bookmarkStart w:id="228" w:name="_Toc17517"/>
      <w:bookmarkStart w:id="229" w:name="_Toc2789"/>
      <w:bookmarkStart w:id="230" w:name="_Toc24155"/>
      <w:bookmarkStart w:id="231" w:name="_Toc23565"/>
      <w:bookmarkStart w:id="232" w:name="_Toc29048"/>
      <w:bookmarkStart w:id="233" w:name="_Toc4976"/>
      <w:bookmarkStart w:id="234" w:name="_Toc20480"/>
      <w:bookmarkStart w:id="235" w:name="_Toc6344"/>
      <w:bookmarkStart w:id="236" w:name="_Toc25443"/>
      <w:bookmarkStart w:id="237" w:name="_Toc7494"/>
      <w:bookmarkStart w:id="238" w:name="_Toc24160"/>
      <w:bookmarkStart w:id="239" w:name="_Toc7951"/>
      <w:bookmarkStart w:id="240" w:name="_Toc30955"/>
      <w:bookmarkStart w:id="241" w:name="_Toc1170"/>
      <w:bookmarkStart w:id="242" w:name="_Toc11439"/>
      <w:bookmarkStart w:id="243" w:name="_Toc28348"/>
      <w:r>
        <w:rPr>
          <w:rFonts w:hint="eastAsia" w:ascii="宋体" w:hAnsi="宋体" w:eastAsia="宋体" w:cs="宋体"/>
          <w:sz w:val="24"/>
        </w:rPr>
        <w:t>2. 委托</w:t>
      </w:r>
      <w:bookmarkEnd w:id="19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jc w:val="both"/>
        <w:rPr>
          <w:rFonts w:ascii="宋体" w:hAnsi="宋体" w:cs="宋体"/>
          <w:sz w:val="24"/>
        </w:rPr>
      </w:pPr>
      <w:r>
        <w:rPr>
          <w:rFonts w:hint="eastAsia" w:ascii="宋体" w:hAnsi="宋体" w:cs="宋体"/>
          <w:sz w:val="24"/>
        </w:rPr>
        <w:t>2.1如供应商代表不是法定代表人，须持有《法定代表人授权书》（统一格式）。</w:t>
      </w:r>
    </w:p>
    <w:p>
      <w:pPr>
        <w:pStyle w:val="4"/>
        <w:adjustRightInd w:val="0"/>
        <w:spacing w:before="0" w:after="0"/>
        <w:textAlignment w:val="baseline"/>
        <w:rPr>
          <w:rFonts w:ascii="宋体" w:hAnsi="宋体" w:eastAsia="宋体" w:cs="宋体"/>
          <w:bCs w:val="0"/>
          <w:kern w:val="0"/>
          <w:sz w:val="24"/>
          <w:szCs w:val="20"/>
        </w:rPr>
      </w:pPr>
      <w:bookmarkStart w:id="244" w:name="_Toc14437"/>
      <w:bookmarkStart w:id="245" w:name="_Toc18058"/>
      <w:bookmarkStart w:id="246" w:name="_Toc19186"/>
      <w:bookmarkStart w:id="247" w:name="_Toc14325"/>
      <w:bookmarkStart w:id="248" w:name="_Toc19372"/>
      <w:bookmarkStart w:id="249" w:name="_Toc30922"/>
      <w:bookmarkStart w:id="250" w:name="_Toc23032"/>
      <w:bookmarkStart w:id="251" w:name="_Toc6212"/>
      <w:bookmarkStart w:id="252" w:name="_Toc3609"/>
      <w:bookmarkStart w:id="253" w:name="_Toc31205"/>
      <w:bookmarkStart w:id="254" w:name="_Toc12049279"/>
      <w:bookmarkStart w:id="255" w:name="_Toc28469"/>
      <w:bookmarkStart w:id="256" w:name="_Toc6482"/>
      <w:bookmarkStart w:id="257" w:name="_Toc3771"/>
      <w:bookmarkStart w:id="258" w:name="_Toc13505"/>
      <w:bookmarkStart w:id="259" w:name="_Toc18128"/>
      <w:bookmarkStart w:id="260" w:name="_Toc977"/>
      <w:bookmarkStart w:id="261" w:name="_Toc3096"/>
      <w:bookmarkStart w:id="262" w:name="_Toc2064"/>
      <w:bookmarkStart w:id="263" w:name="_Toc28922"/>
      <w:bookmarkStart w:id="264" w:name="_Toc24856"/>
      <w:bookmarkStart w:id="265" w:name="_Toc16329"/>
      <w:bookmarkStart w:id="266" w:name="_Toc30430"/>
      <w:bookmarkStart w:id="267" w:name="_Toc29912"/>
      <w:bookmarkStart w:id="268" w:name="_Toc23523"/>
      <w:bookmarkStart w:id="269" w:name="_Toc384"/>
      <w:bookmarkStart w:id="270" w:name="_Toc1408"/>
      <w:bookmarkStart w:id="271" w:name="_Toc3583"/>
      <w:bookmarkStart w:id="272" w:name="_Toc2546"/>
      <w:bookmarkStart w:id="273" w:name="_Toc13767"/>
      <w:bookmarkStart w:id="274" w:name="_Toc28521"/>
      <w:bookmarkStart w:id="275" w:name="_Toc28863"/>
      <w:bookmarkStart w:id="276" w:name="_Toc28332"/>
      <w:bookmarkStart w:id="277" w:name="_Toc16742"/>
      <w:bookmarkStart w:id="278" w:name="_Toc26578"/>
      <w:bookmarkStart w:id="279" w:name="_Toc4537"/>
      <w:bookmarkStart w:id="280" w:name="_Toc16927"/>
      <w:bookmarkStart w:id="281" w:name="_Toc570"/>
      <w:bookmarkStart w:id="282" w:name="_Toc17786"/>
      <w:bookmarkStart w:id="283" w:name="_Toc9736"/>
      <w:bookmarkStart w:id="284" w:name="_Toc19457"/>
      <w:bookmarkStart w:id="285" w:name="_Toc10476"/>
      <w:bookmarkStart w:id="286" w:name="_Toc32181"/>
      <w:bookmarkStart w:id="287" w:name="_Toc19307"/>
      <w:bookmarkStart w:id="288" w:name="_Toc5331"/>
      <w:bookmarkStart w:id="289" w:name="_Toc19780"/>
      <w:r>
        <w:rPr>
          <w:rFonts w:hint="eastAsia" w:ascii="宋体" w:hAnsi="宋体" w:eastAsia="宋体" w:cs="宋体"/>
          <w:bCs w:val="0"/>
          <w:kern w:val="0"/>
          <w:sz w:val="24"/>
          <w:szCs w:val="20"/>
        </w:rPr>
        <w:t>3. 费用</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jc w:val="both"/>
        <w:rPr>
          <w:rFonts w:ascii="宋体" w:hAnsi="宋体" w:cs="宋体"/>
          <w:sz w:val="24"/>
        </w:rPr>
      </w:pPr>
      <w:r>
        <w:rPr>
          <w:rFonts w:hint="eastAsia" w:ascii="宋体" w:hAnsi="宋体" w:cs="宋体"/>
          <w:sz w:val="24"/>
        </w:rPr>
        <w:t>3.1无论磋商过程中的作法和结果如何，供应商自行承担所有与参加磋商有关的全部费用。</w:t>
      </w:r>
    </w:p>
    <w:p>
      <w:pPr>
        <w:pStyle w:val="2"/>
        <w:numPr>
          <w:ilvl w:val="1"/>
          <w:numId w:val="0"/>
        </w:numPr>
        <w:spacing w:before="0"/>
        <w:rPr>
          <w:rFonts w:ascii="宋体" w:hAnsi="宋体" w:eastAsia="宋体" w:cs="宋体"/>
        </w:rPr>
      </w:pPr>
      <w:bookmarkStart w:id="290" w:name="_Toc15669"/>
      <w:bookmarkStart w:id="291" w:name="_Toc10317"/>
      <w:bookmarkStart w:id="292" w:name="_Toc16119"/>
      <w:bookmarkStart w:id="293" w:name="_Toc6366"/>
      <w:bookmarkStart w:id="294" w:name="_Toc12049280"/>
      <w:bookmarkStart w:id="295" w:name="_Toc30582"/>
      <w:bookmarkStart w:id="296" w:name="_Toc20598"/>
      <w:bookmarkStart w:id="297" w:name="_Toc19451"/>
      <w:bookmarkStart w:id="298" w:name="_Toc10829"/>
      <w:bookmarkStart w:id="299" w:name="_Toc23128"/>
      <w:bookmarkStart w:id="300" w:name="_Toc3649"/>
      <w:bookmarkStart w:id="301" w:name="_Toc6127"/>
      <w:bookmarkStart w:id="302" w:name="_Toc14834"/>
      <w:bookmarkStart w:id="303" w:name="_Toc3465"/>
      <w:bookmarkStart w:id="304" w:name="_Toc18273"/>
      <w:bookmarkStart w:id="305" w:name="_Toc3467"/>
      <w:bookmarkStart w:id="306" w:name="_Toc5759"/>
      <w:bookmarkStart w:id="307" w:name="_Toc20473"/>
      <w:bookmarkStart w:id="308" w:name="_Toc16471"/>
      <w:bookmarkStart w:id="309" w:name="_Toc14665"/>
      <w:bookmarkStart w:id="310" w:name="_Toc4523"/>
      <w:bookmarkStart w:id="311" w:name="_Toc14719"/>
      <w:bookmarkStart w:id="312" w:name="_Toc31809"/>
      <w:bookmarkStart w:id="313" w:name="_Toc2138"/>
      <w:bookmarkStart w:id="314" w:name="_Toc32383"/>
      <w:bookmarkStart w:id="315" w:name="_Toc26627"/>
      <w:bookmarkStart w:id="316" w:name="_Toc25880"/>
      <w:bookmarkStart w:id="317" w:name="_Toc10927"/>
      <w:bookmarkStart w:id="318" w:name="_Toc2255"/>
      <w:bookmarkStart w:id="319" w:name="_Toc29357"/>
      <w:bookmarkStart w:id="320" w:name="_Toc10816"/>
      <w:bookmarkStart w:id="321" w:name="_Toc7261"/>
      <w:bookmarkStart w:id="322" w:name="_Toc11230"/>
      <w:bookmarkStart w:id="323" w:name="_Toc32048"/>
      <w:bookmarkStart w:id="324" w:name="_Toc28943"/>
      <w:bookmarkStart w:id="325" w:name="_Toc1570"/>
      <w:bookmarkStart w:id="326" w:name="_Toc15067"/>
      <w:bookmarkStart w:id="327" w:name="_Toc15719"/>
      <w:bookmarkStart w:id="328" w:name="_Toc19441"/>
      <w:bookmarkStart w:id="329" w:name="_Toc18546"/>
      <w:bookmarkStart w:id="330" w:name="_Toc3506"/>
      <w:bookmarkStart w:id="331" w:name="_Toc345"/>
      <w:bookmarkStart w:id="332" w:name="_Toc1458"/>
      <w:bookmarkStart w:id="333" w:name="_Toc21069"/>
      <w:bookmarkStart w:id="334" w:name="_Toc8208"/>
      <w:bookmarkStart w:id="335" w:name="_Toc6646"/>
      <w:r>
        <w:rPr>
          <w:rFonts w:hint="eastAsia" w:ascii="宋体" w:hAnsi="宋体" w:eastAsia="宋体" w:cs="宋体"/>
        </w:rPr>
        <w:t>B  响应文件</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4"/>
        <w:adjustRightInd w:val="0"/>
        <w:spacing w:before="0" w:after="0"/>
        <w:textAlignment w:val="baseline"/>
        <w:rPr>
          <w:rFonts w:ascii="宋体" w:hAnsi="宋体" w:eastAsia="宋体" w:cs="宋体"/>
          <w:sz w:val="24"/>
        </w:rPr>
      </w:pPr>
      <w:bookmarkStart w:id="336" w:name="_Toc24421"/>
      <w:bookmarkStart w:id="337" w:name="_Toc31525"/>
      <w:bookmarkStart w:id="338" w:name="_Toc16608"/>
      <w:bookmarkStart w:id="339" w:name="_Toc29092"/>
      <w:bookmarkStart w:id="340" w:name="_Toc18791"/>
      <w:bookmarkStart w:id="341" w:name="_Toc8621"/>
      <w:bookmarkStart w:id="342" w:name="_Toc27972"/>
      <w:bookmarkStart w:id="343" w:name="_Toc21671"/>
      <w:bookmarkStart w:id="344" w:name="_Toc29664"/>
      <w:bookmarkStart w:id="345" w:name="_Toc19796"/>
      <w:bookmarkStart w:id="346" w:name="_Toc23446"/>
      <w:bookmarkStart w:id="347" w:name="_Toc29771"/>
      <w:bookmarkStart w:id="348" w:name="_Toc25077"/>
      <w:bookmarkStart w:id="349" w:name="_Toc22271"/>
      <w:bookmarkStart w:id="350" w:name="_Toc14026"/>
      <w:bookmarkStart w:id="351" w:name="_Toc13894"/>
      <w:bookmarkStart w:id="352" w:name="_Toc16074"/>
      <w:bookmarkStart w:id="353" w:name="_Toc9757"/>
      <w:bookmarkStart w:id="354" w:name="_Toc22992"/>
      <w:bookmarkStart w:id="355" w:name="_Toc12864"/>
      <w:bookmarkStart w:id="356" w:name="_Toc2383"/>
      <w:bookmarkStart w:id="357" w:name="_Toc9314"/>
      <w:bookmarkStart w:id="358" w:name="_Toc14656"/>
      <w:bookmarkStart w:id="359" w:name="_Toc31682"/>
      <w:bookmarkStart w:id="360" w:name="_Toc6153"/>
      <w:bookmarkStart w:id="361" w:name="_Toc27146"/>
      <w:bookmarkStart w:id="362" w:name="_Toc27177"/>
      <w:bookmarkStart w:id="363" w:name="_Toc17146"/>
      <w:bookmarkStart w:id="364" w:name="_Toc13945"/>
      <w:bookmarkStart w:id="365" w:name="_Toc1542"/>
      <w:bookmarkStart w:id="366" w:name="_Toc78"/>
      <w:bookmarkStart w:id="367" w:name="_Toc7620"/>
      <w:bookmarkStart w:id="368" w:name="_Toc2646"/>
      <w:bookmarkStart w:id="369" w:name="_Toc26135"/>
      <w:bookmarkStart w:id="370" w:name="_Toc25848"/>
      <w:bookmarkStart w:id="371" w:name="_Toc12049281"/>
      <w:bookmarkStart w:id="372" w:name="_Toc7866"/>
      <w:bookmarkStart w:id="373" w:name="_Toc15613"/>
      <w:bookmarkStart w:id="374" w:name="_Toc25972"/>
      <w:bookmarkStart w:id="375" w:name="_Toc2402"/>
      <w:bookmarkStart w:id="376" w:name="_Toc19158"/>
      <w:bookmarkStart w:id="377" w:name="_Toc7918"/>
      <w:bookmarkStart w:id="378" w:name="_Toc14565"/>
      <w:bookmarkStart w:id="379" w:name="_Toc27970"/>
      <w:bookmarkStart w:id="380" w:name="_Toc28427"/>
      <w:bookmarkStart w:id="381" w:name="_Toc16334"/>
      <w:r>
        <w:rPr>
          <w:rFonts w:hint="eastAsia" w:ascii="宋体" w:hAnsi="宋体" w:eastAsia="宋体" w:cs="宋体"/>
          <w:bCs w:val="0"/>
          <w:kern w:val="0"/>
          <w:sz w:val="24"/>
          <w:szCs w:val="20"/>
        </w:rPr>
        <w:t>4. 响应文件计量单位</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jc w:val="both"/>
        <w:rPr>
          <w:rFonts w:ascii="宋体" w:hAnsi="宋体" w:cs="宋体"/>
          <w:sz w:val="24"/>
        </w:rPr>
      </w:pPr>
      <w:r>
        <w:rPr>
          <w:rFonts w:hint="eastAsia" w:ascii="宋体" w:hAnsi="宋体" w:cs="宋体"/>
          <w:sz w:val="24"/>
        </w:rPr>
        <w:t>4.1响应文件中所使用的计量单位，除有特殊要求外，应采用中国国家法定计量单位。</w:t>
      </w:r>
    </w:p>
    <w:p>
      <w:pPr>
        <w:pStyle w:val="4"/>
        <w:adjustRightInd w:val="0"/>
        <w:spacing w:before="0" w:after="0"/>
        <w:textAlignment w:val="baseline"/>
        <w:rPr>
          <w:rFonts w:ascii="宋体" w:hAnsi="宋体" w:eastAsia="宋体" w:cs="宋体"/>
          <w:bCs w:val="0"/>
          <w:kern w:val="0"/>
          <w:sz w:val="24"/>
          <w:szCs w:val="20"/>
        </w:rPr>
      </w:pPr>
      <w:bookmarkStart w:id="382" w:name="_Toc28639"/>
      <w:bookmarkStart w:id="383" w:name="_Toc3010"/>
      <w:bookmarkStart w:id="384" w:name="_Toc6805"/>
      <w:bookmarkStart w:id="385" w:name="_Toc24839"/>
      <w:bookmarkStart w:id="386" w:name="_Toc8201"/>
      <w:bookmarkStart w:id="387" w:name="_Toc11978"/>
      <w:bookmarkStart w:id="388" w:name="_Toc1038"/>
      <w:bookmarkStart w:id="389" w:name="_Toc25957"/>
      <w:bookmarkStart w:id="390" w:name="_Toc10199"/>
      <w:bookmarkStart w:id="391" w:name="_Toc29947"/>
      <w:bookmarkStart w:id="392" w:name="_Toc23625"/>
      <w:bookmarkStart w:id="393" w:name="_Toc22566"/>
      <w:bookmarkStart w:id="394" w:name="_Toc16313"/>
      <w:bookmarkStart w:id="395" w:name="_Toc28293"/>
      <w:bookmarkStart w:id="396" w:name="_Toc23089"/>
      <w:bookmarkStart w:id="397" w:name="_Toc23403"/>
      <w:bookmarkStart w:id="398" w:name="_Toc17294"/>
      <w:bookmarkStart w:id="399" w:name="_Toc25272"/>
      <w:bookmarkStart w:id="400" w:name="_Toc4965"/>
      <w:bookmarkStart w:id="401" w:name="_Toc6529"/>
      <w:bookmarkStart w:id="402" w:name="_Toc6148"/>
      <w:bookmarkStart w:id="403" w:name="_Toc13342"/>
      <w:bookmarkStart w:id="404" w:name="_Toc15240"/>
      <w:bookmarkStart w:id="405" w:name="_Toc19594"/>
      <w:bookmarkStart w:id="406" w:name="_Toc5373"/>
      <w:bookmarkStart w:id="407" w:name="_Toc19815"/>
      <w:bookmarkStart w:id="408" w:name="_Toc22524"/>
      <w:bookmarkStart w:id="409" w:name="_Toc1218"/>
      <w:bookmarkStart w:id="410" w:name="_Toc25488"/>
      <w:bookmarkStart w:id="411" w:name="_Toc18419"/>
      <w:bookmarkStart w:id="412" w:name="_Toc18644"/>
      <w:bookmarkStart w:id="413" w:name="_Toc10559"/>
      <w:bookmarkStart w:id="414" w:name="_Toc10430"/>
      <w:bookmarkStart w:id="415" w:name="_Toc1636"/>
      <w:bookmarkStart w:id="416" w:name="_Toc30541"/>
      <w:bookmarkStart w:id="417" w:name="_Toc28349"/>
      <w:bookmarkStart w:id="418" w:name="_Toc30207"/>
      <w:bookmarkStart w:id="419" w:name="_Toc17332"/>
      <w:bookmarkStart w:id="420" w:name="_Toc1527"/>
      <w:bookmarkStart w:id="421" w:name="_Toc5967"/>
      <w:bookmarkStart w:id="422" w:name="_Toc14975"/>
      <w:bookmarkStart w:id="423" w:name="_Toc27037"/>
      <w:bookmarkStart w:id="424" w:name="_Toc12049282"/>
      <w:bookmarkStart w:id="425" w:name="_Toc24313"/>
      <w:bookmarkStart w:id="426" w:name="_Toc20660"/>
      <w:bookmarkStart w:id="427" w:name="_Toc11948"/>
      <w:r>
        <w:rPr>
          <w:rFonts w:hint="eastAsia" w:ascii="宋体" w:hAnsi="宋体" w:eastAsia="宋体" w:cs="宋体"/>
          <w:bCs w:val="0"/>
          <w:kern w:val="0"/>
          <w:sz w:val="24"/>
          <w:szCs w:val="20"/>
        </w:rPr>
        <w:t>5. 响应文件的组成</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jc w:val="both"/>
        <w:rPr>
          <w:rFonts w:ascii="宋体" w:hAnsi="宋体" w:cs="宋体"/>
          <w:sz w:val="24"/>
        </w:rPr>
      </w:pPr>
      <w:r>
        <w:rPr>
          <w:rFonts w:hint="eastAsia" w:ascii="宋体" w:hAnsi="宋体" w:cs="宋体"/>
          <w:sz w:val="24"/>
        </w:rPr>
        <w:t>5.1响应文件（统一格式），包括：</w:t>
      </w:r>
    </w:p>
    <w:p>
      <w:pPr>
        <w:tabs>
          <w:tab w:val="right" w:leader="dot" w:pos="8610"/>
          <w:tab w:val="right" w:leader="dot" w:pos="8779"/>
        </w:tabs>
        <w:rPr>
          <w:rFonts w:ascii="宋体" w:hAnsi="宋体" w:cs="宋体"/>
          <w:sz w:val="24"/>
        </w:rPr>
      </w:pPr>
      <w:r>
        <w:rPr>
          <w:rFonts w:hint="eastAsia" w:ascii="宋体" w:hAnsi="宋体" w:cs="宋体"/>
          <w:sz w:val="24"/>
        </w:rPr>
        <w:t>（1）响应文件封面；</w:t>
      </w:r>
    </w:p>
    <w:p>
      <w:pPr>
        <w:tabs>
          <w:tab w:val="right" w:leader="dot" w:pos="8610"/>
          <w:tab w:val="right" w:leader="dot" w:pos="8779"/>
        </w:tabs>
        <w:rPr>
          <w:rFonts w:ascii="宋体" w:hAnsi="宋体" w:cs="宋体"/>
          <w:sz w:val="24"/>
        </w:rPr>
      </w:pPr>
      <w:r>
        <w:rPr>
          <w:rFonts w:hint="eastAsia" w:ascii="宋体" w:hAnsi="宋体" w:cs="宋体"/>
          <w:sz w:val="24"/>
        </w:rPr>
        <w:t>（2）法定代表人授权书；</w:t>
      </w:r>
    </w:p>
    <w:p>
      <w:pPr>
        <w:tabs>
          <w:tab w:val="right" w:leader="dot" w:pos="8610"/>
          <w:tab w:val="right" w:leader="dot" w:pos="8779"/>
        </w:tabs>
        <w:rPr>
          <w:rFonts w:ascii="宋体" w:hAnsi="宋体" w:cs="宋体"/>
          <w:sz w:val="24"/>
        </w:rPr>
      </w:pPr>
      <w:r>
        <w:rPr>
          <w:rFonts w:hint="eastAsia" w:ascii="宋体" w:hAnsi="宋体" w:cs="宋体"/>
          <w:sz w:val="24"/>
        </w:rPr>
        <w:t>（3）响应书；</w:t>
      </w:r>
    </w:p>
    <w:p>
      <w:pPr>
        <w:tabs>
          <w:tab w:val="right" w:leader="dot" w:pos="8610"/>
          <w:tab w:val="right" w:leader="dot" w:pos="8779"/>
        </w:tabs>
        <w:rPr>
          <w:rFonts w:ascii="宋体" w:hAnsi="宋体" w:cs="宋体"/>
          <w:sz w:val="24"/>
        </w:rPr>
      </w:pPr>
      <w:r>
        <w:rPr>
          <w:rFonts w:hint="eastAsia" w:ascii="宋体" w:hAnsi="宋体" w:cs="宋体"/>
          <w:sz w:val="24"/>
        </w:rPr>
        <w:t>（4）资格证明文件；</w:t>
      </w:r>
    </w:p>
    <w:p>
      <w:pPr>
        <w:tabs>
          <w:tab w:val="right" w:leader="dot" w:pos="8610"/>
          <w:tab w:val="right" w:leader="dot" w:pos="8779"/>
        </w:tabs>
        <w:rPr>
          <w:rFonts w:ascii="宋体" w:hAnsi="宋体" w:cs="宋体"/>
          <w:sz w:val="24"/>
        </w:rPr>
      </w:pPr>
      <w:r>
        <w:rPr>
          <w:rFonts w:hint="eastAsia" w:ascii="宋体" w:hAnsi="宋体" w:cs="宋体"/>
          <w:sz w:val="24"/>
        </w:rPr>
        <w:t>（5）法定代表人和磋商代表身份证明；</w:t>
      </w:r>
    </w:p>
    <w:p>
      <w:pPr>
        <w:tabs>
          <w:tab w:val="right" w:leader="dot" w:pos="8610"/>
          <w:tab w:val="right" w:leader="dot" w:pos="8779"/>
        </w:tabs>
        <w:rPr>
          <w:rFonts w:ascii="宋体" w:hAnsi="宋体" w:cs="宋体"/>
          <w:sz w:val="24"/>
        </w:rPr>
      </w:pPr>
      <w:r>
        <w:rPr>
          <w:rFonts w:hint="eastAsia" w:ascii="宋体" w:hAnsi="宋体" w:cs="宋体"/>
          <w:sz w:val="24"/>
        </w:rPr>
        <w:t>（6）响应文件附件；</w:t>
      </w:r>
    </w:p>
    <w:p>
      <w:pPr>
        <w:tabs>
          <w:tab w:val="right" w:leader="dot" w:pos="8610"/>
          <w:tab w:val="right" w:leader="dot" w:pos="8779"/>
        </w:tabs>
        <w:rPr>
          <w:rFonts w:ascii="宋体" w:hAnsi="宋体" w:cs="宋体"/>
          <w:sz w:val="24"/>
        </w:rPr>
      </w:pPr>
      <w:r>
        <w:rPr>
          <w:rFonts w:hint="eastAsia" w:ascii="宋体" w:hAnsi="宋体" w:cs="宋体"/>
          <w:sz w:val="24"/>
        </w:rPr>
        <w:t>（7）竞争性磋商最后报价书。（磋商结束后单独递交纸质文件,同时需自行准备设备进行线上填报最后报价）</w:t>
      </w:r>
    </w:p>
    <w:p>
      <w:pPr>
        <w:jc w:val="both"/>
        <w:rPr>
          <w:rFonts w:ascii="宋体" w:hAnsi="宋体" w:cs="宋体"/>
          <w:sz w:val="24"/>
        </w:rPr>
      </w:pPr>
      <w:r>
        <w:rPr>
          <w:rFonts w:hint="eastAsia" w:ascii="宋体" w:hAnsi="宋体" w:cs="宋体"/>
          <w:sz w:val="24"/>
        </w:rPr>
        <w:t>5.2资格证明文件包括：（须提供原件备查）</w:t>
      </w:r>
    </w:p>
    <w:p>
      <w:pPr>
        <w:jc w:val="both"/>
        <w:rPr>
          <w:rFonts w:ascii="宋体" w:hAnsi="宋体" w:cs="宋体"/>
          <w:sz w:val="24"/>
        </w:rPr>
      </w:pPr>
      <w:r>
        <w:rPr>
          <w:rFonts w:hint="eastAsia" w:ascii="宋体" w:hAnsi="宋体" w:cs="宋体"/>
          <w:sz w:val="24"/>
        </w:rPr>
        <w:t>（1）满足《中华人民共和国政府采购法》第二十二条规定</w:t>
      </w:r>
    </w:p>
    <w:p>
      <w:pPr>
        <w:jc w:val="both"/>
        <w:rPr>
          <w:rFonts w:ascii="宋体" w:hAnsi="宋体" w:cs="宋体"/>
          <w:sz w:val="24"/>
        </w:rPr>
      </w:pPr>
      <w:r>
        <w:rPr>
          <w:rFonts w:hint="eastAsia" w:ascii="宋体" w:hAnsi="宋体" w:cs="宋体"/>
          <w:sz w:val="24"/>
        </w:rPr>
        <w:t>1）具有独立承担民事责任的能力：在中华人民共和国境内的法人或其他组织或自然人，提交有效的营业执照（或事业法人登记证或身份证等相关证明）副本复印件。</w:t>
      </w:r>
    </w:p>
    <w:p>
      <w:pPr>
        <w:jc w:val="both"/>
        <w:rPr>
          <w:rFonts w:ascii="宋体" w:hAnsi="宋体" w:cs="宋体"/>
          <w:sz w:val="24"/>
        </w:rPr>
      </w:pPr>
      <w:r>
        <w:rPr>
          <w:rFonts w:hint="eastAsia" w:ascii="宋体" w:hAnsi="宋体" w:cs="宋体"/>
          <w:sz w:val="24"/>
        </w:rPr>
        <w:t>2）提供响应文件提交截止时间前6个月任意1个月依法缴纳税收和社会保障资金的相关材料（缴费证明或相关内容承诺函）。如依法免税或不需要缴纳社会保障资金的，提供相应证明材料。</w:t>
      </w:r>
    </w:p>
    <w:p>
      <w:pPr>
        <w:jc w:val="both"/>
        <w:rPr>
          <w:rFonts w:ascii="宋体" w:hAnsi="宋体" w:cs="宋体"/>
          <w:sz w:val="24"/>
        </w:rPr>
      </w:pPr>
      <w:r>
        <w:rPr>
          <w:rFonts w:hint="eastAsia" w:ascii="宋体" w:hAnsi="宋体" w:cs="宋体"/>
          <w:sz w:val="24"/>
        </w:rPr>
        <w:t>3）供应商必须具有良好的商业信誉和健全的财务会计制度（提供2019年度或2020年度财务状况报告或基本开户行出具的资信证明或相关内容承诺函）。</w:t>
      </w:r>
    </w:p>
    <w:p>
      <w:pPr>
        <w:jc w:val="both"/>
        <w:rPr>
          <w:rFonts w:ascii="宋体" w:hAnsi="宋体" w:cs="宋体"/>
          <w:sz w:val="24"/>
        </w:rPr>
      </w:pPr>
      <w:r>
        <w:rPr>
          <w:rFonts w:hint="eastAsia" w:ascii="宋体" w:hAnsi="宋体" w:cs="宋体"/>
          <w:sz w:val="24"/>
        </w:rPr>
        <w:t>4）履行合同所必须的设备和专业技术能力：按采购文件服务要求填报设备及专业技术能力情况。</w:t>
      </w:r>
    </w:p>
    <w:p>
      <w:pPr>
        <w:jc w:val="both"/>
        <w:rPr>
          <w:rFonts w:ascii="宋体" w:hAnsi="宋体" w:cs="宋体"/>
          <w:sz w:val="24"/>
        </w:rPr>
      </w:pPr>
      <w:r>
        <w:rPr>
          <w:rFonts w:hint="eastAsia" w:ascii="宋体" w:hAnsi="宋体" w:cs="宋体"/>
          <w:sz w:val="24"/>
        </w:rPr>
        <w:t>5）参加采购活动前三年内，在经营活动中没有重大违法记录。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供应商提供相关承诺函）。</w:t>
      </w:r>
    </w:p>
    <w:p>
      <w:pPr>
        <w:rPr>
          <w:rFonts w:ascii="宋体" w:hAnsi="宋体" w:cs="宋体"/>
          <w:sz w:val="24"/>
        </w:rPr>
      </w:pPr>
      <w:r>
        <w:rPr>
          <w:rFonts w:hint="eastAsia" w:ascii="宋体" w:hAnsi="宋体" w:cs="宋体"/>
          <w:sz w:val="24"/>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供应商提供相关承诺函）。</w:t>
      </w:r>
    </w:p>
    <w:p>
      <w:pPr>
        <w:rPr>
          <w:rFonts w:ascii="宋体" w:hAnsi="宋体" w:cs="宋体"/>
          <w:sz w:val="24"/>
        </w:rPr>
      </w:pPr>
      <w:r>
        <w:rPr>
          <w:rFonts w:hint="eastAsia" w:ascii="宋体" w:hAnsi="宋体" w:cs="宋体"/>
          <w:sz w:val="24"/>
        </w:rPr>
        <w:t>（3）供应商须知1.4.1条款的要求提供供应商资质证明文件（复印件）；</w:t>
      </w:r>
    </w:p>
    <w:p>
      <w:pPr>
        <w:jc w:val="both"/>
        <w:rPr>
          <w:rFonts w:ascii="宋体" w:hAnsi="宋体" w:cs="宋体"/>
          <w:sz w:val="24"/>
        </w:rPr>
      </w:pPr>
      <w:r>
        <w:rPr>
          <w:rFonts w:hint="eastAsia" w:ascii="宋体" w:hAnsi="宋体" w:cs="宋体"/>
          <w:sz w:val="24"/>
        </w:rPr>
        <w:t>（4）法定代表人授权书（原件）</w:t>
      </w:r>
    </w:p>
    <w:p>
      <w:pPr>
        <w:jc w:val="both"/>
        <w:rPr>
          <w:rFonts w:ascii="宋体" w:hAnsi="宋体" w:cs="宋体"/>
          <w:sz w:val="24"/>
        </w:rPr>
      </w:pPr>
      <w:r>
        <w:rPr>
          <w:rFonts w:hint="eastAsia" w:ascii="宋体" w:hAnsi="宋体" w:cs="宋体"/>
          <w:sz w:val="24"/>
        </w:rPr>
        <w:t>（5）法定代表人和磋商代表身份证明（复印件）；</w:t>
      </w:r>
    </w:p>
    <w:p>
      <w:pPr>
        <w:jc w:val="both"/>
        <w:rPr>
          <w:rFonts w:ascii="宋体" w:hAnsi="宋体" w:cs="宋体"/>
          <w:sz w:val="24"/>
        </w:rPr>
      </w:pPr>
      <w:r>
        <w:rPr>
          <w:rFonts w:hint="eastAsia" w:ascii="宋体" w:hAnsi="宋体" w:cs="宋体"/>
          <w:sz w:val="24"/>
        </w:rPr>
        <w:t>（6）银行电汇保证金凭证（复印件）或金融机构、担保机构出具的保函（原件）；</w:t>
      </w:r>
    </w:p>
    <w:p>
      <w:pPr>
        <w:jc w:val="both"/>
        <w:rPr>
          <w:rFonts w:ascii="宋体" w:hAnsi="宋体" w:cs="宋体"/>
          <w:sz w:val="24"/>
        </w:rPr>
      </w:pPr>
      <w:r>
        <w:rPr>
          <w:rFonts w:hint="eastAsia" w:ascii="宋体" w:hAnsi="宋体" w:cs="宋体"/>
          <w:sz w:val="24"/>
        </w:rPr>
        <w:t>（7）项目经理：须具备相关专业二级及以上（含二级）注册建造师资格（证企相符），具备有效的安全生产考核B证，且未担任其他在施建设工程项目（由供应商自行将项目经理无在建承诺放入磋商响应文件中并加盖公章，无项目经理承诺按响应无效处理）（复印件）；</w:t>
      </w:r>
    </w:p>
    <w:p>
      <w:pPr>
        <w:jc w:val="both"/>
        <w:rPr>
          <w:rFonts w:ascii="宋体" w:hAnsi="宋体" w:cs="宋体"/>
          <w:sz w:val="24"/>
        </w:rPr>
      </w:pPr>
      <w:r>
        <w:rPr>
          <w:rFonts w:hint="eastAsia" w:ascii="宋体" w:hAnsi="宋体" w:cs="宋体"/>
          <w:sz w:val="24"/>
        </w:rPr>
        <w:t>（8）技术负责人：</w:t>
      </w:r>
      <w:r>
        <w:rPr>
          <w:rFonts w:hint="eastAsia" w:ascii="宋体" w:hAnsi="宋体" w:cs="宋体"/>
          <w:bCs/>
          <w:kern w:val="0"/>
          <w:sz w:val="24"/>
        </w:rPr>
        <w:t>技术负责人须具备相关专业中级及以上（含中级）技术职称（复印件）</w:t>
      </w:r>
      <w:r>
        <w:rPr>
          <w:rFonts w:hint="eastAsia" w:ascii="宋体" w:hAnsi="宋体" w:cs="宋体"/>
          <w:sz w:val="24"/>
        </w:rPr>
        <w:t>；</w:t>
      </w:r>
    </w:p>
    <w:p>
      <w:pPr>
        <w:jc w:val="both"/>
        <w:rPr>
          <w:rFonts w:ascii="宋体" w:hAnsi="宋体" w:cs="宋体"/>
          <w:sz w:val="24"/>
        </w:rPr>
      </w:pPr>
      <w:r>
        <w:rPr>
          <w:rFonts w:hint="eastAsia" w:ascii="宋体" w:hAnsi="宋体" w:cs="宋体"/>
          <w:sz w:val="24"/>
        </w:rPr>
        <w:t>（9）项目班子配备要求：施工员、质量员具有有效的岗位证书；安全员须具有有效的安全生产考核合格证书（C证）及以上（复印件）；</w:t>
      </w:r>
    </w:p>
    <w:p>
      <w:pPr>
        <w:jc w:val="both"/>
        <w:rPr>
          <w:rFonts w:ascii="宋体" w:hAnsi="宋体" w:cs="宋体"/>
          <w:sz w:val="24"/>
        </w:rPr>
      </w:pPr>
      <w:r>
        <w:rPr>
          <w:rFonts w:hint="eastAsia" w:ascii="宋体" w:hAnsi="宋体" w:cs="宋体"/>
          <w:sz w:val="24"/>
        </w:rPr>
        <w:t>（10）参加本项目采购的潜在供应商自本公告发布之日起（含公告发布当日）前三年内没有重大违法记录，已被列入失信被执行人、重大税收违法案件当事人名单、政府采购严重违法失信行为记录名单，不得参与政府采购活动，由代理机构现场核查信用记录。核查路径：</w:t>
      </w:r>
    </w:p>
    <w:p>
      <w:pPr>
        <w:jc w:val="both"/>
        <w:rPr>
          <w:rFonts w:ascii="宋体" w:hAnsi="宋体" w:cs="宋体"/>
          <w:sz w:val="24"/>
        </w:rPr>
      </w:pPr>
      <w:r>
        <w:rPr>
          <w:rFonts w:hint="eastAsia" w:ascii="宋体" w:hAnsi="宋体" w:cs="宋体"/>
          <w:sz w:val="24"/>
        </w:rPr>
        <w:t>①“信用中国”网站（http://www.creditchina.gov.cn/）</w:t>
      </w:r>
    </w:p>
    <w:p>
      <w:pPr>
        <w:jc w:val="both"/>
        <w:rPr>
          <w:rFonts w:ascii="宋体" w:hAnsi="宋体" w:cs="宋体"/>
          <w:sz w:val="24"/>
        </w:rPr>
      </w:pPr>
      <w:r>
        <w:rPr>
          <w:rFonts w:hint="eastAsia" w:ascii="宋体" w:hAnsi="宋体" w:cs="宋体"/>
          <w:sz w:val="24"/>
        </w:rPr>
        <w:t>②“中国政府采购网”网站（http://www.ccgp.gov.cn/cr/list）</w:t>
      </w:r>
    </w:p>
    <w:p>
      <w:pPr>
        <w:jc w:val="both"/>
        <w:rPr>
          <w:rFonts w:ascii="宋体" w:hAnsi="宋体" w:cs="宋体"/>
          <w:sz w:val="24"/>
        </w:rPr>
      </w:pPr>
      <w:r>
        <w:rPr>
          <w:rFonts w:hint="eastAsia" w:ascii="宋体" w:hAnsi="宋体" w:cs="宋体"/>
          <w:sz w:val="24"/>
        </w:rPr>
        <w:t>5.3法定代表人和磋商代表身份证明</w:t>
      </w:r>
    </w:p>
    <w:p>
      <w:pPr>
        <w:jc w:val="both"/>
        <w:rPr>
          <w:rFonts w:ascii="宋体" w:hAnsi="宋体" w:cs="宋体"/>
          <w:sz w:val="24"/>
        </w:rPr>
      </w:pPr>
      <w:r>
        <w:rPr>
          <w:rFonts w:hint="eastAsia" w:ascii="宋体" w:hAnsi="宋体" w:cs="宋体"/>
          <w:sz w:val="24"/>
        </w:rPr>
        <w:t>（1）</w:t>
      </w:r>
      <w:r>
        <w:rPr>
          <w:rFonts w:hint="eastAsia" w:ascii="宋体" w:hAnsi="宋体" w:cs="宋体"/>
          <w:kern w:val="0"/>
          <w:sz w:val="24"/>
        </w:rPr>
        <w:t>法定代表人的身份证复印件；</w:t>
      </w:r>
    </w:p>
    <w:p>
      <w:pPr>
        <w:jc w:val="both"/>
        <w:rPr>
          <w:rFonts w:ascii="宋体" w:hAnsi="宋体" w:cs="宋体"/>
          <w:sz w:val="24"/>
        </w:rPr>
      </w:pPr>
      <w:r>
        <w:rPr>
          <w:rFonts w:hint="eastAsia" w:ascii="宋体" w:hAnsi="宋体" w:cs="宋体"/>
          <w:sz w:val="24"/>
        </w:rPr>
        <w:t>（2）</w:t>
      </w:r>
      <w:r>
        <w:rPr>
          <w:rFonts w:hint="eastAsia" w:ascii="宋体" w:hAnsi="宋体" w:cs="宋体"/>
          <w:kern w:val="0"/>
          <w:sz w:val="24"/>
        </w:rPr>
        <w:t>磋商代表身份证复印</w:t>
      </w:r>
      <w:r>
        <w:rPr>
          <w:rFonts w:hint="eastAsia" w:ascii="宋体" w:hAnsi="宋体" w:cs="宋体"/>
          <w:sz w:val="24"/>
        </w:rPr>
        <w:t>件。</w:t>
      </w:r>
    </w:p>
    <w:p>
      <w:pPr>
        <w:jc w:val="both"/>
        <w:rPr>
          <w:rFonts w:ascii="宋体" w:hAnsi="宋体" w:cs="宋体"/>
          <w:sz w:val="24"/>
        </w:rPr>
      </w:pPr>
      <w:r>
        <w:rPr>
          <w:rFonts w:hint="eastAsia" w:ascii="宋体" w:hAnsi="宋体" w:cs="宋体"/>
          <w:sz w:val="24"/>
        </w:rPr>
        <w:t>5.4响应文件附件包括：</w:t>
      </w:r>
    </w:p>
    <w:p>
      <w:pPr>
        <w:rPr>
          <w:rFonts w:ascii="宋体" w:hAnsi="宋体" w:cs="宋体"/>
          <w:sz w:val="24"/>
        </w:rPr>
      </w:pPr>
      <w:r>
        <w:rPr>
          <w:rFonts w:hint="eastAsia" w:ascii="宋体" w:hAnsi="宋体" w:cs="宋体"/>
          <w:sz w:val="24"/>
        </w:rPr>
        <w:t>（1）工程量清单初始报价明细；</w:t>
      </w:r>
    </w:p>
    <w:p>
      <w:pPr>
        <w:rPr>
          <w:rFonts w:ascii="宋体" w:hAnsi="宋体" w:cs="宋体"/>
          <w:sz w:val="24"/>
        </w:rPr>
      </w:pPr>
      <w:r>
        <w:rPr>
          <w:rFonts w:hint="eastAsia" w:ascii="宋体" w:hAnsi="宋体" w:cs="宋体"/>
          <w:sz w:val="24"/>
        </w:rPr>
        <w:t>（2）施工用料的品牌、规格和质量等级及设备的品牌、型号；</w:t>
      </w:r>
    </w:p>
    <w:p>
      <w:pPr>
        <w:rPr>
          <w:rFonts w:ascii="宋体" w:hAnsi="宋体" w:cs="宋体"/>
          <w:sz w:val="24"/>
        </w:rPr>
      </w:pPr>
      <w:r>
        <w:rPr>
          <w:rFonts w:hint="eastAsia" w:ascii="宋体" w:hAnsi="宋体" w:cs="宋体"/>
          <w:sz w:val="24"/>
        </w:rPr>
        <w:t>（3）施工过程的管理措施及竣工后的维修承诺；</w:t>
      </w:r>
    </w:p>
    <w:p>
      <w:pPr>
        <w:rPr>
          <w:rFonts w:ascii="宋体" w:hAnsi="宋体" w:cs="宋体"/>
          <w:sz w:val="24"/>
        </w:rPr>
      </w:pPr>
      <w:r>
        <w:rPr>
          <w:rFonts w:hint="eastAsia" w:ascii="宋体" w:hAnsi="宋体" w:cs="宋体"/>
          <w:sz w:val="24"/>
        </w:rPr>
        <w:t>（4）工程的质量标准；</w:t>
      </w:r>
    </w:p>
    <w:p>
      <w:pPr>
        <w:rPr>
          <w:rFonts w:ascii="宋体" w:hAnsi="宋体" w:cs="宋体"/>
          <w:sz w:val="24"/>
        </w:rPr>
      </w:pPr>
      <w:r>
        <w:rPr>
          <w:rFonts w:hint="eastAsia" w:ascii="宋体" w:hAnsi="宋体" w:cs="宋体"/>
          <w:sz w:val="24"/>
        </w:rPr>
        <w:t>（5）施工组织设计；</w:t>
      </w:r>
    </w:p>
    <w:p>
      <w:pPr>
        <w:jc w:val="both"/>
        <w:rPr>
          <w:rFonts w:ascii="宋体" w:hAnsi="宋体" w:cs="宋体"/>
          <w:sz w:val="24"/>
        </w:rPr>
      </w:pPr>
      <w:r>
        <w:rPr>
          <w:rFonts w:hint="eastAsia" w:ascii="宋体" w:hAnsi="宋体" w:cs="宋体"/>
          <w:sz w:val="24"/>
        </w:rPr>
        <w:t>（6）施工组织设计评审因素页码对应表。</w:t>
      </w:r>
    </w:p>
    <w:p>
      <w:pPr>
        <w:pStyle w:val="4"/>
        <w:adjustRightInd w:val="0"/>
        <w:spacing w:before="0" w:after="0"/>
        <w:textAlignment w:val="baseline"/>
        <w:rPr>
          <w:rFonts w:ascii="宋体" w:hAnsi="宋体" w:eastAsia="宋体" w:cs="宋体"/>
          <w:sz w:val="24"/>
        </w:rPr>
      </w:pPr>
      <w:bookmarkStart w:id="428" w:name="_Toc12049283"/>
      <w:bookmarkStart w:id="429" w:name="_Toc23798"/>
      <w:bookmarkStart w:id="430" w:name="_Toc3095"/>
      <w:bookmarkStart w:id="431" w:name="_Toc20301"/>
      <w:bookmarkStart w:id="432" w:name="_Toc29394"/>
      <w:bookmarkStart w:id="433" w:name="_Toc32512"/>
      <w:bookmarkStart w:id="434" w:name="_Toc25129"/>
      <w:bookmarkStart w:id="435" w:name="_Toc18668"/>
      <w:bookmarkStart w:id="436" w:name="_Toc3617"/>
      <w:bookmarkStart w:id="437" w:name="_Toc19946"/>
      <w:bookmarkStart w:id="438" w:name="_Toc14404"/>
      <w:bookmarkStart w:id="439" w:name="_Toc18552"/>
      <w:bookmarkStart w:id="440" w:name="_Toc17050"/>
      <w:bookmarkStart w:id="441" w:name="_Toc19755"/>
      <w:bookmarkStart w:id="442" w:name="_Toc6147"/>
      <w:bookmarkStart w:id="443" w:name="_Toc26679"/>
      <w:bookmarkStart w:id="444" w:name="_Toc7200"/>
      <w:bookmarkStart w:id="445" w:name="_Toc29644"/>
      <w:bookmarkStart w:id="446" w:name="_Toc19458"/>
      <w:bookmarkStart w:id="447" w:name="_Toc22195"/>
      <w:bookmarkStart w:id="448" w:name="_Toc29195"/>
      <w:bookmarkStart w:id="449" w:name="_Toc24925"/>
      <w:bookmarkStart w:id="450" w:name="_Toc17690"/>
      <w:bookmarkStart w:id="451" w:name="_Toc1070"/>
      <w:bookmarkStart w:id="452" w:name="_Toc19878"/>
      <w:bookmarkStart w:id="453" w:name="_Toc12185"/>
      <w:bookmarkStart w:id="454" w:name="_Toc11986"/>
      <w:bookmarkStart w:id="455" w:name="_Toc18276"/>
      <w:bookmarkStart w:id="456" w:name="_Toc7933"/>
      <w:bookmarkStart w:id="457" w:name="_Toc18713"/>
      <w:bookmarkStart w:id="458" w:name="_Toc23322"/>
      <w:bookmarkStart w:id="459" w:name="_Toc4837"/>
      <w:bookmarkStart w:id="460" w:name="_Toc26445"/>
      <w:bookmarkStart w:id="461" w:name="_Toc30524"/>
      <w:bookmarkStart w:id="462" w:name="_Toc14638"/>
      <w:bookmarkStart w:id="463" w:name="_Toc23315"/>
      <w:bookmarkStart w:id="464" w:name="_Toc95"/>
      <w:bookmarkStart w:id="465" w:name="_Toc27482"/>
      <w:bookmarkStart w:id="466" w:name="_Toc14167"/>
      <w:bookmarkStart w:id="467" w:name="_Toc25600"/>
      <w:bookmarkStart w:id="468" w:name="_Toc11940"/>
      <w:bookmarkStart w:id="469" w:name="_Toc27932"/>
      <w:bookmarkStart w:id="470" w:name="_Toc17135"/>
      <w:bookmarkStart w:id="471" w:name="_Toc22789"/>
      <w:bookmarkStart w:id="472" w:name="_Toc16276"/>
      <w:bookmarkStart w:id="473" w:name="_Toc6908"/>
      <w:r>
        <w:rPr>
          <w:rFonts w:hint="eastAsia" w:ascii="宋体" w:hAnsi="宋体" w:eastAsia="宋体" w:cs="宋体"/>
          <w:bCs w:val="0"/>
          <w:kern w:val="0"/>
          <w:sz w:val="24"/>
          <w:szCs w:val="20"/>
        </w:rPr>
        <w:t>6. 响应文件附件的编制及编目</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jc w:val="both"/>
        <w:rPr>
          <w:rFonts w:ascii="宋体" w:hAnsi="宋体" w:cs="宋体"/>
          <w:sz w:val="24"/>
        </w:rPr>
      </w:pPr>
      <w:r>
        <w:rPr>
          <w:rFonts w:hint="eastAsia" w:ascii="宋体" w:hAnsi="宋体" w:cs="宋体"/>
          <w:sz w:val="24"/>
        </w:rPr>
        <w:t>6.1响应文件附件由供应商自行编制。规格幅面应与正文一致，附于正文之后，与正文页码统一编码装订。</w:t>
      </w:r>
    </w:p>
    <w:p>
      <w:pPr>
        <w:pStyle w:val="4"/>
        <w:adjustRightInd w:val="0"/>
        <w:spacing w:before="0" w:after="0"/>
        <w:textAlignment w:val="baseline"/>
        <w:rPr>
          <w:rFonts w:ascii="宋体" w:hAnsi="宋体" w:eastAsia="宋体" w:cs="宋体"/>
          <w:bCs w:val="0"/>
          <w:kern w:val="0"/>
          <w:sz w:val="24"/>
          <w:szCs w:val="20"/>
        </w:rPr>
      </w:pPr>
      <w:bookmarkStart w:id="474" w:name="_Toc1727"/>
      <w:bookmarkStart w:id="475" w:name="_Toc32464"/>
      <w:bookmarkStart w:id="476" w:name="_Toc10165"/>
      <w:bookmarkStart w:id="477" w:name="_Toc11484"/>
      <w:bookmarkStart w:id="478" w:name="_Toc2716"/>
      <w:bookmarkStart w:id="479" w:name="_Toc21103"/>
      <w:bookmarkStart w:id="480" w:name="_Toc25851"/>
      <w:bookmarkStart w:id="481" w:name="_Toc11544"/>
      <w:bookmarkStart w:id="482" w:name="_Toc5664"/>
      <w:bookmarkStart w:id="483" w:name="_Toc2031"/>
      <w:bookmarkStart w:id="484" w:name="_Toc26422"/>
      <w:bookmarkStart w:id="485" w:name="_Toc14893"/>
      <w:bookmarkStart w:id="486" w:name="_Toc15096"/>
      <w:bookmarkStart w:id="487" w:name="_Toc8033"/>
      <w:bookmarkStart w:id="488" w:name="_Toc30832"/>
      <w:bookmarkStart w:id="489" w:name="_Toc5409"/>
      <w:bookmarkStart w:id="490" w:name="_Toc22085"/>
      <w:bookmarkStart w:id="491" w:name="_Toc26311"/>
      <w:bookmarkStart w:id="492" w:name="_Toc26796"/>
      <w:bookmarkStart w:id="493" w:name="_Toc31038"/>
      <w:bookmarkStart w:id="494" w:name="_Toc22922"/>
      <w:bookmarkStart w:id="495" w:name="_Toc12049284"/>
      <w:bookmarkStart w:id="496" w:name="_Toc4158"/>
      <w:bookmarkStart w:id="497" w:name="_Toc4511"/>
      <w:bookmarkStart w:id="498" w:name="_Toc25157"/>
      <w:bookmarkStart w:id="499" w:name="_Toc22114"/>
      <w:bookmarkStart w:id="500" w:name="_Toc1959"/>
      <w:bookmarkStart w:id="501" w:name="_Toc22341"/>
      <w:bookmarkStart w:id="502" w:name="_Toc32733"/>
      <w:bookmarkStart w:id="503" w:name="_Toc9079"/>
      <w:bookmarkStart w:id="504" w:name="_Toc14555"/>
      <w:bookmarkStart w:id="505" w:name="_Toc30608"/>
      <w:bookmarkStart w:id="506" w:name="_Toc21170"/>
      <w:bookmarkStart w:id="507" w:name="_Toc19676"/>
      <w:bookmarkStart w:id="508" w:name="_Toc20029"/>
      <w:bookmarkStart w:id="509" w:name="_Toc475"/>
      <w:bookmarkStart w:id="510" w:name="_Toc10095"/>
      <w:bookmarkStart w:id="511" w:name="_Toc312"/>
      <w:bookmarkStart w:id="512" w:name="_Toc11130"/>
      <w:bookmarkStart w:id="513" w:name="_Toc13968"/>
      <w:bookmarkStart w:id="514" w:name="_Toc22717"/>
      <w:bookmarkStart w:id="515" w:name="_Toc29916"/>
      <w:bookmarkStart w:id="516" w:name="_Toc7347"/>
      <w:bookmarkStart w:id="517" w:name="_Toc12192"/>
      <w:bookmarkStart w:id="518" w:name="_Toc8008"/>
      <w:bookmarkStart w:id="519" w:name="_Toc3134"/>
      <w:r>
        <w:rPr>
          <w:rFonts w:hint="eastAsia" w:ascii="宋体" w:hAnsi="宋体" w:eastAsia="宋体" w:cs="宋体"/>
          <w:bCs w:val="0"/>
          <w:kern w:val="0"/>
          <w:sz w:val="24"/>
          <w:szCs w:val="20"/>
        </w:rPr>
        <w:t>7. 报价</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jc w:val="both"/>
        <w:rPr>
          <w:rFonts w:ascii="宋体" w:hAnsi="宋体" w:cs="宋体"/>
          <w:sz w:val="24"/>
        </w:rPr>
      </w:pPr>
      <w:r>
        <w:rPr>
          <w:rFonts w:hint="eastAsia" w:ascii="宋体" w:hAnsi="宋体" w:cs="宋体"/>
          <w:sz w:val="24"/>
        </w:rPr>
        <w:t>7.1所有价格必须包含技术要求的全部工程内容，报价货币为人民币。</w:t>
      </w:r>
    </w:p>
    <w:p>
      <w:pPr>
        <w:jc w:val="both"/>
        <w:rPr>
          <w:rFonts w:ascii="宋体" w:hAnsi="宋体" w:cs="宋体"/>
          <w:sz w:val="24"/>
        </w:rPr>
      </w:pPr>
      <w:r>
        <w:rPr>
          <w:rFonts w:hint="eastAsia" w:ascii="宋体" w:hAnsi="宋体" w:cs="宋体"/>
          <w:sz w:val="24"/>
        </w:rPr>
        <w:t>7.2报价分两次，即供应商提交响应文件时的初始报价和磋商结束后的最后报价。</w:t>
      </w:r>
    </w:p>
    <w:p>
      <w:pPr>
        <w:tabs>
          <w:tab w:val="left" w:pos="1260"/>
          <w:tab w:val="left" w:pos="1757"/>
        </w:tabs>
        <w:jc w:val="both"/>
        <w:rPr>
          <w:rFonts w:ascii="宋体" w:hAnsi="宋体" w:cs="宋体"/>
          <w:kern w:val="0"/>
          <w:sz w:val="24"/>
        </w:rPr>
      </w:pPr>
      <w:r>
        <w:rPr>
          <w:rFonts w:hint="eastAsia" w:ascii="宋体" w:hAnsi="宋体" w:cs="宋体"/>
          <w:sz w:val="24"/>
        </w:rPr>
        <w:t>（1）响应文件的初始报价在整体报价的同时，还必须提供工程量清单报价；</w:t>
      </w:r>
    </w:p>
    <w:p>
      <w:pPr>
        <w:tabs>
          <w:tab w:val="left" w:pos="1260"/>
          <w:tab w:val="left" w:pos="1757"/>
        </w:tabs>
        <w:jc w:val="both"/>
        <w:rPr>
          <w:rFonts w:ascii="宋体" w:hAnsi="宋体" w:cs="宋体"/>
          <w:kern w:val="0"/>
          <w:sz w:val="24"/>
        </w:rPr>
      </w:pPr>
      <w:r>
        <w:rPr>
          <w:rFonts w:hint="eastAsia" w:ascii="宋体" w:hAnsi="宋体" w:cs="宋体"/>
          <w:sz w:val="24"/>
        </w:rPr>
        <w:t>（2）最后报价在整体报价的同时，还必须提供工程量清单最后报价明细和最后报价调整说明。</w:t>
      </w:r>
    </w:p>
    <w:p>
      <w:pPr>
        <w:tabs>
          <w:tab w:val="left" w:pos="1260"/>
          <w:tab w:val="left" w:pos="1757"/>
        </w:tabs>
        <w:jc w:val="both"/>
        <w:rPr>
          <w:rFonts w:ascii="宋体" w:hAnsi="宋体" w:cs="宋体"/>
          <w:kern w:val="0"/>
          <w:sz w:val="24"/>
        </w:rPr>
      </w:pPr>
      <w:r>
        <w:rPr>
          <w:rFonts w:hint="eastAsia" w:ascii="宋体" w:hAnsi="宋体" w:cs="宋体"/>
          <w:sz w:val="24"/>
        </w:rPr>
        <w:t>（3）供应商应提前做好工程量清单最后报价明细和最后报价调整说明，确保在规定时间提交最后报价。</w:t>
      </w:r>
    </w:p>
    <w:p>
      <w:pPr>
        <w:jc w:val="both"/>
        <w:rPr>
          <w:rFonts w:ascii="宋体" w:hAnsi="宋体" w:cs="宋体"/>
          <w:sz w:val="24"/>
        </w:rPr>
      </w:pPr>
      <w:r>
        <w:rPr>
          <w:rFonts w:hint="eastAsia" w:ascii="宋体" w:hAnsi="宋体" w:cs="宋体"/>
          <w:sz w:val="24"/>
        </w:rPr>
        <w:t>7.3供应商必须以整包方式进行报价，不得拆包。</w:t>
      </w:r>
    </w:p>
    <w:p>
      <w:pPr>
        <w:jc w:val="both"/>
        <w:rPr>
          <w:rFonts w:ascii="宋体" w:hAnsi="宋体" w:cs="宋体"/>
          <w:sz w:val="24"/>
        </w:rPr>
      </w:pPr>
      <w:r>
        <w:rPr>
          <w:rFonts w:hint="eastAsia" w:ascii="宋体" w:hAnsi="宋体" w:cs="宋体"/>
          <w:sz w:val="24"/>
        </w:rPr>
        <w:t>7.4超出政府采购预算的最后报价将被拒绝。</w:t>
      </w:r>
    </w:p>
    <w:p>
      <w:pPr>
        <w:jc w:val="both"/>
        <w:rPr>
          <w:rFonts w:ascii="宋体" w:hAnsi="宋体" w:cs="宋体"/>
          <w:sz w:val="24"/>
        </w:rPr>
      </w:pPr>
      <w:r>
        <w:rPr>
          <w:rFonts w:hint="eastAsia" w:ascii="宋体" w:hAnsi="宋体" w:cs="宋体"/>
          <w:sz w:val="24"/>
        </w:rPr>
        <w:t>7.5最低报价不能作为成交的保证。</w:t>
      </w:r>
    </w:p>
    <w:p>
      <w:pPr>
        <w:jc w:val="both"/>
        <w:rPr>
          <w:rFonts w:ascii="宋体" w:hAnsi="宋体" w:cs="宋体"/>
          <w:sz w:val="24"/>
        </w:rPr>
      </w:pPr>
      <w:r>
        <w:rPr>
          <w:rFonts w:hint="eastAsia" w:ascii="宋体" w:hAnsi="宋体" w:cs="宋体"/>
          <w:sz w:val="24"/>
        </w:rPr>
        <w:t>7.6报价有效期：90天。</w:t>
      </w:r>
    </w:p>
    <w:p>
      <w:pPr>
        <w:pStyle w:val="4"/>
        <w:adjustRightInd w:val="0"/>
        <w:spacing w:before="0" w:after="0"/>
        <w:textAlignment w:val="baseline"/>
        <w:rPr>
          <w:rFonts w:ascii="宋体" w:hAnsi="宋体" w:eastAsia="宋体" w:cs="宋体"/>
          <w:bCs w:val="0"/>
          <w:kern w:val="0"/>
          <w:sz w:val="24"/>
          <w:szCs w:val="20"/>
        </w:rPr>
      </w:pPr>
      <w:bookmarkStart w:id="520" w:name="_Toc12049285"/>
      <w:bookmarkStart w:id="521" w:name="_Toc20837"/>
      <w:bookmarkStart w:id="522" w:name="_Toc28811"/>
      <w:bookmarkStart w:id="523" w:name="_Toc1052"/>
      <w:bookmarkStart w:id="524" w:name="_Toc864"/>
      <w:bookmarkStart w:id="525" w:name="_Toc7033"/>
      <w:bookmarkStart w:id="526" w:name="_Toc25755"/>
      <w:bookmarkStart w:id="527" w:name="_Toc8200"/>
      <w:bookmarkStart w:id="528" w:name="_Toc19777"/>
      <w:bookmarkStart w:id="529" w:name="_Toc12198"/>
      <w:bookmarkStart w:id="530" w:name="_Toc17972"/>
      <w:bookmarkStart w:id="531" w:name="_Toc5953"/>
      <w:bookmarkStart w:id="532" w:name="_Toc10981"/>
      <w:bookmarkStart w:id="533" w:name="_Toc14942"/>
      <w:bookmarkStart w:id="534" w:name="_Toc17"/>
      <w:bookmarkStart w:id="535" w:name="_Toc15619"/>
      <w:bookmarkStart w:id="536" w:name="_Toc32180"/>
      <w:bookmarkStart w:id="537" w:name="_Toc16047"/>
      <w:bookmarkStart w:id="538" w:name="_Toc12338"/>
      <w:bookmarkStart w:id="539" w:name="_Toc22714"/>
      <w:bookmarkStart w:id="540" w:name="_Toc15171"/>
      <w:bookmarkStart w:id="541" w:name="_Toc28708"/>
      <w:bookmarkStart w:id="542" w:name="_Toc24765"/>
      <w:bookmarkStart w:id="543" w:name="_Toc14809"/>
      <w:bookmarkStart w:id="544" w:name="_Toc11873"/>
      <w:bookmarkStart w:id="545" w:name="_Toc20231"/>
      <w:bookmarkStart w:id="546" w:name="_Toc19327"/>
      <w:bookmarkStart w:id="547" w:name="_Toc22131"/>
      <w:bookmarkStart w:id="548" w:name="_Toc7698"/>
      <w:bookmarkStart w:id="549" w:name="_Toc14067"/>
      <w:bookmarkStart w:id="550" w:name="_Toc259"/>
      <w:bookmarkStart w:id="551" w:name="_Toc1802"/>
      <w:bookmarkStart w:id="552" w:name="_Toc15556"/>
      <w:bookmarkStart w:id="553" w:name="_Toc5682"/>
      <w:bookmarkStart w:id="554" w:name="_Toc5080"/>
      <w:bookmarkStart w:id="555" w:name="_Toc3499"/>
      <w:bookmarkStart w:id="556" w:name="_Toc10906"/>
      <w:bookmarkStart w:id="557" w:name="_Toc27803"/>
      <w:bookmarkStart w:id="558" w:name="_Toc20202"/>
      <w:bookmarkStart w:id="559" w:name="_Toc7989"/>
      <w:bookmarkStart w:id="560" w:name="_Toc4065"/>
      <w:bookmarkStart w:id="561" w:name="_Toc12164"/>
      <w:bookmarkStart w:id="562" w:name="_Toc19016"/>
      <w:bookmarkStart w:id="563" w:name="_Toc31072"/>
      <w:bookmarkStart w:id="564" w:name="_Toc13386"/>
      <w:bookmarkStart w:id="565" w:name="_Toc29963"/>
      <w:r>
        <w:rPr>
          <w:rFonts w:hint="eastAsia" w:ascii="宋体" w:hAnsi="宋体" w:eastAsia="宋体" w:cs="宋体"/>
          <w:bCs w:val="0"/>
          <w:kern w:val="0"/>
          <w:sz w:val="24"/>
          <w:szCs w:val="20"/>
        </w:rPr>
        <w:t>8. 保证金</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jc w:val="both"/>
        <w:rPr>
          <w:rFonts w:ascii="宋体" w:hAnsi="宋体" w:cs="宋体"/>
          <w:sz w:val="24"/>
        </w:rPr>
      </w:pPr>
      <w:r>
        <w:rPr>
          <w:rFonts w:hint="eastAsia" w:ascii="宋体" w:hAnsi="宋体" w:cs="宋体"/>
          <w:sz w:val="24"/>
        </w:rPr>
        <w:t>8.1供应商应提交保证金：</w:t>
      </w:r>
      <w:r>
        <w:rPr>
          <w:rFonts w:hint="eastAsia" w:ascii="宋体" w:hAnsi="宋体" w:cs="宋体"/>
          <w:sz w:val="24"/>
          <w:lang w:eastAsia="zh-CN"/>
        </w:rPr>
        <w:t>不收取</w:t>
      </w:r>
      <w:r>
        <w:rPr>
          <w:rFonts w:hint="eastAsia" w:ascii="宋体" w:hAnsi="宋体" w:cs="宋体"/>
          <w:sz w:val="24"/>
        </w:rPr>
        <w:t>。</w:t>
      </w:r>
    </w:p>
    <w:p>
      <w:pPr>
        <w:jc w:val="both"/>
        <w:rPr>
          <w:rFonts w:ascii="宋体" w:hAnsi="宋体" w:cs="宋体"/>
          <w:sz w:val="24"/>
        </w:rPr>
      </w:pPr>
      <w:r>
        <w:rPr>
          <w:rFonts w:hint="eastAsia" w:ascii="宋体" w:hAnsi="宋体" w:cs="宋体"/>
          <w:sz w:val="24"/>
        </w:rPr>
        <w:t>8.2本次竞争性磋商保证金的形式：电汇或者金融机构、担保机构出具的保函等非现金形式提交，竞争性磋商保证金的付款单位与供应商的名称必须一致，否则会因没有实质性响应竞争性磋商文件而导致响应文件被拒绝。（汇款底联备注标注内容为项目编号</w:t>
      </w:r>
      <w:r>
        <w:rPr>
          <w:rFonts w:hint="eastAsia" w:ascii="宋体" w:hAnsi="宋体" w:cs="宋体"/>
          <w:sz w:val="24"/>
          <w:lang w:eastAsia="zh-CN"/>
        </w:rPr>
        <w:t>C-21637-BTZB</w:t>
      </w:r>
      <w:r>
        <w:rPr>
          <w:rFonts w:hint="eastAsia" w:ascii="宋体" w:hAnsi="宋体" w:cs="宋体"/>
          <w:sz w:val="24"/>
        </w:rPr>
        <w:t>，未注明附言或附言错误将导致保证金无法确认，在任何情况下，采购代理机构不负责由此引起的责任）不接受企业或个人以现金形式交纳的磋商保证金（包括直接将现金存到我单位账户的行为），不得以其他单位或以个人名义代交。</w:t>
      </w:r>
    </w:p>
    <w:p>
      <w:pPr>
        <w:jc w:val="both"/>
        <w:rPr>
          <w:rFonts w:ascii="宋体" w:hAnsi="宋体" w:cs="宋体"/>
          <w:sz w:val="24"/>
        </w:rPr>
      </w:pPr>
      <w:r>
        <w:rPr>
          <w:rFonts w:hint="eastAsia" w:ascii="宋体" w:hAnsi="宋体" w:cs="宋体"/>
          <w:sz w:val="24"/>
        </w:rPr>
        <w:t>8.3竞争性磋商保证金递交时间：采用电汇形式的保证金到账截止时间为磋商截止时间</w:t>
      </w:r>
      <w:r>
        <w:rPr>
          <w:rFonts w:hint="eastAsia" w:ascii="宋体" w:hAnsi="宋体" w:cs="宋体"/>
          <w:sz w:val="24"/>
          <w:lang w:eastAsia="zh-CN"/>
        </w:rPr>
        <w:t>2021年10月25日09时30分</w:t>
      </w:r>
      <w:r>
        <w:rPr>
          <w:rFonts w:hint="eastAsia" w:ascii="宋体" w:hAnsi="宋体" w:cs="宋体"/>
          <w:sz w:val="24"/>
        </w:rPr>
        <w:t>前。采用保函形式的保证金应随磋商响应文件一起提交。（采用电汇形式的，建议提前交纳，以到账时间为准，各供应商汇款后，应经常查询本企业开户银行保证金是否存在退汇的情况；未按规定时间递交磋商保证金的供应商，磋商将被拒绝。）</w:t>
      </w:r>
    </w:p>
    <w:p>
      <w:pPr>
        <w:ind w:firstLine="600" w:firstLineChars="250"/>
        <w:jc w:val="both"/>
        <w:rPr>
          <w:rFonts w:ascii="宋体" w:hAnsi="宋体" w:cs="宋体"/>
          <w:sz w:val="24"/>
        </w:rPr>
      </w:pPr>
      <w:r>
        <w:rPr>
          <w:rFonts w:hint="eastAsia" w:ascii="宋体" w:hAnsi="宋体" w:cs="宋体"/>
          <w:sz w:val="24"/>
        </w:rPr>
        <w:t>账户名：黑龙江省北通建筑工程管理咨询有限公司</w:t>
      </w:r>
    </w:p>
    <w:p>
      <w:pPr>
        <w:ind w:firstLine="600" w:firstLineChars="250"/>
        <w:jc w:val="both"/>
        <w:rPr>
          <w:rFonts w:ascii="宋体" w:hAnsi="宋体" w:cs="宋体"/>
          <w:sz w:val="24"/>
        </w:rPr>
      </w:pPr>
      <w:r>
        <w:rPr>
          <w:rFonts w:hint="eastAsia" w:ascii="宋体" w:hAnsi="宋体" w:cs="宋体"/>
          <w:sz w:val="24"/>
        </w:rPr>
        <w:t>账  号：23050186885100001184</w:t>
      </w:r>
    </w:p>
    <w:p>
      <w:pPr>
        <w:ind w:firstLine="600" w:firstLineChars="250"/>
        <w:jc w:val="both"/>
        <w:rPr>
          <w:rFonts w:ascii="宋体" w:hAnsi="宋体" w:cs="宋体"/>
          <w:sz w:val="24"/>
        </w:rPr>
      </w:pPr>
      <w:r>
        <w:rPr>
          <w:rFonts w:hint="eastAsia" w:ascii="宋体" w:hAnsi="宋体" w:cs="宋体"/>
          <w:sz w:val="24"/>
        </w:rPr>
        <w:t>开户行：中国建设银行股份有限公司黑龙江省分行营业部</w:t>
      </w:r>
    </w:p>
    <w:p>
      <w:pPr>
        <w:ind w:firstLine="600" w:firstLineChars="250"/>
        <w:jc w:val="both"/>
        <w:rPr>
          <w:rFonts w:ascii="宋体" w:hAnsi="宋体" w:cs="宋体"/>
          <w:sz w:val="24"/>
        </w:rPr>
      </w:pPr>
      <w:r>
        <w:rPr>
          <w:rFonts w:hint="eastAsia" w:ascii="宋体" w:hAnsi="宋体" w:cs="宋体"/>
          <w:sz w:val="24"/>
        </w:rPr>
        <w:t>财务电话：0451-51085923</w:t>
      </w:r>
    </w:p>
    <w:p>
      <w:pPr>
        <w:jc w:val="both"/>
        <w:rPr>
          <w:rFonts w:ascii="宋体" w:hAnsi="宋体" w:cs="宋体"/>
          <w:sz w:val="24"/>
        </w:rPr>
      </w:pPr>
      <w:r>
        <w:rPr>
          <w:rFonts w:hint="eastAsia" w:ascii="宋体" w:hAnsi="宋体" w:cs="宋体"/>
          <w:sz w:val="24"/>
        </w:rPr>
        <w:t>竞争性磋商保证金到账截止时间：响应文件送达截止时间</w:t>
      </w:r>
    </w:p>
    <w:p>
      <w:pPr>
        <w:jc w:val="both"/>
        <w:rPr>
          <w:rFonts w:ascii="宋体" w:hAnsi="宋体" w:cs="宋体"/>
          <w:sz w:val="24"/>
        </w:rPr>
      </w:pPr>
      <w:r>
        <w:rPr>
          <w:rFonts w:hint="eastAsia" w:ascii="宋体" w:hAnsi="宋体" w:cs="宋体"/>
          <w:sz w:val="24"/>
        </w:rPr>
        <w:t>8.4未按第8.1、8.2、8.3条要求提交保证金的响应文件将被视为无效。</w:t>
      </w:r>
    </w:p>
    <w:p>
      <w:pPr>
        <w:jc w:val="both"/>
        <w:rPr>
          <w:rFonts w:ascii="宋体" w:hAnsi="宋体" w:cs="宋体"/>
          <w:sz w:val="24"/>
        </w:rPr>
      </w:pPr>
      <w:r>
        <w:rPr>
          <w:rFonts w:hint="eastAsia" w:ascii="宋体" w:hAnsi="宋体" w:cs="宋体"/>
          <w:sz w:val="24"/>
        </w:rPr>
        <w:t>8.5成交供应商的保证金在其与采购人签订了采购合同后5个工作日内无息退还。</w:t>
      </w:r>
    </w:p>
    <w:p>
      <w:pPr>
        <w:tabs>
          <w:tab w:val="left" w:pos="6300"/>
        </w:tabs>
        <w:jc w:val="both"/>
        <w:rPr>
          <w:rFonts w:ascii="宋体" w:hAnsi="宋体" w:cs="宋体"/>
          <w:sz w:val="24"/>
        </w:rPr>
      </w:pPr>
      <w:r>
        <w:rPr>
          <w:rFonts w:hint="eastAsia" w:ascii="宋体" w:hAnsi="宋体" w:cs="宋体"/>
          <w:sz w:val="24"/>
        </w:rPr>
        <w:t>8.6有下列情形之一的，供应商的磋商保证金将被依法没收并上缴同级国库：</w:t>
      </w:r>
    </w:p>
    <w:p>
      <w:pPr>
        <w:tabs>
          <w:tab w:val="left" w:pos="6300"/>
        </w:tabs>
        <w:jc w:val="both"/>
        <w:rPr>
          <w:rFonts w:ascii="宋体" w:hAnsi="宋体" w:cs="宋体"/>
          <w:sz w:val="24"/>
        </w:rPr>
      </w:pPr>
      <w:r>
        <w:rPr>
          <w:rFonts w:hint="eastAsia" w:ascii="宋体" w:hAnsi="宋体" w:cs="宋体"/>
          <w:sz w:val="24"/>
        </w:rPr>
        <w:t>（1）在提交响应文件截止时间后撤回响应文件的；已提交响应文件的供应商，在提交最后报价之前，可以根据磋商情况退出磋商。采购人、采购代理机构将退还退出磋商的供应商的磋商保证金。</w:t>
      </w:r>
    </w:p>
    <w:p>
      <w:pPr>
        <w:tabs>
          <w:tab w:val="left" w:pos="6300"/>
        </w:tabs>
        <w:jc w:val="both"/>
        <w:rPr>
          <w:rFonts w:ascii="宋体" w:hAnsi="宋体" w:cs="宋体"/>
          <w:sz w:val="24"/>
        </w:rPr>
      </w:pPr>
      <w:r>
        <w:rPr>
          <w:rFonts w:hint="eastAsia" w:ascii="宋体" w:hAnsi="宋体" w:cs="宋体"/>
          <w:sz w:val="24"/>
        </w:rPr>
        <w:t>（2）在响应文件中提供虚假材料的；</w:t>
      </w:r>
    </w:p>
    <w:p>
      <w:pPr>
        <w:tabs>
          <w:tab w:val="left" w:pos="6300"/>
        </w:tabs>
        <w:jc w:val="both"/>
        <w:rPr>
          <w:rFonts w:ascii="宋体" w:hAnsi="宋体" w:cs="宋体"/>
          <w:sz w:val="24"/>
        </w:rPr>
      </w:pPr>
      <w:r>
        <w:rPr>
          <w:rFonts w:hint="eastAsia" w:ascii="宋体" w:hAnsi="宋体" w:cs="宋体"/>
          <w:sz w:val="24"/>
        </w:rPr>
        <w:t>（3）除因不可抗力或磋商文件认可的情形以外，成交供应商不与采购人签订合同的；</w:t>
      </w:r>
    </w:p>
    <w:p>
      <w:pPr>
        <w:tabs>
          <w:tab w:val="left" w:pos="6300"/>
        </w:tabs>
        <w:jc w:val="both"/>
        <w:rPr>
          <w:rFonts w:ascii="宋体" w:hAnsi="宋体" w:cs="宋体"/>
          <w:sz w:val="24"/>
        </w:rPr>
      </w:pPr>
      <w:r>
        <w:rPr>
          <w:rFonts w:hint="eastAsia" w:ascii="宋体" w:hAnsi="宋体" w:cs="宋体"/>
          <w:sz w:val="24"/>
        </w:rPr>
        <w:t>（4）与采购人、其他供应商或者采购代理机构恶意串通的；</w:t>
      </w:r>
    </w:p>
    <w:p>
      <w:pPr>
        <w:tabs>
          <w:tab w:val="left" w:pos="6300"/>
        </w:tabs>
        <w:jc w:val="both"/>
        <w:rPr>
          <w:rFonts w:ascii="宋体" w:hAnsi="宋体" w:cs="宋体"/>
          <w:sz w:val="24"/>
        </w:rPr>
      </w:pPr>
      <w:r>
        <w:rPr>
          <w:rFonts w:hint="eastAsia" w:ascii="宋体" w:hAnsi="宋体" w:cs="宋体"/>
          <w:sz w:val="24"/>
        </w:rPr>
        <w:t>8.7成交供应商拒绝签订政府采购合同的，采购人可以从评审报告提出的成交候选供应商中，按照排序由高到低的原则确定其他供应商作为成交供应商并签订政府采购合同，也可以重新开展采购活动。拒绝签订政府采购合同的成交供应商不得参加对该项目重新开展的采购活动。</w:t>
      </w:r>
    </w:p>
    <w:p>
      <w:pPr>
        <w:tabs>
          <w:tab w:val="left" w:pos="6300"/>
        </w:tabs>
        <w:jc w:val="both"/>
        <w:rPr>
          <w:rFonts w:ascii="宋体" w:hAnsi="宋体" w:cs="宋体"/>
          <w:sz w:val="24"/>
        </w:rPr>
      </w:pPr>
      <w:r>
        <w:rPr>
          <w:rFonts w:hint="eastAsia" w:ascii="宋体" w:hAnsi="宋体" w:cs="宋体"/>
          <w:sz w:val="24"/>
        </w:rPr>
        <w:t>8.8未成交供应商的保证金将在成交通知书发出后5个工作日内无息退还。</w:t>
      </w:r>
    </w:p>
    <w:p>
      <w:pPr>
        <w:pStyle w:val="4"/>
        <w:adjustRightInd w:val="0"/>
        <w:spacing w:before="0" w:after="0"/>
        <w:textAlignment w:val="baseline"/>
        <w:rPr>
          <w:rFonts w:ascii="宋体" w:hAnsi="宋体" w:eastAsia="宋体" w:cs="宋体"/>
          <w:bCs w:val="0"/>
          <w:kern w:val="0"/>
          <w:sz w:val="24"/>
          <w:szCs w:val="20"/>
        </w:rPr>
      </w:pPr>
      <w:bookmarkStart w:id="566" w:name="_Toc10290"/>
      <w:bookmarkStart w:id="567" w:name="_Toc26658"/>
      <w:bookmarkStart w:id="568" w:name="_Toc29330"/>
      <w:bookmarkStart w:id="569" w:name="_Toc3369"/>
      <w:bookmarkStart w:id="570" w:name="_Toc24338"/>
      <w:bookmarkStart w:id="571" w:name="_Toc1559"/>
      <w:bookmarkStart w:id="572" w:name="_Toc17562"/>
      <w:bookmarkStart w:id="573" w:name="_Toc15346"/>
      <w:bookmarkStart w:id="574" w:name="_Toc10685"/>
      <w:bookmarkStart w:id="575" w:name="_Toc28649"/>
      <w:bookmarkStart w:id="576" w:name="_Toc16820"/>
      <w:bookmarkStart w:id="577" w:name="_Toc25348"/>
      <w:bookmarkStart w:id="578" w:name="_Toc27602"/>
      <w:bookmarkStart w:id="579" w:name="_Toc12049286"/>
      <w:bookmarkStart w:id="580" w:name="_Toc23477"/>
      <w:bookmarkStart w:id="581" w:name="_Toc22610"/>
      <w:bookmarkStart w:id="582" w:name="_Toc9861"/>
      <w:bookmarkStart w:id="583" w:name="_Toc10267"/>
      <w:bookmarkStart w:id="584" w:name="_Toc31728"/>
      <w:bookmarkStart w:id="585" w:name="_Toc31071"/>
      <w:bookmarkStart w:id="586" w:name="_Toc13338"/>
      <w:bookmarkStart w:id="587" w:name="_Toc8684"/>
      <w:bookmarkStart w:id="588" w:name="_Toc1347"/>
      <w:bookmarkStart w:id="589" w:name="_Toc30578"/>
      <w:bookmarkStart w:id="590" w:name="_Toc17975"/>
      <w:bookmarkStart w:id="591" w:name="_Toc3913"/>
      <w:bookmarkStart w:id="592" w:name="_Toc16567"/>
      <w:bookmarkStart w:id="593" w:name="_Toc15400"/>
      <w:bookmarkStart w:id="594" w:name="_Toc7586"/>
      <w:bookmarkStart w:id="595" w:name="_Toc24670"/>
      <w:bookmarkStart w:id="596" w:name="_Toc5456"/>
      <w:bookmarkStart w:id="597" w:name="_Toc32025"/>
      <w:bookmarkStart w:id="598" w:name="_Toc29553"/>
      <w:bookmarkStart w:id="599" w:name="_Toc15086"/>
      <w:bookmarkStart w:id="600" w:name="_Toc25792"/>
      <w:bookmarkStart w:id="601" w:name="_Toc15385"/>
      <w:bookmarkStart w:id="602" w:name="_Toc7594"/>
      <w:bookmarkStart w:id="603" w:name="_Toc9006"/>
      <w:bookmarkStart w:id="604" w:name="_Toc17109"/>
      <w:bookmarkStart w:id="605" w:name="_Toc22760"/>
      <w:bookmarkStart w:id="606" w:name="_Toc20757"/>
      <w:bookmarkStart w:id="607" w:name="_Toc17862"/>
      <w:bookmarkStart w:id="608" w:name="_Toc12322"/>
      <w:bookmarkStart w:id="609" w:name="_Toc27429"/>
      <w:bookmarkStart w:id="610" w:name="_Toc26747"/>
      <w:bookmarkStart w:id="611" w:name="_Toc26114"/>
      <w:r>
        <w:rPr>
          <w:rFonts w:hint="eastAsia" w:ascii="宋体" w:hAnsi="宋体" w:eastAsia="宋体" w:cs="宋体"/>
          <w:bCs w:val="0"/>
          <w:kern w:val="0"/>
          <w:sz w:val="24"/>
          <w:szCs w:val="20"/>
        </w:rPr>
        <w:t>9. 响应文件的签署及规定</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jc w:val="both"/>
        <w:rPr>
          <w:rFonts w:ascii="宋体" w:hAnsi="宋体" w:cs="宋体"/>
          <w:sz w:val="24"/>
        </w:rPr>
      </w:pPr>
      <w:bookmarkStart w:id="612" w:name="_Toc12049287"/>
      <w:r>
        <w:rPr>
          <w:rFonts w:hint="eastAsia" w:ascii="宋体" w:hAnsi="宋体" w:cs="宋体"/>
          <w:sz w:val="24"/>
        </w:rPr>
        <w:t>9.1组成响应文件的各项资料均应遵守本条。</w:t>
      </w:r>
    </w:p>
    <w:p>
      <w:pPr>
        <w:jc w:val="both"/>
        <w:rPr>
          <w:rFonts w:ascii="宋体" w:hAnsi="宋体" w:cs="宋体"/>
          <w:sz w:val="24"/>
        </w:rPr>
      </w:pPr>
      <w:r>
        <w:rPr>
          <w:rFonts w:hint="eastAsia" w:ascii="宋体" w:hAnsi="宋体" w:cs="宋体"/>
          <w:sz w:val="24"/>
        </w:rPr>
        <w:t>9.2供应商应填写全称、同时加盖公章。</w:t>
      </w:r>
    </w:p>
    <w:p>
      <w:pPr>
        <w:jc w:val="both"/>
        <w:rPr>
          <w:rFonts w:ascii="宋体" w:hAnsi="宋体" w:cs="宋体"/>
          <w:sz w:val="24"/>
        </w:rPr>
      </w:pPr>
      <w:r>
        <w:rPr>
          <w:rFonts w:hint="eastAsia" w:ascii="宋体" w:hAnsi="宋体" w:cs="宋体"/>
          <w:sz w:val="24"/>
        </w:rPr>
        <w:t>9.3供应商的响应文件必须由法定代表人或授权代表签字并加盖公章。</w:t>
      </w:r>
    </w:p>
    <w:p>
      <w:pPr>
        <w:jc w:val="both"/>
        <w:rPr>
          <w:rFonts w:ascii="宋体" w:hAnsi="宋体" w:cs="宋体"/>
          <w:sz w:val="24"/>
        </w:rPr>
      </w:pPr>
      <w:r>
        <w:rPr>
          <w:rFonts w:hint="eastAsia" w:ascii="宋体" w:hAnsi="宋体" w:cs="宋体"/>
          <w:sz w:val="24"/>
        </w:rPr>
        <w:t>9.4响应文件一式3份。其中正本1份，副本2份。如果正本与副本不符，以正本为准。</w:t>
      </w:r>
    </w:p>
    <w:p>
      <w:pPr>
        <w:jc w:val="both"/>
        <w:rPr>
          <w:rFonts w:ascii="宋体" w:hAnsi="宋体" w:cs="宋体"/>
          <w:sz w:val="24"/>
        </w:rPr>
      </w:pPr>
      <w:r>
        <w:rPr>
          <w:rFonts w:hint="eastAsia" w:ascii="宋体" w:hAnsi="宋体" w:cs="宋体"/>
          <w:sz w:val="24"/>
        </w:rPr>
        <w:t>9.5响应文件的正本必须用不退色的墨水填写或打印，注明“正本”字样。副本可以用复印件。</w:t>
      </w:r>
    </w:p>
    <w:p>
      <w:pPr>
        <w:jc w:val="both"/>
        <w:rPr>
          <w:rFonts w:ascii="宋体" w:hAnsi="宋体" w:cs="宋体"/>
          <w:sz w:val="24"/>
        </w:rPr>
      </w:pPr>
      <w:r>
        <w:rPr>
          <w:rFonts w:hint="eastAsia" w:ascii="宋体" w:hAnsi="宋体" w:cs="宋体"/>
          <w:sz w:val="24"/>
        </w:rPr>
        <w:t>9.6响应文件不得涂改和增删，如有修改错漏处，必须同一签署人签字并加盖公章。</w:t>
      </w:r>
    </w:p>
    <w:p>
      <w:pPr>
        <w:jc w:val="both"/>
        <w:rPr>
          <w:rFonts w:ascii="宋体" w:hAnsi="宋体" w:cs="宋体"/>
          <w:sz w:val="24"/>
        </w:rPr>
      </w:pPr>
      <w:r>
        <w:rPr>
          <w:rFonts w:hint="eastAsia" w:ascii="宋体" w:hAnsi="宋体" w:cs="宋体"/>
          <w:sz w:val="24"/>
        </w:rPr>
        <w:t>9.7响应文件因字迹潦草或表达不清所引起的后果由供应商负责。</w:t>
      </w:r>
    </w:p>
    <w:p>
      <w:pPr>
        <w:jc w:val="both"/>
        <w:rPr>
          <w:rFonts w:ascii="宋体" w:hAnsi="宋体" w:cs="宋体"/>
          <w:sz w:val="24"/>
        </w:rPr>
      </w:pPr>
      <w:r>
        <w:rPr>
          <w:rFonts w:hint="eastAsia" w:ascii="宋体" w:hAnsi="宋体" w:cs="宋体"/>
          <w:sz w:val="24"/>
        </w:rPr>
        <w:t>9.8采购人对参加磋商的供应商的响应文件概不退回。</w:t>
      </w:r>
    </w:p>
    <w:p>
      <w:pPr>
        <w:jc w:val="both"/>
        <w:rPr>
          <w:rFonts w:ascii="宋体" w:hAnsi="宋体" w:cs="宋体"/>
          <w:sz w:val="24"/>
        </w:rPr>
      </w:pPr>
      <w:r>
        <w:rPr>
          <w:rFonts w:hint="eastAsia" w:ascii="宋体" w:hAnsi="宋体" w:cs="宋体"/>
          <w:sz w:val="24"/>
        </w:rPr>
        <w:t>9.9响应文件中须法定代表人或授权代表签字并加盖公章部分，供应商未按照要求执行，其响应文件将被拒绝。</w:t>
      </w:r>
    </w:p>
    <w:p>
      <w:pPr>
        <w:pStyle w:val="4"/>
        <w:adjustRightInd w:val="0"/>
        <w:spacing w:before="0" w:after="0"/>
        <w:textAlignment w:val="baseline"/>
        <w:rPr>
          <w:rFonts w:ascii="宋体" w:hAnsi="宋体" w:eastAsia="宋体" w:cs="宋体"/>
          <w:bCs w:val="0"/>
          <w:kern w:val="0"/>
          <w:sz w:val="24"/>
          <w:szCs w:val="20"/>
        </w:rPr>
      </w:pPr>
      <w:bookmarkStart w:id="613" w:name="_Toc22678"/>
      <w:bookmarkStart w:id="614" w:name="_Toc25021"/>
      <w:bookmarkStart w:id="615" w:name="_Toc19679"/>
      <w:bookmarkStart w:id="616" w:name="_Toc24442"/>
      <w:bookmarkStart w:id="617" w:name="_Toc5197"/>
      <w:bookmarkStart w:id="618" w:name="_Toc19588"/>
      <w:bookmarkStart w:id="619" w:name="_Toc3705"/>
      <w:bookmarkStart w:id="620" w:name="_Toc27166"/>
      <w:bookmarkStart w:id="621" w:name="_Toc18888"/>
      <w:bookmarkStart w:id="622" w:name="_Toc7526"/>
      <w:bookmarkStart w:id="623" w:name="_Toc30105"/>
      <w:bookmarkStart w:id="624" w:name="_Toc4988"/>
      <w:bookmarkStart w:id="625" w:name="_Toc28829"/>
      <w:bookmarkStart w:id="626" w:name="_Toc13851"/>
      <w:bookmarkStart w:id="627" w:name="_Toc30666"/>
      <w:bookmarkStart w:id="628" w:name="_Toc4589"/>
      <w:bookmarkStart w:id="629" w:name="_Toc24862"/>
      <w:bookmarkStart w:id="630" w:name="_Toc9999"/>
      <w:bookmarkStart w:id="631" w:name="_Toc15287"/>
      <w:bookmarkStart w:id="632" w:name="_Toc12318"/>
      <w:bookmarkStart w:id="633" w:name="_Toc6842"/>
      <w:bookmarkStart w:id="634" w:name="_Toc13381"/>
      <w:bookmarkStart w:id="635" w:name="_Toc22145"/>
      <w:bookmarkStart w:id="636" w:name="_Toc4256"/>
      <w:bookmarkStart w:id="637" w:name="_Toc4243"/>
      <w:bookmarkStart w:id="638" w:name="_Toc31552"/>
      <w:bookmarkStart w:id="639" w:name="_Toc8387"/>
      <w:bookmarkStart w:id="640" w:name="_Toc18653"/>
      <w:bookmarkStart w:id="641" w:name="_Toc914"/>
      <w:bookmarkStart w:id="642" w:name="_Toc16691"/>
      <w:bookmarkStart w:id="643" w:name="_Toc9488"/>
      <w:bookmarkStart w:id="644" w:name="_Toc28103"/>
      <w:bookmarkStart w:id="645" w:name="_Toc4457"/>
      <w:bookmarkStart w:id="646" w:name="_Toc14822"/>
      <w:bookmarkStart w:id="647" w:name="_Toc20919"/>
      <w:bookmarkStart w:id="648" w:name="_Toc29179"/>
      <w:bookmarkStart w:id="649" w:name="_Toc25214"/>
      <w:bookmarkStart w:id="650" w:name="_Toc15432"/>
      <w:bookmarkStart w:id="651" w:name="_Toc27688"/>
      <w:bookmarkStart w:id="652" w:name="_Toc19338"/>
      <w:bookmarkStart w:id="653" w:name="_Toc16846"/>
      <w:bookmarkStart w:id="654" w:name="_Toc10058"/>
      <w:bookmarkStart w:id="655" w:name="_Toc18039"/>
      <w:bookmarkStart w:id="656" w:name="_Toc19812"/>
      <w:bookmarkStart w:id="657" w:name="_Toc4378"/>
      <w:r>
        <w:rPr>
          <w:rFonts w:hint="eastAsia" w:ascii="宋体" w:hAnsi="宋体" w:eastAsia="宋体" w:cs="宋体"/>
          <w:bCs w:val="0"/>
          <w:kern w:val="0"/>
          <w:sz w:val="24"/>
          <w:szCs w:val="20"/>
        </w:rPr>
        <w:t>10.响应文件的澄清与修改</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jc w:val="both"/>
        <w:rPr>
          <w:rFonts w:ascii="宋体" w:hAnsi="宋体" w:cs="宋体"/>
          <w:sz w:val="24"/>
        </w:rPr>
      </w:pPr>
      <w:r>
        <w:rPr>
          <w:rFonts w:hint="eastAsia" w:ascii="宋体" w:hAnsi="宋体" w:cs="宋体"/>
          <w:sz w:val="24"/>
        </w:rPr>
        <w:t>10.1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将在提交首次响应文件截止时间至少5日前，以书面形式通知所有获取磋商文件的供应商；不足5日的，采购人、采购代理机构将顺延提交首次响应文件截止时间。</w:t>
      </w:r>
    </w:p>
    <w:p>
      <w:pPr>
        <w:pStyle w:val="4"/>
        <w:adjustRightInd w:val="0"/>
        <w:spacing w:before="0" w:after="0"/>
        <w:textAlignment w:val="baseline"/>
        <w:rPr>
          <w:rFonts w:ascii="宋体" w:hAnsi="宋体" w:eastAsia="宋体" w:cs="宋体"/>
          <w:bCs w:val="0"/>
          <w:kern w:val="0"/>
          <w:sz w:val="24"/>
          <w:szCs w:val="20"/>
        </w:rPr>
      </w:pPr>
      <w:bookmarkStart w:id="658" w:name="_Toc20951"/>
      <w:bookmarkStart w:id="659" w:name="_Toc27248"/>
      <w:bookmarkStart w:id="660" w:name="_Toc2316"/>
      <w:bookmarkStart w:id="661" w:name="_Toc27035"/>
      <w:bookmarkStart w:id="662" w:name="_Toc1881"/>
      <w:bookmarkStart w:id="663" w:name="_Toc27230"/>
      <w:bookmarkStart w:id="664" w:name="_Toc28085"/>
      <w:bookmarkStart w:id="665" w:name="_Toc23834"/>
      <w:bookmarkStart w:id="666" w:name="_Toc16818"/>
      <w:bookmarkStart w:id="667" w:name="_Toc24771"/>
      <w:bookmarkStart w:id="668" w:name="_Toc6011"/>
      <w:bookmarkStart w:id="669" w:name="_Toc12049288"/>
      <w:bookmarkStart w:id="670" w:name="_Toc4066"/>
      <w:bookmarkStart w:id="671" w:name="_Toc21700"/>
      <w:bookmarkStart w:id="672" w:name="_Toc24130"/>
      <w:bookmarkStart w:id="673" w:name="_Toc24041"/>
      <w:bookmarkStart w:id="674" w:name="_Toc9821"/>
      <w:bookmarkStart w:id="675" w:name="_Toc11970"/>
      <w:bookmarkStart w:id="676" w:name="_Toc7196"/>
      <w:bookmarkStart w:id="677" w:name="_Toc29326"/>
      <w:bookmarkStart w:id="678" w:name="_Toc6910"/>
      <w:bookmarkStart w:id="679" w:name="_Toc13675"/>
      <w:bookmarkStart w:id="680" w:name="_Toc7475"/>
      <w:bookmarkStart w:id="681" w:name="_Toc9512"/>
      <w:bookmarkStart w:id="682" w:name="_Toc31524"/>
      <w:bookmarkStart w:id="683" w:name="_Toc1957"/>
      <w:bookmarkStart w:id="684" w:name="_Toc22279"/>
      <w:bookmarkStart w:id="685" w:name="_Toc24385"/>
      <w:bookmarkStart w:id="686" w:name="_Toc23649"/>
      <w:bookmarkStart w:id="687" w:name="_Toc14945"/>
      <w:bookmarkStart w:id="688" w:name="_Toc7255"/>
      <w:bookmarkStart w:id="689" w:name="_Toc1544"/>
      <w:bookmarkStart w:id="690" w:name="_Toc10533"/>
      <w:bookmarkStart w:id="691" w:name="_Toc1255"/>
      <w:bookmarkStart w:id="692" w:name="_Toc26605"/>
      <w:bookmarkStart w:id="693" w:name="_Toc204"/>
      <w:bookmarkStart w:id="694" w:name="_Toc32056"/>
      <w:bookmarkStart w:id="695" w:name="_Toc26463"/>
      <w:bookmarkStart w:id="696" w:name="_Toc3844"/>
      <w:bookmarkStart w:id="697" w:name="_Toc5760"/>
      <w:bookmarkStart w:id="698" w:name="_Toc9517"/>
      <w:bookmarkStart w:id="699" w:name="_Toc27107"/>
      <w:bookmarkStart w:id="700" w:name="_Toc2999"/>
      <w:bookmarkStart w:id="701" w:name="_Toc25010"/>
      <w:bookmarkStart w:id="702" w:name="_Toc25702"/>
      <w:bookmarkStart w:id="703" w:name="_Toc16587"/>
      <w:r>
        <w:rPr>
          <w:rFonts w:hint="eastAsia" w:ascii="宋体" w:hAnsi="宋体" w:eastAsia="宋体" w:cs="宋体"/>
          <w:bCs w:val="0"/>
          <w:kern w:val="0"/>
          <w:sz w:val="24"/>
          <w:szCs w:val="20"/>
        </w:rPr>
        <w:t>11. 响应文件无效的情形</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numPr>
          <w:ilvl w:val="0"/>
          <w:numId w:val="7"/>
        </w:numPr>
        <w:jc w:val="both"/>
        <w:rPr>
          <w:rFonts w:ascii="宋体" w:hAnsi="宋体" w:cs="宋体"/>
          <w:sz w:val="24"/>
        </w:rPr>
      </w:pPr>
      <w:r>
        <w:rPr>
          <w:rFonts w:hint="eastAsia" w:ascii="宋体" w:hAnsi="宋体" w:cs="宋体"/>
          <w:sz w:val="24"/>
        </w:rPr>
        <w:t>供应商应携带“资格证明文件”中与响应文件书面材料一致的全部原件。资格证明文件出现下列情形之一的，所提供的响应文件无效：</w:t>
      </w:r>
    </w:p>
    <w:p>
      <w:pPr>
        <w:snapToGrid w:val="0"/>
        <w:jc w:val="both"/>
        <w:rPr>
          <w:rFonts w:ascii="宋体" w:hAnsi="宋体" w:cs="宋体"/>
          <w:bCs/>
          <w:sz w:val="24"/>
        </w:rPr>
      </w:pPr>
      <w:r>
        <w:rPr>
          <w:rFonts w:hint="eastAsia" w:ascii="宋体" w:hAnsi="宋体" w:cs="宋体"/>
          <w:bCs/>
          <w:sz w:val="24"/>
        </w:rPr>
        <w:t>（1）现场未提供证件原件的或响应文件中未提供复印件的；</w:t>
      </w:r>
    </w:p>
    <w:p>
      <w:pPr>
        <w:snapToGrid w:val="0"/>
        <w:jc w:val="both"/>
        <w:rPr>
          <w:rFonts w:ascii="宋体" w:hAnsi="宋体" w:cs="宋体"/>
          <w:bCs/>
          <w:sz w:val="24"/>
        </w:rPr>
      </w:pPr>
      <w:r>
        <w:rPr>
          <w:rFonts w:hint="eastAsia" w:ascii="宋体" w:hAnsi="宋体" w:cs="宋体"/>
          <w:bCs/>
          <w:sz w:val="24"/>
        </w:rPr>
        <w:t>（2）资格证明文件原件与响应文件中提供的复印件不一致的；</w:t>
      </w:r>
    </w:p>
    <w:p>
      <w:pPr>
        <w:jc w:val="both"/>
        <w:rPr>
          <w:rFonts w:ascii="宋体" w:hAnsi="宋体" w:cs="宋体"/>
          <w:bCs/>
          <w:sz w:val="24"/>
        </w:rPr>
      </w:pPr>
      <w:r>
        <w:rPr>
          <w:rFonts w:hint="eastAsia" w:ascii="宋体" w:hAnsi="宋体" w:cs="宋体"/>
          <w:bCs/>
          <w:sz w:val="24"/>
        </w:rPr>
        <w:t>（3）营业执照、资质证书、安全生产许可证、磋商保证金汇款人与供应商名称不一致的；</w:t>
      </w:r>
    </w:p>
    <w:p>
      <w:pPr>
        <w:jc w:val="both"/>
        <w:rPr>
          <w:rFonts w:ascii="宋体" w:hAnsi="宋体" w:cs="宋体"/>
          <w:sz w:val="24"/>
        </w:rPr>
      </w:pPr>
      <w:r>
        <w:rPr>
          <w:rFonts w:hint="eastAsia" w:ascii="宋体" w:hAnsi="宋体" w:cs="宋体"/>
          <w:bCs/>
          <w:sz w:val="24"/>
        </w:rPr>
        <w:t>（4）</w:t>
      </w:r>
      <w:r>
        <w:rPr>
          <w:rFonts w:hint="eastAsia" w:ascii="宋体" w:hAnsi="宋体" w:cs="宋体"/>
          <w:sz w:val="24"/>
        </w:rPr>
        <w:t>项目经理、项目班子成员的证书不符合竞争性磋商文件的要求或证企不符的。</w:t>
      </w:r>
    </w:p>
    <w:p>
      <w:pPr>
        <w:numPr>
          <w:ilvl w:val="0"/>
          <w:numId w:val="7"/>
        </w:numPr>
        <w:jc w:val="both"/>
        <w:rPr>
          <w:rFonts w:ascii="宋体" w:hAnsi="宋体" w:cs="宋体"/>
          <w:bCs/>
          <w:sz w:val="24"/>
        </w:rPr>
      </w:pPr>
      <w:r>
        <w:rPr>
          <w:rFonts w:hint="eastAsia" w:ascii="宋体" w:hAnsi="宋体" w:cs="宋体"/>
          <w:bCs/>
          <w:sz w:val="24"/>
        </w:rPr>
        <w:t>未按竞争性磋商文件规定签字、盖章的；</w:t>
      </w:r>
    </w:p>
    <w:p>
      <w:pPr>
        <w:numPr>
          <w:ilvl w:val="0"/>
          <w:numId w:val="7"/>
        </w:numPr>
        <w:jc w:val="both"/>
        <w:rPr>
          <w:rFonts w:ascii="宋体" w:hAnsi="宋体" w:cs="宋体"/>
          <w:bCs/>
          <w:sz w:val="24"/>
        </w:rPr>
      </w:pPr>
      <w:r>
        <w:rPr>
          <w:rFonts w:hint="eastAsia" w:ascii="宋体" w:hAnsi="宋体" w:cs="宋体"/>
          <w:bCs/>
          <w:sz w:val="24"/>
        </w:rPr>
        <w:t>响应文件中提供虚假材料的；</w:t>
      </w:r>
    </w:p>
    <w:p>
      <w:pPr>
        <w:numPr>
          <w:ilvl w:val="0"/>
          <w:numId w:val="7"/>
        </w:numPr>
        <w:jc w:val="both"/>
        <w:rPr>
          <w:rFonts w:ascii="宋体" w:hAnsi="宋体" w:cs="宋体"/>
          <w:bCs/>
          <w:sz w:val="24"/>
        </w:rPr>
      </w:pPr>
      <w:r>
        <w:rPr>
          <w:rFonts w:hint="eastAsia" w:ascii="宋体" w:hAnsi="宋体" w:cs="宋体"/>
          <w:bCs/>
          <w:sz w:val="24"/>
        </w:rPr>
        <w:t>供应商未按照磋商文件要求提交磋商保证金的；</w:t>
      </w:r>
    </w:p>
    <w:p>
      <w:pPr>
        <w:numPr>
          <w:ilvl w:val="0"/>
          <w:numId w:val="7"/>
        </w:numPr>
        <w:jc w:val="both"/>
        <w:rPr>
          <w:rFonts w:ascii="宋体" w:hAnsi="宋体" w:cs="宋体"/>
          <w:bCs/>
          <w:sz w:val="24"/>
        </w:rPr>
      </w:pPr>
      <w:r>
        <w:rPr>
          <w:rFonts w:hint="eastAsia" w:ascii="宋体" w:hAnsi="宋体" w:cs="宋体"/>
          <w:bCs/>
          <w:sz w:val="24"/>
        </w:rPr>
        <w:t>法定代表人授权书无法定代表人签字或盖章的；</w:t>
      </w:r>
    </w:p>
    <w:p>
      <w:pPr>
        <w:numPr>
          <w:ilvl w:val="0"/>
          <w:numId w:val="7"/>
        </w:numPr>
        <w:jc w:val="both"/>
        <w:rPr>
          <w:rFonts w:ascii="宋体" w:hAnsi="宋体" w:cs="宋体"/>
          <w:bCs/>
          <w:sz w:val="24"/>
        </w:rPr>
      </w:pPr>
      <w:r>
        <w:rPr>
          <w:rFonts w:hint="eastAsia" w:ascii="宋体" w:hAnsi="宋体" w:cs="宋体"/>
          <w:bCs/>
          <w:sz w:val="24"/>
        </w:rPr>
        <w:t>有串通或弄虚作假或有其他违法行为的；</w:t>
      </w:r>
    </w:p>
    <w:p>
      <w:pPr>
        <w:numPr>
          <w:ilvl w:val="0"/>
          <w:numId w:val="7"/>
        </w:numPr>
        <w:jc w:val="both"/>
        <w:rPr>
          <w:rFonts w:ascii="宋体" w:hAnsi="宋体" w:cs="宋体"/>
          <w:bCs/>
          <w:sz w:val="24"/>
        </w:rPr>
      </w:pPr>
      <w:r>
        <w:rPr>
          <w:rFonts w:hint="eastAsia" w:ascii="宋体" w:hAnsi="宋体" w:cs="宋体"/>
          <w:bCs/>
          <w:sz w:val="24"/>
        </w:rPr>
        <w:t>资格评审、符合性评审未通过的；</w:t>
      </w:r>
    </w:p>
    <w:p>
      <w:pPr>
        <w:numPr>
          <w:ilvl w:val="0"/>
          <w:numId w:val="7"/>
        </w:numPr>
        <w:jc w:val="both"/>
        <w:rPr>
          <w:rFonts w:ascii="宋体" w:hAnsi="宋体" w:cs="宋体"/>
          <w:bCs/>
          <w:sz w:val="24"/>
        </w:rPr>
      </w:pPr>
      <w:r>
        <w:rPr>
          <w:rFonts w:hint="eastAsia" w:ascii="宋体" w:hAnsi="宋体" w:cs="宋体"/>
          <w:bCs/>
          <w:sz w:val="24"/>
        </w:rPr>
        <w:t>按有关法律、法规、规章规定属于响应无效的。</w:t>
      </w:r>
    </w:p>
    <w:p>
      <w:pPr>
        <w:pStyle w:val="4"/>
        <w:adjustRightInd w:val="0"/>
        <w:spacing w:before="0" w:after="0"/>
        <w:textAlignment w:val="baseline"/>
        <w:rPr>
          <w:rFonts w:ascii="宋体" w:hAnsi="宋体" w:eastAsia="宋体" w:cs="宋体"/>
          <w:bCs w:val="0"/>
          <w:kern w:val="0"/>
          <w:sz w:val="24"/>
          <w:szCs w:val="20"/>
        </w:rPr>
      </w:pPr>
      <w:bookmarkStart w:id="704" w:name="_Toc26990"/>
      <w:bookmarkStart w:id="705" w:name="_Toc10746"/>
      <w:bookmarkStart w:id="706" w:name="_Toc17128"/>
      <w:bookmarkStart w:id="707" w:name="_Toc20204"/>
      <w:bookmarkStart w:id="708" w:name="_Toc30151"/>
      <w:bookmarkStart w:id="709" w:name="_Toc29075"/>
      <w:bookmarkStart w:id="710" w:name="_Toc6497"/>
      <w:bookmarkStart w:id="711" w:name="_Toc12049289"/>
      <w:bookmarkStart w:id="712" w:name="_Toc30966"/>
      <w:bookmarkStart w:id="713" w:name="_Toc23155"/>
      <w:bookmarkStart w:id="714" w:name="_Toc7622"/>
      <w:bookmarkStart w:id="715" w:name="_Toc361"/>
      <w:bookmarkStart w:id="716" w:name="_Toc7921"/>
      <w:bookmarkStart w:id="717" w:name="_Toc4317"/>
      <w:bookmarkStart w:id="718" w:name="_Toc10923"/>
      <w:bookmarkStart w:id="719" w:name="_Toc5900"/>
      <w:bookmarkStart w:id="720" w:name="_Toc32093"/>
      <w:bookmarkStart w:id="721" w:name="_Toc23714"/>
      <w:bookmarkStart w:id="722" w:name="_Toc25153"/>
      <w:bookmarkStart w:id="723" w:name="_Toc19975"/>
      <w:bookmarkStart w:id="724" w:name="_Toc30640"/>
      <w:bookmarkStart w:id="725" w:name="_Toc15523"/>
      <w:bookmarkStart w:id="726" w:name="_Toc10578"/>
      <w:bookmarkStart w:id="727" w:name="_Toc2388"/>
      <w:bookmarkStart w:id="728" w:name="_Toc10802"/>
      <w:bookmarkStart w:id="729" w:name="_Toc6058"/>
      <w:bookmarkStart w:id="730" w:name="_Toc30107"/>
      <w:bookmarkStart w:id="731" w:name="_Toc24095"/>
      <w:bookmarkStart w:id="732" w:name="_Toc2051"/>
      <w:bookmarkStart w:id="733" w:name="_Toc8288"/>
      <w:bookmarkStart w:id="734" w:name="_Toc30447"/>
      <w:bookmarkStart w:id="735" w:name="_Toc25679"/>
      <w:bookmarkStart w:id="736" w:name="_Toc31763"/>
      <w:bookmarkStart w:id="737" w:name="_Toc18319"/>
      <w:bookmarkStart w:id="738" w:name="_Toc26675"/>
      <w:bookmarkStart w:id="739" w:name="_Toc32082"/>
      <w:bookmarkStart w:id="740" w:name="_Toc30724"/>
      <w:bookmarkStart w:id="741" w:name="_Toc25731"/>
      <w:bookmarkStart w:id="742" w:name="_Toc14805"/>
      <w:bookmarkStart w:id="743" w:name="_Toc23096"/>
      <w:bookmarkStart w:id="744" w:name="_Toc16686"/>
      <w:bookmarkStart w:id="745" w:name="_Toc30799"/>
      <w:bookmarkStart w:id="746" w:name="_Toc15512"/>
      <w:bookmarkStart w:id="747" w:name="_Toc30654"/>
      <w:bookmarkStart w:id="748" w:name="_Toc29914"/>
      <w:bookmarkStart w:id="749" w:name="_Toc20570"/>
      <w:r>
        <w:rPr>
          <w:rFonts w:hint="eastAsia" w:ascii="宋体" w:hAnsi="宋体" w:eastAsia="宋体" w:cs="宋体"/>
          <w:bCs w:val="0"/>
          <w:kern w:val="0"/>
          <w:sz w:val="24"/>
          <w:szCs w:val="20"/>
        </w:rPr>
        <w:t>12. 采购项目需要落实的政府采购政策</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jc w:val="both"/>
        <w:rPr>
          <w:rFonts w:ascii="宋体" w:hAnsi="宋体" w:cs="宋体"/>
          <w:bCs/>
          <w:sz w:val="24"/>
        </w:rPr>
      </w:pPr>
      <w:r>
        <w:rPr>
          <w:rFonts w:hint="eastAsia" w:ascii="宋体" w:hAnsi="宋体" w:cs="宋体"/>
          <w:bCs/>
          <w:sz w:val="24"/>
        </w:rPr>
        <w:t>12.1在技术、服务等指标满足采购需求的前提下，属于政府优先采购和强制采购的产品的，应当按照《财政部发展改革委生态环境部 市场监管总局关于调整优化节能产品、环境标志产品政府采购执行机制的通知》（财库〔2019〕9号）和《关于印发节能产品政府采购品目清单的通知》（财库〔2019〕19号）的规定执行。</w:t>
      </w:r>
    </w:p>
    <w:p>
      <w:pPr>
        <w:jc w:val="both"/>
        <w:rPr>
          <w:rFonts w:ascii="宋体" w:hAnsi="宋体" w:cs="宋体"/>
          <w:bCs/>
          <w:sz w:val="24"/>
        </w:rPr>
      </w:pPr>
      <w:r>
        <w:rPr>
          <w:rFonts w:hint="eastAsia" w:ascii="宋体" w:hAnsi="宋体" w:cs="宋体"/>
          <w:bCs/>
          <w:sz w:val="24"/>
        </w:rPr>
        <w:t>12.2在性能、技术、服务等指标同等条件下，优先采购环境标志产品的应当按照《财政部发展改革委 生态环境部 市场监管总局关于调整优化节能产品、环境标志产品政府采购执行机制的通知》（财库〔2019〕9号）和《关于印发环境标志产品政府采购品目清单的通知》（财库〔2019〕18号）的规定执行。</w:t>
      </w:r>
    </w:p>
    <w:p>
      <w:pPr>
        <w:jc w:val="both"/>
        <w:rPr>
          <w:rFonts w:ascii="宋体" w:hAnsi="宋体" w:cs="宋体"/>
          <w:bCs/>
          <w:sz w:val="24"/>
        </w:rPr>
      </w:pPr>
      <w:r>
        <w:rPr>
          <w:rFonts w:hint="eastAsia" w:ascii="宋体" w:hAnsi="宋体" w:cs="宋体"/>
          <w:bCs/>
          <w:sz w:val="24"/>
        </w:rPr>
        <w:t>12.3根据财政部、工业和信息化部关于印发《政府采购促进中小企业发展管理办法》的通知（财库〔2020〕46号）有关规定：</w:t>
      </w:r>
    </w:p>
    <w:p>
      <w:pPr>
        <w:snapToGrid w:val="0"/>
        <w:ind w:firstLine="480" w:firstLineChars="200"/>
        <w:rPr>
          <w:rFonts w:ascii="宋体" w:hAnsi="宋体" w:cs="宋体"/>
          <w:bCs/>
          <w:sz w:val="24"/>
        </w:rPr>
      </w:pPr>
      <w:r>
        <w:rPr>
          <w:rFonts w:hint="eastAsia" w:ascii="宋体" w:hAnsi="宋体" w:cs="宋体"/>
          <w:bCs/>
          <w:sz w:val="24"/>
        </w:rPr>
        <w:t>（1）对于经主管预算单位统筹后未预留份额专门面向中小企业采购的采购项目，以及预留份额项目中的非预留部分采购包:</w:t>
      </w:r>
    </w:p>
    <w:p>
      <w:pPr>
        <w:snapToGrid w:val="0"/>
        <w:ind w:firstLine="480" w:firstLineChars="200"/>
        <w:rPr>
          <w:rFonts w:ascii="宋体" w:hAnsi="宋体" w:cs="宋体"/>
          <w:bCs/>
          <w:sz w:val="24"/>
        </w:rPr>
      </w:pPr>
      <w:r>
        <w:rPr>
          <w:rFonts w:hint="eastAsia" w:ascii="宋体" w:hAnsi="宋体" w:cs="宋体"/>
          <w:bCs/>
          <w:sz w:val="24"/>
        </w:rPr>
        <w:t>a.对符合本办法规定的小微企业报价给予10%（工程项目为 5%）的扣除，用扣除后的价格参与评审。</w:t>
      </w:r>
    </w:p>
    <w:p>
      <w:pPr>
        <w:snapToGrid w:val="0"/>
        <w:ind w:firstLine="480" w:firstLineChars="200"/>
        <w:rPr>
          <w:rFonts w:ascii="宋体" w:hAnsi="宋体" w:cs="宋体"/>
          <w:bCs/>
          <w:sz w:val="24"/>
        </w:rPr>
      </w:pPr>
      <w:r>
        <w:rPr>
          <w:rFonts w:hint="eastAsia" w:ascii="宋体" w:hAnsi="宋体" w:cs="宋体"/>
          <w:bCs/>
          <w:sz w:val="24"/>
        </w:rPr>
        <w:t>b.接受大中型企业与小微企业组成联合体或者允许大中型企业向一家或者多家小微企业分包的采购项目，对于联合协议或者分包意向协议约定小微企业的合同份额占到合同总金额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工程项目为2%）的扣除，用扣除后的价格参加评审。组成联合体或者接受分包的小微企业与联合体内其他企业、分包企业之间存在直接控股、管理关系的，不享受价格扣除优惠政策。价格扣除比例或者价格分加分比例对小型企业和微型企业同等对待，不作区分。</w:t>
      </w:r>
    </w:p>
    <w:p>
      <w:pPr>
        <w:snapToGrid w:val="0"/>
        <w:ind w:firstLine="480" w:firstLineChars="200"/>
        <w:rPr>
          <w:rFonts w:ascii="宋体" w:hAnsi="宋体" w:cs="宋体"/>
          <w:bCs/>
          <w:sz w:val="24"/>
        </w:rPr>
      </w:pPr>
      <w:r>
        <w:rPr>
          <w:rFonts w:hint="eastAsia" w:ascii="宋体" w:hAnsi="宋体" w:cs="宋体"/>
          <w:bCs/>
          <w:sz w:val="24"/>
        </w:rPr>
        <w:t>（2）在货物采购项目中，供应商提供的货物既有中小企业制造货物，也有大型企业制造货物的，不享受本办法规定的中小企业扶持政策。联合体各方均为中小企业的，联合体视同中小企业。其中，联合体各方均为小微企业的，联合体视同小微企业。</w:t>
      </w:r>
    </w:p>
    <w:p>
      <w:pPr>
        <w:snapToGrid w:val="0"/>
        <w:ind w:firstLine="480" w:firstLineChars="200"/>
        <w:rPr>
          <w:rFonts w:ascii="宋体" w:hAnsi="宋体" w:cs="宋体"/>
          <w:bCs/>
          <w:sz w:val="24"/>
        </w:rPr>
      </w:pPr>
      <w:r>
        <w:rPr>
          <w:rFonts w:hint="eastAsia" w:ascii="宋体" w:hAnsi="宋体" w:cs="宋体"/>
          <w:bCs/>
          <w:sz w:val="24"/>
        </w:rPr>
        <w:t>（3）中小企业参加政府采购活动，应当出具本办法规定的《中小企业声明函》（原件），否则不得享受相关中小企业扶持政策。任何单位和个人不得要求供应商提供《中小企业声明函》之外的中小企业身份证明文件。</w:t>
      </w:r>
    </w:p>
    <w:p>
      <w:pPr>
        <w:snapToGrid w:val="0"/>
        <w:ind w:firstLine="480" w:firstLineChars="200"/>
        <w:rPr>
          <w:rFonts w:ascii="宋体" w:hAnsi="宋体" w:cs="宋体"/>
          <w:bCs/>
          <w:sz w:val="24"/>
        </w:rPr>
      </w:pPr>
      <w:r>
        <w:rPr>
          <w:rFonts w:hint="eastAsia" w:ascii="宋体" w:hAnsi="宋体" w:cs="宋体"/>
          <w:bCs/>
          <w:sz w:val="24"/>
        </w:rPr>
        <w:t>（4）供应商按照本办法规定提供声明函内容不实的，属于提供虚假材料谋取中标、成交，依照《中华人民共和国政府采购法》等国家有关规定追究相应责任。</w:t>
      </w:r>
    </w:p>
    <w:p>
      <w:pPr>
        <w:snapToGrid w:val="0"/>
        <w:ind w:firstLine="480" w:firstLineChars="200"/>
        <w:rPr>
          <w:rFonts w:ascii="宋体" w:hAnsi="宋体" w:cs="宋体"/>
          <w:bCs/>
          <w:sz w:val="24"/>
        </w:rPr>
      </w:pPr>
      <w:r>
        <w:rPr>
          <w:rFonts w:hint="eastAsia" w:ascii="宋体" w:hAnsi="宋体" w:cs="宋体"/>
          <w:bCs/>
          <w:sz w:val="24"/>
        </w:rPr>
        <w:t>（5）依据本办法规定享受扶持政策获得政府采购合同的，小微企业不得将合同分包给大中型企业，中型企业不得将合同分包给大型企业。</w:t>
      </w:r>
    </w:p>
    <w:p>
      <w:pPr>
        <w:snapToGrid w:val="0"/>
        <w:ind w:firstLine="480" w:firstLineChars="200"/>
        <w:rPr>
          <w:rFonts w:ascii="宋体" w:hAnsi="宋体" w:cs="宋体"/>
          <w:bCs/>
          <w:sz w:val="24"/>
        </w:rPr>
      </w:pPr>
      <w:r>
        <w:rPr>
          <w:rFonts w:hint="eastAsia" w:ascii="宋体" w:hAnsi="宋体" w:cs="宋体"/>
          <w:bCs/>
          <w:sz w:val="24"/>
        </w:rPr>
        <w:t>（6）本项目采购标的对应的中小企业划分标准所属行业为</w:t>
      </w:r>
      <w:r>
        <w:rPr>
          <w:rFonts w:hint="eastAsia" w:ascii="宋体" w:hAnsi="宋体" w:cs="宋体"/>
          <w:bCs/>
          <w:sz w:val="24"/>
          <w:u w:val="single"/>
        </w:rPr>
        <w:t xml:space="preserve"> </w:t>
      </w:r>
      <w:r>
        <w:rPr>
          <w:rFonts w:hint="eastAsia" w:ascii="宋体" w:hAnsi="宋体" w:cs="宋体"/>
          <w:b/>
          <w:sz w:val="24"/>
          <w:u w:val="single"/>
        </w:rPr>
        <w:t>建筑业</w:t>
      </w:r>
      <w:r>
        <w:rPr>
          <w:rFonts w:hint="eastAsia" w:ascii="宋体" w:hAnsi="宋体" w:cs="宋体"/>
          <w:bCs/>
          <w:sz w:val="24"/>
          <w:u w:val="single"/>
        </w:rPr>
        <w:t xml:space="preserve"> </w:t>
      </w:r>
      <w:r>
        <w:rPr>
          <w:rFonts w:hint="eastAsia" w:ascii="宋体" w:hAnsi="宋体" w:cs="宋体"/>
          <w:bCs/>
          <w:sz w:val="24"/>
        </w:rPr>
        <w:t>。</w:t>
      </w:r>
    </w:p>
    <w:p>
      <w:pPr>
        <w:tabs>
          <w:tab w:val="left" w:pos="624"/>
        </w:tabs>
        <w:jc w:val="both"/>
        <w:rPr>
          <w:rFonts w:ascii="宋体" w:hAnsi="宋体" w:cs="宋体"/>
          <w:bCs/>
          <w:sz w:val="24"/>
        </w:rPr>
      </w:pPr>
      <w:r>
        <w:rPr>
          <w:rFonts w:hint="eastAsia" w:ascii="宋体" w:hAnsi="宋体" w:cs="宋体"/>
          <w:bCs/>
          <w:sz w:val="24"/>
        </w:rPr>
        <w:t>12.4根据《关于政府采购支持监狱企业发展有关问题的通知》（财库[2014]68号）文件有关规定，监狱企业视同小型、微型企业。监狱企业参加政府采购活动时，应当提供由省级以上监狱管理局、戒毒管理局(含新疆生产建设兵团)出具的属于监狱企业的证明文件。</w:t>
      </w:r>
    </w:p>
    <w:p>
      <w:pPr>
        <w:tabs>
          <w:tab w:val="left" w:pos="624"/>
        </w:tabs>
        <w:jc w:val="both"/>
        <w:rPr>
          <w:rFonts w:ascii="宋体" w:hAnsi="宋体" w:cs="宋体"/>
          <w:bCs/>
          <w:sz w:val="24"/>
        </w:rPr>
      </w:pPr>
      <w:r>
        <w:rPr>
          <w:rFonts w:hint="eastAsia" w:ascii="宋体" w:hAnsi="宋体" w:cs="宋体"/>
          <w:bCs/>
          <w:sz w:val="24"/>
        </w:rPr>
        <w:t>12.5根据黑政发[2015]16号文件规定，大学生创办微小企业直接参与政府报价的，在评审时给予价格10%的扣除；用扣除后的价格参与评审。符合上述条件的，供应商须在响应文件中注明，并提供证明材料，否则视为不符合优惠政策。</w:t>
      </w:r>
    </w:p>
    <w:p>
      <w:pPr>
        <w:tabs>
          <w:tab w:val="left" w:pos="624"/>
        </w:tabs>
        <w:jc w:val="both"/>
        <w:rPr>
          <w:rFonts w:ascii="宋体" w:hAnsi="宋体" w:cs="宋体"/>
          <w:bCs/>
          <w:sz w:val="24"/>
        </w:rPr>
      </w:pPr>
      <w:r>
        <w:rPr>
          <w:rFonts w:hint="eastAsia" w:ascii="宋体" w:hAnsi="宋体" w:cs="宋体"/>
          <w:bCs/>
          <w:sz w:val="24"/>
        </w:rPr>
        <w:t>供应商为大学生创办的小微企业的，开标时应提供其法定代表人身份及企业性质网上查询结果截图等证明材料，材料内容须满足下列条件：</w:t>
      </w:r>
    </w:p>
    <w:p>
      <w:pPr>
        <w:tabs>
          <w:tab w:val="left" w:pos="624"/>
        </w:tabs>
        <w:jc w:val="both"/>
        <w:rPr>
          <w:rFonts w:ascii="宋体" w:hAnsi="宋体" w:cs="宋体"/>
          <w:bCs/>
          <w:sz w:val="24"/>
        </w:rPr>
      </w:pPr>
      <w:r>
        <w:rPr>
          <w:rFonts w:hint="eastAsia" w:ascii="宋体" w:hAnsi="宋体" w:cs="宋体"/>
          <w:bCs/>
          <w:sz w:val="24"/>
        </w:rPr>
        <w:t>（1）如法定代表人为在校大学生的，所提供学生证复印件与《企业法人营业执照》上的法定代表人名称应一致。</w:t>
      </w:r>
    </w:p>
    <w:p>
      <w:pPr>
        <w:tabs>
          <w:tab w:val="left" w:pos="624"/>
        </w:tabs>
        <w:jc w:val="both"/>
        <w:rPr>
          <w:rFonts w:ascii="宋体" w:hAnsi="宋体" w:cs="宋体"/>
          <w:bCs/>
          <w:sz w:val="24"/>
        </w:rPr>
      </w:pPr>
      <w:r>
        <w:rPr>
          <w:rFonts w:hint="eastAsia" w:ascii="宋体" w:hAnsi="宋体" w:cs="宋体"/>
          <w:bCs/>
          <w:sz w:val="24"/>
        </w:rPr>
        <w:t>（2）如法定代表人为大学毕业生的，所提供毕业证复印件与《企业法人营业执照》上的法定代表人名称应一致。</w:t>
      </w:r>
    </w:p>
    <w:p>
      <w:pPr>
        <w:tabs>
          <w:tab w:val="left" w:pos="624"/>
        </w:tabs>
        <w:jc w:val="both"/>
        <w:rPr>
          <w:rFonts w:ascii="宋体" w:hAnsi="宋体" w:cs="宋体"/>
          <w:bCs/>
          <w:sz w:val="24"/>
        </w:rPr>
      </w:pPr>
      <w:r>
        <w:rPr>
          <w:rFonts w:hint="eastAsia" w:ascii="宋体" w:hAnsi="宋体" w:cs="宋体"/>
          <w:bCs/>
          <w:sz w:val="24"/>
        </w:rPr>
        <w:t>（3）如法定代表人为留学回国人员的，所提供国外学历学位认证书复印件与《企业法人营业执照》上的法定代表人名称应一致。</w:t>
      </w:r>
    </w:p>
    <w:p>
      <w:pPr>
        <w:tabs>
          <w:tab w:val="left" w:pos="624"/>
        </w:tabs>
        <w:jc w:val="both"/>
        <w:rPr>
          <w:rFonts w:ascii="宋体" w:hAnsi="宋体" w:cs="宋体"/>
          <w:bCs/>
          <w:sz w:val="24"/>
        </w:rPr>
      </w:pPr>
      <w:r>
        <w:rPr>
          <w:rFonts w:hint="eastAsia" w:ascii="宋体" w:hAnsi="宋体" w:cs="宋体"/>
          <w:bCs/>
          <w:sz w:val="24"/>
        </w:rPr>
        <w:t>企业法定代表人必须为在校大学生、毕业五年内大学生（含留学回国），同时大学生必须为控股股东。</w:t>
      </w:r>
    </w:p>
    <w:p>
      <w:pPr>
        <w:tabs>
          <w:tab w:val="left" w:pos="624"/>
        </w:tabs>
        <w:jc w:val="both"/>
        <w:rPr>
          <w:rFonts w:ascii="宋体" w:hAnsi="宋体" w:cs="宋体"/>
          <w:bCs/>
          <w:sz w:val="24"/>
        </w:rPr>
      </w:pPr>
      <w:r>
        <w:rPr>
          <w:rFonts w:hint="eastAsia" w:ascii="宋体" w:hAnsi="宋体" w:cs="宋体"/>
          <w:bCs/>
          <w:sz w:val="24"/>
        </w:rPr>
        <w:t xml:space="preserve">12.6根据《关于促进残疾人就业政府采购政策的通知》（财库〔2017〕141号）规定，残疾人福利性单位视同小型、微型企业。 </w:t>
      </w:r>
    </w:p>
    <w:p>
      <w:pPr>
        <w:tabs>
          <w:tab w:val="left" w:pos="624"/>
        </w:tabs>
        <w:jc w:val="both"/>
        <w:rPr>
          <w:rFonts w:ascii="宋体" w:hAnsi="宋体" w:cs="宋体"/>
          <w:bCs/>
          <w:sz w:val="24"/>
        </w:rPr>
      </w:pPr>
      <w:r>
        <w:rPr>
          <w:rFonts w:hint="eastAsia" w:ascii="宋体" w:hAnsi="宋体" w:cs="宋体"/>
          <w:bCs/>
          <w:sz w:val="24"/>
        </w:rPr>
        <w:t>12.7符合上述条件的，供应商须在响应文件中声明，否则，其最终价格不给予扣除。</w:t>
      </w:r>
    </w:p>
    <w:p>
      <w:pPr>
        <w:pStyle w:val="2"/>
        <w:numPr>
          <w:ilvl w:val="1"/>
          <w:numId w:val="0"/>
        </w:numPr>
        <w:spacing w:before="0"/>
        <w:rPr>
          <w:rFonts w:ascii="宋体" w:hAnsi="宋体" w:eastAsia="宋体" w:cs="宋体"/>
        </w:rPr>
      </w:pPr>
      <w:bookmarkStart w:id="750" w:name="_Toc22465"/>
      <w:bookmarkStart w:id="751" w:name="_Toc606"/>
      <w:bookmarkStart w:id="752" w:name="_Toc15301"/>
      <w:bookmarkStart w:id="753" w:name="_Toc13965"/>
      <w:bookmarkStart w:id="754" w:name="_Toc32502"/>
      <w:bookmarkStart w:id="755" w:name="_Toc6315"/>
      <w:bookmarkStart w:id="756" w:name="_Toc17120"/>
      <w:bookmarkStart w:id="757" w:name="_Toc18232"/>
      <w:bookmarkStart w:id="758" w:name="_Toc25342"/>
      <w:bookmarkStart w:id="759" w:name="_Toc2007"/>
      <w:bookmarkStart w:id="760" w:name="_Toc26804"/>
      <w:bookmarkStart w:id="761" w:name="_Toc29924"/>
      <w:bookmarkStart w:id="762" w:name="_Toc5032"/>
      <w:bookmarkStart w:id="763" w:name="_Toc26702"/>
      <w:bookmarkStart w:id="764" w:name="_Toc29902"/>
      <w:bookmarkStart w:id="765" w:name="_Toc23160"/>
      <w:bookmarkStart w:id="766" w:name="_Toc18669"/>
      <w:bookmarkStart w:id="767" w:name="_Toc20610"/>
      <w:bookmarkStart w:id="768" w:name="_Toc4639"/>
      <w:bookmarkStart w:id="769" w:name="_Toc21669"/>
      <w:bookmarkStart w:id="770" w:name="_Toc22383"/>
      <w:bookmarkStart w:id="771" w:name="_Toc12105"/>
      <w:bookmarkStart w:id="772" w:name="_Toc12049290"/>
      <w:bookmarkStart w:id="773" w:name="_Toc16544"/>
      <w:bookmarkStart w:id="774" w:name="_Toc11183"/>
      <w:bookmarkStart w:id="775" w:name="_Toc23288"/>
      <w:bookmarkStart w:id="776" w:name="_Toc28345"/>
      <w:bookmarkStart w:id="777" w:name="_Toc27779"/>
      <w:bookmarkStart w:id="778" w:name="_Toc32170"/>
      <w:bookmarkStart w:id="779" w:name="_Toc13262"/>
      <w:bookmarkStart w:id="780" w:name="_Toc32148"/>
      <w:bookmarkStart w:id="781" w:name="_Toc13450"/>
      <w:bookmarkStart w:id="782" w:name="_Toc11828"/>
      <w:bookmarkStart w:id="783" w:name="_Toc26092"/>
      <w:bookmarkStart w:id="784" w:name="_Toc13486"/>
      <w:bookmarkStart w:id="785" w:name="_Toc7759"/>
      <w:bookmarkStart w:id="786" w:name="_Toc24074"/>
      <w:bookmarkStart w:id="787" w:name="_Toc4157"/>
      <w:bookmarkStart w:id="788" w:name="_Toc26637"/>
      <w:bookmarkStart w:id="789" w:name="_Toc5149"/>
      <w:bookmarkStart w:id="790" w:name="_Toc26853"/>
      <w:bookmarkStart w:id="791" w:name="_Toc2881"/>
      <w:bookmarkStart w:id="792" w:name="_Toc28064"/>
      <w:bookmarkStart w:id="793" w:name="_Toc2247"/>
      <w:bookmarkStart w:id="794" w:name="_Toc31912"/>
      <w:bookmarkStart w:id="795" w:name="_Toc19607"/>
      <w:r>
        <w:rPr>
          <w:rFonts w:hint="eastAsia" w:ascii="宋体" w:hAnsi="宋体" w:eastAsia="宋体" w:cs="宋体"/>
        </w:rPr>
        <w:t>C  磋商及确定成交办法</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4"/>
        <w:adjustRightInd w:val="0"/>
        <w:spacing w:before="0" w:after="0"/>
        <w:textAlignment w:val="baseline"/>
        <w:rPr>
          <w:rFonts w:ascii="宋体" w:hAnsi="宋体" w:eastAsia="宋体" w:cs="宋体"/>
          <w:bCs w:val="0"/>
          <w:kern w:val="0"/>
          <w:sz w:val="24"/>
          <w:szCs w:val="20"/>
        </w:rPr>
      </w:pPr>
      <w:bookmarkStart w:id="796" w:name="_Toc15455"/>
      <w:bookmarkStart w:id="797" w:name="_Toc11861"/>
      <w:bookmarkStart w:id="798" w:name="_Toc3923"/>
      <w:bookmarkStart w:id="799" w:name="_Toc23312"/>
      <w:bookmarkStart w:id="800" w:name="_Toc4165"/>
      <w:bookmarkStart w:id="801" w:name="_Toc12439"/>
      <w:bookmarkStart w:id="802" w:name="_Toc6419"/>
      <w:bookmarkStart w:id="803" w:name="_Toc29648"/>
      <w:bookmarkStart w:id="804" w:name="_Toc12454"/>
      <w:bookmarkStart w:id="805" w:name="_Toc16015"/>
      <w:bookmarkStart w:id="806" w:name="_Toc7426"/>
      <w:bookmarkStart w:id="807" w:name="_Toc19930"/>
      <w:bookmarkStart w:id="808" w:name="_Toc2381"/>
      <w:bookmarkStart w:id="809" w:name="_Toc8199"/>
      <w:bookmarkStart w:id="810" w:name="_Toc26506"/>
      <w:bookmarkStart w:id="811" w:name="_Toc12049291"/>
      <w:bookmarkStart w:id="812" w:name="_Toc19955"/>
      <w:bookmarkStart w:id="813" w:name="_Toc29795"/>
      <w:bookmarkStart w:id="814" w:name="_Toc15664"/>
      <w:bookmarkStart w:id="815" w:name="_Toc31399"/>
      <w:bookmarkStart w:id="816" w:name="_Toc25628"/>
      <w:bookmarkStart w:id="817" w:name="_Toc14399"/>
      <w:bookmarkStart w:id="818" w:name="_Toc7414"/>
      <w:bookmarkStart w:id="819" w:name="_Toc29711"/>
      <w:bookmarkStart w:id="820" w:name="_Toc28832"/>
      <w:bookmarkStart w:id="821" w:name="_Toc21131"/>
      <w:bookmarkStart w:id="822" w:name="_Toc22726"/>
      <w:bookmarkStart w:id="823" w:name="_Toc15631"/>
      <w:bookmarkStart w:id="824" w:name="_Toc11182"/>
      <w:bookmarkStart w:id="825" w:name="_Toc901"/>
      <w:bookmarkStart w:id="826" w:name="_Toc1183"/>
      <w:bookmarkStart w:id="827" w:name="_Toc14081"/>
      <w:bookmarkStart w:id="828" w:name="_Toc25036"/>
      <w:bookmarkStart w:id="829" w:name="_Toc31418"/>
      <w:bookmarkStart w:id="830" w:name="_Toc22809"/>
      <w:bookmarkStart w:id="831" w:name="_Toc2740"/>
      <w:bookmarkStart w:id="832" w:name="_Toc18346"/>
      <w:bookmarkStart w:id="833" w:name="_Toc10501"/>
      <w:bookmarkStart w:id="834" w:name="_Toc14523"/>
      <w:bookmarkStart w:id="835" w:name="_Toc23908"/>
      <w:bookmarkStart w:id="836" w:name="_Toc30075"/>
      <w:bookmarkStart w:id="837" w:name="_Toc14874"/>
      <w:bookmarkStart w:id="838" w:name="_Toc24733"/>
      <w:bookmarkStart w:id="839" w:name="_Toc8816"/>
      <w:bookmarkStart w:id="840" w:name="_Toc11811"/>
      <w:bookmarkStart w:id="841" w:name="_Toc11077"/>
      <w:r>
        <w:rPr>
          <w:rFonts w:hint="eastAsia" w:ascii="宋体" w:hAnsi="宋体" w:eastAsia="宋体" w:cs="宋体"/>
          <w:bCs w:val="0"/>
          <w:kern w:val="0"/>
          <w:sz w:val="24"/>
          <w:szCs w:val="20"/>
        </w:rPr>
        <w:t>13. 磋商</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ind w:left="480" w:hanging="480" w:hangingChars="200"/>
        <w:jc w:val="both"/>
        <w:rPr>
          <w:rFonts w:ascii="宋体" w:hAnsi="宋体" w:cs="宋体"/>
          <w:sz w:val="24"/>
        </w:rPr>
      </w:pPr>
      <w:r>
        <w:rPr>
          <w:rFonts w:hint="eastAsia" w:ascii="宋体" w:hAnsi="宋体" w:cs="宋体"/>
          <w:sz w:val="24"/>
        </w:rPr>
        <w:t>13.1磋商工作由采购代理机构负责组织，具体评审事务由依法组建的竞争性磋商小组负责。</w:t>
      </w:r>
    </w:p>
    <w:p>
      <w:pPr>
        <w:ind w:left="480" w:hanging="480" w:hangingChars="200"/>
        <w:jc w:val="both"/>
        <w:rPr>
          <w:rFonts w:ascii="宋体" w:hAnsi="宋体" w:cs="宋体"/>
          <w:sz w:val="24"/>
        </w:rPr>
      </w:pPr>
      <w:r>
        <w:rPr>
          <w:rFonts w:hint="eastAsia" w:ascii="宋体" w:hAnsi="宋体" w:cs="宋体"/>
          <w:sz w:val="24"/>
        </w:rPr>
        <w:t>13.2 参加磋商的供应商须按竞争性磋商文件规定的时间和地点提交响应文件。</w:t>
      </w:r>
    </w:p>
    <w:p>
      <w:pPr>
        <w:pStyle w:val="4"/>
        <w:adjustRightInd w:val="0"/>
        <w:spacing w:before="0" w:after="0"/>
        <w:textAlignment w:val="baseline"/>
        <w:rPr>
          <w:rFonts w:ascii="宋体" w:hAnsi="宋体" w:eastAsia="宋体" w:cs="宋体"/>
          <w:bCs w:val="0"/>
          <w:kern w:val="0"/>
          <w:sz w:val="24"/>
          <w:szCs w:val="20"/>
        </w:rPr>
      </w:pPr>
      <w:bookmarkStart w:id="842" w:name="_Toc3795"/>
      <w:bookmarkStart w:id="843" w:name="_Toc27038"/>
      <w:bookmarkStart w:id="844" w:name="_Toc5611"/>
      <w:bookmarkStart w:id="845" w:name="_Toc27931"/>
      <w:bookmarkStart w:id="846" w:name="_Toc2934"/>
      <w:bookmarkStart w:id="847" w:name="_Toc2857"/>
      <w:bookmarkStart w:id="848" w:name="_Toc12049292"/>
      <w:bookmarkStart w:id="849" w:name="_Toc16677"/>
      <w:bookmarkStart w:id="850" w:name="_Toc31239"/>
      <w:bookmarkStart w:id="851" w:name="_Toc20716"/>
      <w:bookmarkStart w:id="852" w:name="_Toc11094"/>
      <w:bookmarkStart w:id="853" w:name="_Toc28870"/>
      <w:bookmarkStart w:id="854" w:name="_Toc22390"/>
      <w:bookmarkStart w:id="855" w:name="_Toc4183"/>
      <w:bookmarkStart w:id="856" w:name="_Toc17537"/>
      <w:bookmarkStart w:id="857" w:name="_Toc31561"/>
      <w:bookmarkStart w:id="858" w:name="_Toc12398"/>
      <w:bookmarkStart w:id="859" w:name="_Toc1716"/>
      <w:bookmarkStart w:id="860" w:name="_Toc28119"/>
      <w:bookmarkStart w:id="861" w:name="_Toc11530"/>
      <w:bookmarkStart w:id="862" w:name="_Toc10711"/>
      <w:bookmarkStart w:id="863" w:name="_Toc7422"/>
      <w:bookmarkStart w:id="864" w:name="_Toc19505"/>
      <w:bookmarkStart w:id="865" w:name="_Toc26412"/>
      <w:bookmarkStart w:id="866" w:name="_Toc24542"/>
      <w:bookmarkStart w:id="867" w:name="_Toc20088"/>
      <w:bookmarkStart w:id="868" w:name="_Toc11198"/>
      <w:bookmarkStart w:id="869" w:name="_Toc5013"/>
      <w:bookmarkStart w:id="870" w:name="_Toc169"/>
      <w:bookmarkStart w:id="871" w:name="_Toc18146"/>
      <w:bookmarkStart w:id="872" w:name="_Toc20009"/>
      <w:bookmarkStart w:id="873" w:name="_Toc18685"/>
      <w:bookmarkStart w:id="874" w:name="_Toc12715"/>
      <w:bookmarkStart w:id="875" w:name="_Toc5933"/>
      <w:bookmarkStart w:id="876" w:name="_Toc15257"/>
      <w:bookmarkStart w:id="877" w:name="_Toc1879"/>
      <w:bookmarkStart w:id="878" w:name="_Toc761"/>
      <w:bookmarkStart w:id="879" w:name="_Toc9341"/>
      <w:bookmarkStart w:id="880" w:name="_Toc13617"/>
      <w:bookmarkStart w:id="881" w:name="_Toc17870"/>
      <w:bookmarkStart w:id="882" w:name="_Toc12528"/>
      <w:bookmarkStart w:id="883" w:name="_Toc32652"/>
      <w:bookmarkStart w:id="884" w:name="_Toc21501"/>
      <w:bookmarkStart w:id="885" w:name="_Toc2372"/>
      <w:bookmarkStart w:id="886" w:name="_Toc23100"/>
      <w:bookmarkStart w:id="887" w:name="_Toc5512"/>
      <w:r>
        <w:rPr>
          <w:rFonts w:hint="eastAsia" w:ascii="宋体" w:hAnsi="宋体" w:eastAsia="宋体" w:cs="宋体"/>
          <w:bCs w:val="0"/>
          <w:kern w:val="0"/>
          <w:sz w:val="24"/>
          <w:szCs w:val="20"/>
        </w:rPr>
        <w:t>14. 磋商小组</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rPr>
          <w:rFonts w:ascii="宋体" w:hAnsi="宋体" w:cs="宋体"/>
          <w:sz w:val="24"/>
        </w:rPr>
      </w:pPr>
      <w:r>
        <w:rPr>
          <w:rFonts w:hint="eastAsia" w:ascii="宋体" w:hAnsi="宋体" w:cs="宋体"/>
          <w:sz w:val="24"/>
        </w:rPr>
        <w:t xml:space="preserve">    磋商小组将根据本次项目的特点组建，其成员由技术、经济等方面的专家以及采购人代表组成，其中评审专家人数不得少于磋商小组成员总数的2/3。</w:t>
      </w:r>
    </w:p>
    <w:p>
      <w:pPr>
        <w:pStyle w:val="4"/>
        <w:adjustRightInd w:val="0"/>
        <w:spacing w:before="0" w:after="0"/>
        <w:textAlignment w:val="baseline"/>
        <w:rPr>
          <w:rFonts w:ascii="宋体" w:hAnsi="宋体" w:eastAsia="宋体" w:cs="宋体"/>
          <w:bCs w:val="0"/>
          <w:kern w:val="0"/>
          <w:sz w:val="24"/>
          <w:szCs w:val="20"/>
        </w:rPr>
      </w:pPr>
      <w:bookmarkStart w:id="888" w:name="_Toc11204"/>
      <w:bookmarkStart w:id="889" w:name="_Toc15316"/>
      <w:bookmarkStart w:id="890" w:name="_Toc4940"/>
      <w:bookmarkStart w:id="891" w:name="_Toc4593"/>
      <w:bookmarkStart w:id="892" w:name="_Toc15571"/>
      <w:bookmarkStart w:id="893" w:name="_Toc13703"/>
      <w:bookmarkStart w:id="894" w:name="_Toc16766"/>
      <w:bookmarkStart w:id="895" w:name="_Toc24289"/>
      <w:bookmarkStart w:id="896" w:name="_Toc10957"/>
      <w:bookmarkStart w:id="897" w:name="_Toc29178"/>
      <w:bookmarkStart w:id="898" w:name="_Toc7796"/>
      <w:bookmarkStart w:id="899" w:name="_Toc13420"/>
      <w:bookmarkStart w:id="900" w:name="_Toc13498"/>
      <w:bookmarkStart w:id="901" w:name="_Toc1340"/>
      <w:bookmarkStart w:id="902" w:name="_Toc24851"/>
      <w:bookmarkStart w:id="903" w:name="_Toc32457"/>
      <w:bookmarkStart w:id="904" w:name="_Toc31356"/>
      <w:bookmarkStart w:id="905" w:name="_Toc8535"/>
      <w:bookmarkStart w:id="906" w:name="_Toc10018"/>
      <w:bookmarkStart w:id="907" w:name="_Toc31567"/>
      <w:bookmarkStart w:id="908" w:name="_Toc5408"/>
      <w:bookmarkStart w:id="909" w:name="_Toc30841"/>
      <w:bookmarkStart w:id="910" w:name="_Toc12049293"/>
      <w:bookmarkStart w:id="911" w:name="_Toc48"/>
      <w:bookmarkStart w:id="912" w:name="_Toc31227"/>
      <w:bookmarkStart w:id="913" w:name="_Toc11907"/>
      <w:bookmarkStart w:id="914" w:name="_Toc4299"/>
      <w:bookmarkStart w:id="915" w:name="_Toc8895"/>
      <w:bookmarkStart w:id="916" w:name="_Toc6136"/>
      <w:bookmarkStart w:id="917" w:name="_Toc12532"/>
      <w:bookmarkStart w:id="918" w:name="_Toc17944"/>
      <w:bookmarkStart w:id="919" w:name="_Toc6165"/>
      <w:bookmarkStart w:id="920" w:name="_Toc6742"/>
      <w:bookmarkStart w:id="921" w:name="_Toc16875"/>
      <w:bookmarkStart w:id="922" w:name="_Toc16090"/>
      <w:bookmarkStart w:id="923" w:name="_Toc25828"/>
      <w:bookmarkStart w:id="924" w:name="_Toc6944"/>
      <w:bookmarkStart w:id="925" w:name="_Toc988"/>
      <w:bookmarkStart w:id="926" w:name="_Toc27500"/>
      <w:bookmarkStart w:id="927" w:name="_Toc4109"/>
      <w:bookmarkStart w:id="928" w:name="_Toc17707"/>
      <w:bookmarkStart w:id="929" w:name="_Toc4602"/>
      <w:bookmarkStart w:id="930" w:name="_Toc2360"/>
      <w:bookmarkStart w:id="931" w:name="_Toc14410"/>
      <w:bookmarkStart w:id="932" w:name="_Toc32350"/>
      <w:bookmarkStart w:id="933" w:name="_Toc23260"/>
      <w:r>
        <w:rPr>
          <w:rFonts w:hint="eastAsia" w:ascii="宋体" w:hAnsi="宋体" w:eastAsia="宋体" w:cs="宋体"/>
          <w:bCs w:val="0"/>
          <w:kern w:val="0"/>
          <w:sz w:val="24"/>
          <w:szCs w:val="20"/>
        </w:rPr>
        <w:t>15. 对响应文件的审查和响应性的确定</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rPr>
          <w:rFonts w:ascii="宋体" w:hAnsi="宋体" w:cs="宋体"/>
          <w:sz w:val="24"/>
        </w:rPr>
      </w:pPr>
      <w:r>
        <w:rPr>
          <w:rFonts w:hint="eastAsia" w:ascii="宋体" w:hAnsi="宋体" w:cs="宋体"/>
          <w:sz w:val="24"/>
        </w:rPr>
        <w:t>15.1资格性审查。</w:t>
      </w:r>
    </w:p>
    <w:p>
      <w:pPr>
        <w:rPr>
          <w:rFonts w:ascii="宋体" w:hAnsi="宋体" w:cs="宋体"/>
          <w:sz w:val="24"/>
        </w:rPr>
      </w:pPr>
      <w:r>
        <w:rPr>
          <w:rFonts w:hint="eastAsia" w:ascii="宋体" w:hAnsi="宋体" w:cs="宋体"/>
          <w:sz w:val="24"/>
        </w:rPr>
        <w:t>（1）磋商代表身份确认。评审专家将响应文件中的磋商代表身份证复印件、法定代表人授权书、本人及身份证照片进行比对，如确定为同一人，则磋商代表身份合格，否则响应文件无效。</w:t>
      </w:r>
    </w:p>
    <w:p>
      <w:pPr>
        <w:rPr>
          <w:rFonts w:ascii="宋体" w:hAnsi="宋体" w:cs="宋体"/>
          <w:sz w:val="24"/>
        </w:rPr>
      </w:pPr>
      <w:r>
        <w:rPr>
          <w:rFonts w:hint="eastAsia" w:ascii="宋体" w:hAnsi="宋体" w:cs="宋体"/>
          <w:sz w:val="24"/>
        </w:rPr>
        <w:t>（2）磋商小组依据竞争性磋商文件要求，对响应文件中的资格证明等进行审查，以确定供应商是否具备磋商资格。</w:t>
      </w:r>
    </w:p>
    <w:p>
      <w:pPr>
        <w:rPr>
          <w:rFonts w:ascii="宋体" w:hAnsi="宋体" w:cs="宋体"/>
          <w:sz w:val="24"/>
        </w:rPr>
      </w:pPr>
      <w:r>
        <w:rPr>
          <w:rFonts w:hint="eastAsia" w:ascii="宋体" w:hAnsi="宋体" w:cs="宋体"/>
          <w:sz w:val="24"/>
        </w:rPr>
        <w:t>15.2符合性审查。</w:t>
      </w:r>
    </w:p>
    <w:p>
      <w:pPr>
        <w:ind w:firstLine="480" w:firstLineChars="200"/>
        <w:rPr>
          <w:rFonts w:ascii="宋体" w:hAnsi="宋体" w:cs="宋体"/>
          <w:sz w:val="24"/>
        </w:rPr>
      </w:pPr>
      <w:r>
        <w:rPr>
          <w:rFonts w:hint="eastAsia" w:ascii="宋体" w:hAnsi="宋体" w:cs="宋体"/>
          <w:sz w:val="24"/>
        </w:rPr>
        <w:t>依据竞争性磋商文件规定，从响应文件的有效性、完整性和对竞争性磋商文件的响应程度进行审查，以确定是否对竞争性磋商文件的实质性要求作出响应。</w:t>
      </w:r>
    </w:p>
    <w:p>
      <w:pPr>
        <w:pStyle w:val="4"/>
        <w:adjustRightInd w:val="0"/>
        <w:spacing w:before="0" w:after="0"/>
        <w:textAlignment w:val="baseline"/>
        <w:rPr>
          <w:rFonts w:ascii="宋体" w:hAnsi="宋体" w:eastAsia="宋体" w:cs="宋体"/>
          <w:bCs w:val="0"/>
          <w:kern w:val="0"/>
          <w:sz w:val="24"/>
          <w:szCs w:val="20"/>
        </w:rPr>
      </w:pPr>
      <w:bookmarkStart w:id="934" w:name="_Toc9089"/>
      <w:bookmarkStart w:id="935" w:name="_Toc1947"/>
      <w:bookmarkStart w:id="936" w:name="_Toc28604"/>
      <w:bookmarkStart w:id="937" w:name="_Toc3000"/>
      <w:bookmarkStart w:id="938" w:name="_Toc9612"/>
      <w:bookmarkStart w:id="939" w:name="_Toc359"/>
      <w:bookmarkStart w:id="940" w:name="_Toc22151"/>
      <w:bookmarkStart w:id="941" w:name="_Toc31969"/>
      <w:bookmarkStart w:id="942" w:name="_Toc2196"/>
      <w:bookmarkStart w:id="943" w:name="_Toc8467"/>
      <w:bookmarkStart w:id="944" w:name="_Toc17635"/>
      <w:bookmarkStart w:id="945" w:name="_Toc2916"/>
      <w:bookmarkStart w:id="946" w:name="_Toc24217"/>
      <w:bookmarkStart w:id="947" w:name="_Toc30123"/>
      <w:bookmarkStart w:id="948" w:name="_Toc8511"/>
      <w:bookmarkStart w:id="949" w:name="_Toc21199"/>
      <w:bookmarkStart w:id="950" w:name="_Toc9872"/>
      <w:bookmarkStart w:id="951" w:name="_Toc26293"/>
      <w:bookmarkStart w:id="952" w:name="_Toc25750"/>
      <w:bookmarkStart w:id="953" w:name="_Toc28785"/>
      <w:bookmarkStart w:id="954" w:name="_Toc3763"/>
      <w:bookmarkStart w:id="955" w:name="_Toc9037"/>
      <w:bookmarkStart w:id="956" w:name="_Toc12381"/>
      <w:bookmarkStart w:id="957" w:name="_Toc4502"/>
      <w:bookmarkStart w:id="958" w:name="_Toc17598"/>
      <w:bookmarkStart w:id="959" w:name="_Toc23445"/>
      <w:bookmarkStart w:id="960" w:name="_Toc26779"/>
      <w:bookmarkStart w:id="961" w:name="_Toc28934"/>
      <w:bookmarkStart w:id="962" w:name="_Toc6551"/>
      <w:bookmarkStart w:id="963" w:name="_Toc11300"/>
      <w:bookmarkStart w:id="964" w:name="_Toc20803"/>
      <w:bookmarkStart w:id="965" w:name="_Toc21311"/>
      <w:bookmarkStart w:id="966" w:name="_Toc16685"/>
      <w:bookmarkStart w:id="967" w:name="_Toc12179"/>
      <w:bookmarkStart w:id="968" w:name="_Toc22709"/>
      <w:bookmarkStart w:id="969" w:name="_Toc10657"/>
      <w:bookmarkStart w:id="970" w:name="_Toc28123"/>
      <w:bookmarkStart w:id="971" w:name="_Toc2306"/>
      <w:bookmarkStart w:id="972" w:name="_Toc26348"/>
      <w:bookmarkStart w:id="973" w:name="_Toc9189"/>
      <w:bookmarkStart w:id="974" w:name="_Toc20859"/>
      <w:bookmarkStart w:id="975" w:name="_Toc4556"/>
      <w:bookmarkStart w:id="976" w:name="_Toc12049294"/>
      <w:bookmarkStart w:id="977" w:name="_Toc16122"/>
      <w:bookmarkStart w:id="978" w:name="_Toc26096"/>
      <w:bookmarkStart w:id="979" w:name="_Toc9902"/>
      <w:r>
        <w:rPr>
          <w:rFonts w:hint="eastAsia" w:ascii="宋体" w:hAnsi="宋体" w:eastAsia="宋体" w:cs="宋体"/>
          <w:bCs w:val="0"/>
          <w:kern w:val="0"/>
          <w:sz w:val="24"/>
          <w:szCs w:val="20"/>
        </w:rPr>
        <w:t>16．磋商</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rPr>
          <w:rFonts w:ascii="宋体" w:hAnsi="宋体" w:cs="宋体"/>
          <w:sz w:val="24"/>
        </w:rPr>
      </w:pPr>
      <w:r>
        <w:rPr>
          <w:rFonts w:hint="eastAsia" w:ascii="宋体" w:hAnsi="宋体" w:cs="宋体"/>
          <w:sz w:val="24"/>
        </w:rPr>
        <w:t>（1）对响应文件审查完毕后，磋商小组成员集中与单一供应商分别进行磋商，并有权要求供应商对响应文件有关事项作出解释或者澄清。重要的解释或者澄清须以书面形式回复，并将构成响应文件的重要组成部分。在磋商中，磋商的任何一方不得透露与磋商有关的其他供应商的技术资料、价格和其他信息。</w:t>
      </w:r>
    </w:p>
    <w:p>
      <w:pPr>
        <w:rPr>
          <w:rFonts w:ascii="宋体" w:hAnsi="宋体" w:cs="宋体"/>
          <w:sz w:val="24"/>
        </w:rPr>
      </w:pPr>
      <w:r>
        <w:rPr>
          <w:rFonts w:hint="eastAsia" w:ascii="宋体" w:hAnsi="宋体" w:cs="宋体"/>
          <w:sz w:val="24"/>
        </w:rPr>
        <w:t>（2）供应商若有影响磋商结果的任何举动，将导致其最后报价被拒绝。</w:t>
      </w:r>
    </w:p>
    <w:p>
      <w:pPr>
        <w:rPr>
          <w:rFonts w:ascii="宋体" w:hAnsi="宋体" w:cs="宋体"/>
          <w:sz w:val="24"/>
        </w:rPr>
      </w:pPr>
      <w:r>
        <w:rPr>
          <w:rFonts w:hint="eastAsia" w:ascii="宋体" w:hAnsi="宋体" w:cs="宋体"/>
          <w:sz w:val="24"/>
        </w:rPr>
        <w:t xml:space="preserve">（3）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 </w:t>
      </w:r>
    </w:p>
    <w:p>
      <w:pPr>
        <w:pStyle w:val="4"/>
        <w:adjustRightInd w:val="0"/>
        <w:spacing w:before="0" w:after="0"/>
        <w:textAlignment w:val="baseline"/>
        <w:rPr>
          <w:rFonts w:ascii="宋体" w:hAnsi="宋体" w:eastAsia="宋体" w:cs="宋体"/>
          <w:bCs w:val="0"/>
          <w:kern w:val="0"/>
          <w:sz w:val="24"/>
          <w:szCs w:val="20"/>
        </w:rPr>
      </w:pPr>
      <w:bookmarkStart w:id="980" w:name="_Toc23826"/>
      <w:bookmarkStart w:id="981" w:name="_Toc28387"/>
      <w:bookmarkStart w:id="982" w:name="_Toc30139"/>
      <w:bookmarkStart w:id="983" w:name="_Toc7612"/>
      <w:bookmarkStart w:id="984" w:name="_Toc25941"/>
      <w:bookmarkStart w:id="985" w:name="_Toc28300"/>
      <w:bookmarkStart w:id="986" w:name="_Toc2137"/>
      <w:bookmarkStart w:id="987" w:name="_Toc17019"/>
      <w:bookmarkStart w:id="988" w:name="_Toc11573"/>
      <w:bookmarkStart w:id="989" w:name="_Toc32657"/>
      <w:bookmarkStart w:id="990" w:name="_Toc16401"/>
      <w:bookmarkStart w:id="991" w:name="_Toc11864"/>
      <w:bookmarkStart w:id="992" w:name="_Toc19497"/>
      <w:bookmarkStart w:id="993" w:name="_Toc18334"/>
      <w:bookmarkStart w:id="994" w:name="_Toc22212"/>
      <w:bookmarkStart w:id="995" w:name="_Toc7171"/>
      <w:bookmarkStart w:id="996" w:name="_Toc24214"/>
      <w:bookmarkStart w:id="997" w:name="_Toc16170"/>
      <w:bookmarkStart w:id="998" w:name="_Toc6080"/>
      <w:bookmarkStart w:id="999" w:name="_Toc19310"/>
      <w:bookmarkStart w:id="1000" w:name="_Toc7831"/>
      <w:bookmarkStart w:id="1001" w:name="_Toc19027"/>
      <w:bookmarkStart w:id="1002" w:name="_Toc30353"/>
      <w:bookmarkStart w:id="1003" w:name="_Toc4009"/>
      <w:bookmarkStart w:id="1004" w:name="_Toc13870"/>
      <w:bookmarkStart w:id="1005" w:name="_Toc25047"/>
      <w:bookmarkStart w:id="1006" w:name="_Toc10549"/>
      <w:bookmarkStart w:id="1007" w:name="_Toc14475"/>
      <w:bookmarkStart w:id="1008" w:name="_Toc7217"/>
      <w:bookmarkStart w:id="1009" w:name="_Toc5460"/>
      <w:bookmarkStart w:id="1010" w:name="_Toc7456"/>
      <w:bookmarkStart w:id="1011" w:name="_Toc26920"/>
      <w:bookmarkStart w:id="1012" w:name="_Toc24129"/>
      <w:bookmarkStart w:id="1013" w:name="_Toc17082"/>
      <w:bookmarkStart w:id="1014" w:name="_Toc9942"/>
      <w:bookmarkStart w:id="1015" w:name="_Toc31629"/>
      <w:bookmarkStart w:id="1016" w:name="_Toc12049295"/>
      <w:bookmarkStart w:id="1017" w:name="_Toc12515"/>
      <w:bookmarkStart w:id="1018" w:name="_Toc6913"/>
      <w:bookmarkStart w:id="1019" w:name="_Toc2601"/>
      <w:bookmarkStart w:id="1020" w:name="_Toc26312"/>
      <w:bookmarkStart w:id="1021" w:name="_Toc11683"/>
      <w:bookmarkStart w:id="1022" w:name="_Toc20370"/>
      <w:bookmarkStart w:id="1023" w:name="_Toc27763"/>
      <w:bookmarkStart w:id="1024" w:name="_Toc15330"/>
      <w:bookmarkStart w:id="1025" w:name="_Toc32627"/>
      <w:r>
        <w:rPr>
          <w:rFonts w:hint="eastAsia" w:ascii="宋体" w:hAnsi="宋体" w:eastAsia="宋体" w:cs="宋体"/>
          <w:bCs w:val="0"/>
          <w:kern w:val="0"/>
          <w:sz w:val="24"/>
          <w:szCs w:val="20"/>
        </w:rPr>
        <w:t>17. 最后报价</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rPr>
          <w:rFonts w:ascii="宋体" w:hAnsi="宋体" w:cs="宋体"/>
          <w:sz w:val="24"/>
        </w:rPr>
      </w:pPr>
      <w:r>
        <w:rPr>
          <w:rFonts w:hint="eastAsia" w:ascii="宋体" w:hAnsi="宋体" w:cs="宋体"/>
          <w:sz w:val="24"/>
        </w:rPr>
        <w:t>（1）磋商结束后，由磋商小组负责确定最终供应商。即资格性和符合性检查合格的供应商，有资格进行最后报价。该报价将作为磋商小组确定最终成交供应商的价格。</w:t>
      </w:r>
    </w:p>
    <w:p>
      <w:pPr>
        <w:rPr>
          <w:rFonts w:ascii="宋体" w:hAnsi="宋体" w:cs="宋体"/>
          <w:sz w:val="24"/>
        </w:rPr>
      </w:pPr>
      <w:r>
        <w:rPr>
          <w:rFonts w:hint="eastAsia" w:ascii="宋体" w:hAnsi="宋体" w:cs="宋体"/>
          <w:sz w:val="24"/>
        </w:rPr>
        <w:t>（2）响应文件工程量清单初始报价中材料的品牌、规格和质量等级，在编制最后报价时不得改变。</w:t>
      </w:r>
    </w:p>
    <w:p>
      <w:pPr>
        <w:rPr>
          <w:rFonts w:ascii="宋体" w:hAnsi="宋体" w:cs="宋体"/>
          <w:sz w:val="24"/>
        </w:rPr>
      </w:pPr>
      <w:r>
        <w:rPr>
          <w:rFonts w:hint="eastAsia" w:ascii="宋体" w:hAnsi="宋体" w:cs="宋体"/>
          <w:sz w:val="24"/>
        </w:rPr>
        <w:t>（3）供应商应按“竞争性磋商最后报价书”（后附统一模板）编制最后报价。最后报价书正本 1份，副本2份，电子版U盘1份。供应商在递交竞争性磋商最后报价书纸质文件的同时需自行准备设备进行线上填报最后报价。</w:t>
      </w:r>
    </w:p>
    <w:p>
      <w:pPr>
        <w:rPr>
          <w:rFonts w:ascii="宋体" w:hAnsi="宋体" w:cs="宋体"/>
          <w:sz w:val="24"/>
        </w:rPr>
      </w:pPr>
      <w:r>
        <w:rPr>
          <w:rFonts w:hint="eastAsia" w:ascii="宋体" w:hAnsi="宋体" w:cs="宋体"/>
          <w:sz w:val="24"/>
        </w:rPr>
        <w:t>（4）最后报价密封后在磋商小组规定的截止时间前提交。如供应商认为最后报价时间不足，应当场向磋商小组提交延长申请，由磋商小组研究后重新确定最后报价截止时间。重新确定最后报价截止时间后再提交的延长申请，磋商小组不予受理。</w:t>
      </w:r>
    </w:p>
    <w:p>
      <w:pPr>
        <w:rPr>
          <w:rFonts w:ascii="宋体" w:hAnsi="宋体" w:cs="宋体"/>
          <w:sz w:val="24"/>
        </w:rPr>
      </w:pPr>
      <w:r>
        <w:rPr>
          <w:rFonts w:hint="eastAsia" w:ascii="宋体" w:hAnsi="宋体" w:cs="宋体"/>
          <w:sz w:val="24"/>
        </w:rPr>
        <w:t>（5）出现下列情形之一的，将以该供应商提交的初始报价作为其最后报价：</w:t>
      </w:r>
    </w:p>
    <w:p>
      <w:pPr>
        <w:ind w:firstLine="480" w:firstLineChars="200"/>
        <w:rPr>
          <w:rFonts w:ascii="宋体" w:hAnsi="宋体" w:cs="宋体"/>
          <w:sz w:val="24"/>
        </w:rPr>
      </w:pPr>
      <w:r>
        <w:rPr>
          <w:rFonts w:hint="eastAsia" w:ascii="宋体" w:hAnsi="宋体" w:cs="宋体"/>
          <w:sz w:val="24"/>
        </w:rPr>
        <w:t>1）最后报价未按要求密封的；</w:t>
      </w:r>
    </w:p>
    <w:p>
      <w:pPr>
        <w:ind w:firstLine="480" w:firstLineChars="200"/>
        <w:rPr>
          <w:rFonts w:ascii="宋体" w:hAnsi="宋体" w:cs="宋体"/>
          <w:sz w:val="24"/>
        </w:rPr>
      </w:pPr>
      <w:r>
        <w:rPr>
          <w:rFonts w:hint="eastAsia" w:ascii="宋体" w:hAnsi="宋体" w:cs="宋体"/>
          <w:sz w:val="24"/>
        </w:rPr>
        <w:t>2）最后报价未在规定时间提交的；</w:t>
      </w:r>
    </w:p>
    <w:p>
      <w:pPr>
        <w:ind w:firstLine="480" w:firstLineChars="200"/>
        <w:rPr>
          <w:rFonts w:ascii="宋体" w:hAnsi="宋体" w:cs="宋体"/>
          <w:sz w:val="24"/>
        </w:rPr>
      </w:pPr>
      <w:r>
        <w:rPr>
          <w:rFonts w:hint="eastAsia" w:ascii="宋体" w:hAnsi="宋体" w:cs="宋体"/>
          <w:sz w:val="24"/>
        </w:rPr>
        <w:t>3）最后报价未提供“工程量清单最后报价明细”的；</w:t>
      </w:r>
    </w:p>
    <w:p>
      <w:pPr>
        <w:ind w:firstLine="480" w:firstLineChars="200"/>
        <w:rPr>
          <w:rFonts w:ascii="宋体" w:hAnsi="宋体" w:cs="宋体"/>
          <w:sz w:val="24"/>
        </w:rPr>
      </w:pPr>
      <w:r>
        <w:rPr>
          <w:rFonts w:hint="eastAsia" w:ascii="宋体" w:hAnsi="宋体" w:cs="宋体"/>
          <w:sz w:val="24"/>
        </w:rPr>
        <w:t>4）最后报价未提供“最后报价调整说明”的；</w:t>
      </w:r>
    </w:p>
    <w:p>
      <w:pPr>
        <w:ind w:firstLine="480" w:firstLineChars="200"/>
        <w:rPr>
          <w:rFonts w:ascii="宋体" w:hAnsi="宋体" w:cs="宋体"/>
          <w:sz w:val="24"/>
        </w:rPr>
      </w:pPr>
      <w:r>
        <w:rPr>
          <w:rFonts w:hint="eastAsia" w:ascii="宋体" w:hAnsi="宋体" w:cs="宋体"/>
          <w:sz w:val="24"/>
        </w:rPr>
        <w:t>5）最后报价未按要求签字的；</w:t>
      </w:r>
    </w:p>
    <w:p>
      <w:pPr>
        <w:ind w:firstLine="480" w:firstLineChars="200"/>
        <w:rPr>
          <w:rFonts w:ascii="宋体" w:hAnsi="宋体" w:cs="宋体"/>
          <w:sz w:val="24"/>
        </w:rPr>
      </w:pPr>
      <w:r>
        <w:rPr>
          <w:rFonts w:hint="eastAsia" w:ascii="宋体" w:hAnsi="宋体" w:cs="宋体"/>
          <w:sz w:val="24"/>
        </w:rPr>
        <w:t>6）最后报价改变了材料的品牌、规格和质量等级的。</w:t>
      </w:r>
    </w:p>
    <w:p>
      <w:pPr>
        <w:rPr>
          <w:rFonts w:ascii="宋体" w:hAnsi="宋体" w:cs="宋体"/>
          <w:sz w:val="24"/>
        </w:rPr>
      </w:pPr>
      <w:r>
        <w:rPr>
          <w:rFonts w:hint="eastAsia" w:ascii="宋体" w:hAnsi="宋体" w:cs="宋体"/>
          <w:sz w:val="24"/>
        </w:rPr>
        <w:t>（6）磋商小组认为供应商的最后报价明显低于其他资格性和符合性检查合格的供应商的最后报价，有可能影响工程质量或者不能诚信履约的，应当要求其在磋商现场合理的时间内提供书面说明，必要时提交相关证明材料；供应商不能证明其报价合理性的，磋商小组应当将其作为响应无效处理。</w:t>
      </w:r>
    </w:p>
    <w:p>
      <w:pPr>
        <w:pStyle w:val="4"/>
        <w:adjustRightInd w:val="0"/>
        <w:spacing w:before="0" w:after="0"/>
        <w:textAlignment w:val="baseline"/>
        <w:rPr>
          <w:rFonts w:ascii="宋体" w:hAnsi="宋体" w:eastAsia="宋体" w:cs="宋体"/>
          <w:bCs w:val="0"/>
          <w:kern w:val="0"/>
          <w:sz w:val="24"/>
          <w:szCs w:val="20"/>
        </w:rPr>
      </w:pPr>
      <w:bookmarkStart w:id="1026" w:name="_Toc5239"/>
      <w:bookmarkStart w:id="1027" w:name="_Toc3034"/>
      <w:bookmarkStart w:id="1028" w:name="_Toc5044"/>
      <w:bookmarkStart w:id="1029" w:name="_Toc32439"/>
      <w:bookmarkStart w:id="1030" w:name="_Toc21953"/>
      <w:bookmarkStart w:id="1031" w:name="_Toc5762"/>
      <w:bookmarkStart w:id="1032" w:name="_Toc31140"/>
      <w:bookmarkStart w:id="1033" w:name="_Toc22935"/>
      <w:bookmarkStart w:id="1034" w:name="_Toc26621"/>
      <w:bookmarkStart w:id="1035" w:name="_Toc19610"/>
      <w:bookmarkStart w:id="1036" w:name="_Toc12049296"/>
      <w:bookmarkStart w:id="1037" w:name="_Toc165"/>
      <w:bookmarkStart w:id="1038" w:name="_Toc32121"/>
      <w:bookmarkStart w:id="1039" w:name="_Toc5605"/>
      <w:bookmarkStart w:id="1040" w:name="_Toc14619"/>
      <w:bookmarkStart w:id="1041" w:name="_Toc25262"/>
      <w:bookmarkStart w:id="1042" w:name="_Toc15265"/>
      <w:bookmarkStart w:id="1043" w:name="_Toc16039"/>
      <w:bookmarkStart w:id="1044" w:name="_Toc328"/>
      <w:bookmarkStart w:id="1045" w:name="_Toc3901"/>
      <w:bookmarkStart w:id="1046" w:name="_Toc7058"/>
      <w:bookmarkStart w:id="1047" w:name="_Toc12508"/>
      <w:bookmarkStart w:id="1048" w:name="_Toc16416"/>
      <w:bookmarkStart w:id="1049" w:name="_Toc14493"/>
      <w:bookmarkStart w:id="1050" w:name="_Toc24484"/>
      <w:bookmarkStart w:id="1051" w:name="_Toc3598"/>
      <w:bookmarkStart w:id="1052" w:name="_Toc3032"/>
      <w:bookmarkStart w:id="1053" w:name="_Toc28219"/>
      <w:bookmarkStart w:id="1054" w:name="_Toc25635"/>
      <w:bookmarkStart w:id="1055" w:name="_Toc31706"/>
      <w:bookmarkStart w:id="1056" w:name="_Toc32283"/>
      <w:bookmarkStart w:id="1057" w:name="_Toc17759"/>
      <w:bookmarkStart w:id="1058" w:name="_Toc815"/>
      <w:bookmarkStart w:id="1059" w:name="_Toc7807"/>
      <w:bookmarkStart w:id="1060" w:name="_Toc27148"/>
      <w:bookmarkStart w:id="1061" w:name="_Toc15722"/>
      <w:bookmarkStart w:id="1062" w:name="_Toc6926"/>
      <w:bookmarkStart w:id="1063" w:name="_Toc4585"/>
      <w:bookmarkStart w:id="1064" w:name="_Toc21365"/>
      <w:bookmarkStart w:id="1065" w:name="_Toc16092"/>
      <w:bookmarkStart w:id="1066" w:name="_Toc9617"/>
      <w:bookmarkStart w:id="1067" w:name="_Toc20529"/>
      <w:bookmarkStart w:id="1068" w:name="_Toc28610"/>
      <w:bookmarkStart w:id="1069" w:name="_Toc16284"/>
      <w:bookmarkStart w:id="1070" w:name="_Toc25814"/>
      <w:bookmarkStart w:id="1071" w:name="_Toc31191"/>
      <w:r>
        <w:rPr>
          <w:rFonts w:hint="eastAsia" w:ascii="宋体" w:hAnsi="宋体" w:eastAsia="宋体" w:cs="宋体"/>
          <w:bCs w:val="0"/>
          <w:kern w:val="0"/>
          <w:sz w:val="24"/>
          <w:szCs w:val="20"/>
        </w:rPr>
        <w:t>18. 评审方法和确定成交供应商的原则</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snapToGrid w:val="0"/>
        <w:rPr>
          <w:rFonts w:ascii="宋体" w:hAnsi="宋体" w:cs="宋体"/>
          <w:sz w:val="24"/>
        </w:rPr>
      </w:pPr>
      <w:r>
        <w:rPr>
          <w:rFonts w:hint="eastAsia" w:ascii="宋体" w:hAnsi="宋体" w:cs="宋体"/>
          <w:sz w:val="24"/>
        </w:rPr>
        <w:t>18.1 评审方法</w:t>
      </w:r>
    </w:p>
    <w:p>
      <w:pPr>
        <w:snapToGrid w:val="0"/>
        <w:rPr>
          <w:rFonts w:ascii="宋体" w:hAnsi="宋体" w:cs="宋体"/>
          <w:sz w:val="24"/>
        </w:rPr>
      </w:pPr>
      <w:r>
        <w:rPr>
          <w:rFonts w:hint="eastAsia" w:ascii="宋体" w:hAnsi="宋体" w:cs="宋体"/>
          <w:sz w:val="24"/>
        </w:rPr>
        <w:t>（1）本项目采用综合评分法，满分100分。其中：施工组织设计70分，最后报价30分。</w:t>
      </w:r>
    </w:p>
    <w:p>
      <w:pPr>
        <w:snapToGrid w:val="0"/>
        <w:rPr>
          <w:rFonts w:ascii="宋体" w:hAnsi="宋体" w:cs="宋体"/>
          <w:sz w:val="24"/>
        </w:rPr>
      </w:pPr>
      <w:r>
        <w:rPr>
          <w:rFonts w:hint="eastAsia" w:ascii="宋体" w:hAnsi="宋体" w:cs="宋体"/>
          <w:sz w:val="24"/>
        </w:rPr>
        <w:t>（2）施工组织设计各项评审依据和分值详见《施工组织设计评审标准一览表》。</w:t>
      </w:r>
    </w:p>
    <w:p>
      <w:pPr>
        <w:snapToGrid w:val="0"/>
        <w:jc w:val="both"/>
        <w:rPr>
          <w:rFonts w:ascii="宋体" w:hAnsi="宋体" w:cs="宋体"/>
          <w:kern w:val="0"/>
          <w:sz w:val="24"/>
        </w:rPr>
      </w:pPr>
      <w:r>
        <w:rPr>
          <w:rFonts w:hint="eastAsia" w:ascii="宋体" w:hAnsi="宋体" w:cs="宋体"/>
          <w:sz w:val="24"/>
        </w:rPr>
        <w:t>（3）最后报价的分值计算</w:t>
      </w:r>
      <w:r>
        <w:rPr>
          <w:rFonts w:hint="eastAsia" w:ascii="宋体" w:hAnsi="宋体" w:cs="宋体"/>
          <w:kern w:val="0"/>
          <w:sz w:val="24"/>
        </w:rPr>
        <w:t>采用低价优先法，即满足磋商文件实质性要求且最后报价最低的报价为磋商基准价，其价格分为满分，其他供应商的最后报价分值统一按下列公式计算：</w:t>
      </w:r>
    </w:p>
    <w:p>
      <w:pPr>
        <w:snapToGrid w:val="0"/>
        <w:rPr>
          <w:rFonts w:ascii="宋体" w:hAnsi="宋体" w:cs="宋体"/>
          <w:b/>
          <w:sz w:val="24"/>
        </w:rPr>
      </w:pPr>
      <w:r>
        <w:rPr>
          <w:rFonts w:hint="eastAsia" w:ascii="宋体" w:hAnsi="宋体" w:cs="宋体"/>
          <w:b/>
          <w:sz w:val="24"/>
        </w:rPr>
        <w:t>磋商报价得分=(磋商基准价／最后磋商报价)×30（计算结果均保留两位小数）</w:t>
      </w:r>
    </w:p>
    <w:p>
      <w:pPr>
        <w:numPr>
          <w:ilvl w:val="0"/>
          <w:numId w:val="8"/>
        </w:numPr>
        <w:snapToGrid w:val="0"/>
        <w:rPr>
          <w:rFonts w:ascii="宋体" w:hAnsi="宋体" w:cs="宋体"/>
          <w:sz w:val="24"/>
        </w:rPr>
      </w:pPr>
      <w:r>
        <w:rPr>
          <w:rFonts w:hint="eastAsia" w:ascii="宋体" w:hAnsi="宋体" w:cs="宋体"/>
          <w:sz w:val="24"/>
        </w:rPr>
        <w:t>磋商小组根据综合评分情况，按照评审得分由高到低的顺序推荐3名以上成交候选供应商，并编写评审报告。评审得分相同的，按照最后报价由低到高的顺序推荐。评审得分且最后报价相同的，按照技术指标优劣顺序推荐。</w:t>
      </w:r>
    </w:p>
    <w:p>
      <w:pPr>
        <w:snapToGrid w:val="0"/>
        <w:ind w:firstLine="672" w:firstLineChars="210"/>
        <w:jc w:val="center"/>
        <w:rPr>
          <w:rFonts w:ascii="宋体" w:hAnsi="宋体" w:cs="宋体"/>
          <w:sz w:val="32"/>
          <w:szCs w:val="32"/>
        </w:rPr>
      </w:pPr>
      <w:r>
        <w:rPr>
          <w:rFonts w:hint="eastAsia" w:ascii="宋体" w:hAnsi="宋体" w:cs="宋体"/>
          <w:sz w:val="32"/>
          <w:szCs w:val="32"/>
        </w:rPr>
        <w:br w:type="page"/>
      </w:r>
      <w:r>
        <w:rPr>
          <w:rFonts w:hint="eastAsia" w:ascii="宋体" w:hAnsi="宋体" w:cs="宋体"/>
          <w:sz w:val="32"/>
          <w:szCs w:val="32"/>
        </w:rPr>
        <w:t>资格性检查和符合性检查一览表</w:t>
      </w:r>
    </w:p>
    <w:tbl>
      <w:tblPr>
        <w:tblStyle w:val="48"/>
        <w:tblW w:w="84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270"/>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评审程序</w:t>
            </w:r>
          </w:p>
        </w:tc>
        <w:tc>
          <w:tcPr>
            <w:tcW w:w="22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评审因素</w:t>
            </w:r>
          </w:p>
        </w:tc>
        <w:tc>
          <w:tcPr>
            <w:tcW w:w="492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restart"/>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1、资格性检查</w:t>
            </w:r>
          </w:p>
        </w:tc>
        <w:tc>
          <w:tcPr>
            <w:tcW w:w="22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具备独立承担民事责任的能力</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24"/>
              </w:rPr>
            </w:pPr>
            <w:r>
              <w:rPr>
                <w:rFonts w:hint="eastAsia" w:ascii="宋体" w:hAnsi="宋体" w:cs="宋体"/>
                <w:sz w:val="24"/>
              </w:rPr>
              <w:t>在中华人民共和国境内的法人或其他组织或自然人，提交有效的营业执照（或事业法人登记证或身份证等相关证明）副本复印件。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5" w:hRule="atLeast"/>
          <w:jc w:val="center"/>
        </w:trPr>
        <w:tc>
          <w:tcPr>
            <w:tcW w:w="1282" w:type="dxa"/>
            <w:vMerge w:val="continue"/>
            <w:tcBorders>
              <w:left w:val="single" w:color="auto" w:sz="4" w:space="0"/>
              <w:right w:val="single" w:color="auto" w:sz="4" w:space="0"/>
            </w:tcBorders>
            <w:vAlign w:val="center"/>
          </w:tcPr>
          <w:p>
            <w:pPr>
              <w:snapToGrid w:val="0"/>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有依法缴纳税收和社会保障资金的良好记录</w:t>
            </w:r>
          </w:p>
        </w:tc>
        <w:tc>
          <w:tcPr>
            <w:tcW w:w="492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sz w:val="24"/>
              </w:rPr>
            </w:pPr>
            <w:r>
              <w:rPr>
                <w:rFonts w:hint="eastAsia" w:ascii="宋体" w:hAnsi="宋体" w:cs="宋体"/>
                <w:sz w:val="24"/>
              </w:rPr>
              <w:t>提供响应文件提交截止时间前6个月任意1个月依法缴纳税收和社会保障资金的相关材料（缴费证明或相关内容承诺函）。如依法免税或不需要缴纳社会保障资金的，提供相应证明材料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具有良好的商业信誉和健全的财务会计制度</w:t>
            </w:r>
          </w:p>
        </w:tc>
        <w:tc>
          <w:tcPr>
            <w:tcW w:w="492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sz w:val="24"/>
              </w:rPr>
            </w:pPr>
            <w:r>
              <w:rPr>
                <w:rFonts w:hint="eastAsia" w:ascii="宋体" w:hAnsi="宋体" w:cs="宋体"/>
                <w:sz w:val="24"/>
              </w:rPr>
              <w:t>供应商必须具有良好的商业信誉和健全的财务会计制度（提供2020年度财务状况报告或基本开户行出具的资信证明或相关内容承诺函）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kern w:val="0"/>
                <w:sz w:val="24"/>
              </w:rPr>
            </w:pPr>
            <w:r>
              <w:rPr>
                <w:rFonts w:hint="eastAsia" w:ascii="宋体" w:hAnsi="宋体" w:cs="宋体"/>
                <w:sz w:val="24"/>
              </w:rPr>
              <w:t>履行合同所必须的设备和专业技术能力</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sz w:val="24"/>
              </w:rPr>
            </w:pPr>
            <w:r>
              <w:rPr>
                <w:rFonts w:hint="eastAsia" w:ascii="宋体" w:hAnsi="宋体" w:cs="宋体"/>
                <w:sz w:val="24"/>
              </w:rPr>
              <w:t>按采购文件服务要求填报设备及专业技术能力情况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pPr>
          </w:p>
          <w:p>
            <w:pPr>
              <w:pStyle w:val="29"/>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kern w:val="0"/>
                <w:sz w:val="24"/>
              </w:rPr>
            </w:pPr>
            <w:r>
              <w:rPr>
                <w:rFonts w:hint="eastAsia" w:ascii="宋体" w:hAnsi="宋体" w:cs="宋体"/>
                <w:sz w:val="24"/>
              </w:rPr>
              <w:t>参加采购活动前3年内，在经营活动中没有重大违法记录</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sz w:val="24"/>
              </w:rPr>
            </w:pPr>
            <w:r>
              <w:rPr>
                <w:rFonts w:hint="eastAsia" w:ascii="宋体" w:hAnsi="宋体" w:cs="宋体"/>
                <w:sz w:val="24"/>
              </w:rPr>
              <w:t>参加采购活动前三年内，在经营活动中没有重大违法记录。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供应商提供相关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pStyle w:val="29"/>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kern w:val="0"/>
                <w:sz w:val="24"/>
              </w:rPr>
              <w:t>供应商须知1.4.1条款的要求提供供应商资质证明文件</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sz w:val="24"/>
              </w:rPr>
            </w:pPr>
            <w:r>
              <w:rPr>
                <w:rFonts w:hint="eastAsia" w:ascii="宋体" w:hAnsi="宋体" w:cs="宋体"/>
                <w:sz w:val="24"/>
              </w:rPr>
              <w:t>拟参加本项目采购的供应商须具备建设行政主管部门颁发的</w:t>
            </w:r>
            <w:r>
              <w:rPr>
                <w:rFonts w:hint="eastAsia" w:ascii="宋体" w:hAnsi="宋体" w:cs="宋体"/>
                <w:sz w:val="24"/>
                <w:lang w:eastAsia="zh-CN"/>
              </w:rPr>
              <w:t>建筑装修装饰工程专业承包二级及以上资质</w:t>
            </w:r>
            <w:r>
              <w:rPr>
                <w:rFonts w:hint="eastAsia" w:ascii="宋体" w:hAnsi="宋体" w:cs="宋体"/>
                <w:sz w:val="24"/>
              </w:rPr>
              <w:t>；具有有效的安全生产许可证；（复印件）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kern w:val="0"/>
                <w:sz w:val="24"/>
              </w:rPr>
            </w:pPr>
            <w:r>
              <w:rPr>
                <w:rFonts w:hint="eastAsia" w:ascii="宋体" w:hAnsi="宋体" w:cs="宋体"/>
                <w:kern w:val="0"/>
                <w:sz w:val="24"/>
              </w:rPr>
              <w:t>法定代表人授权书</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sz w:val="24"/>
              </w:rPr>
            </w:pPr>
            <w:r>
              <w:rPr>
                <w:rFonts w:hint="eastAsia" w:ascii="宋体" w:hAnsi="宋体" w:cs="宋体"/>
                <w:kern w:val="0"/>
                <w:sz w:val="24"/>
              </w:rPr>
              <w:t>有法定代表人签字并加盖公章（原件）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kern w:val="0"/>
                <w:sz w:val="24"/>
              </w:rPr>
            </w:pPr>
            <w:r>
              <w:rPr>
                <w:rFonts w:hint="eastAsia" w:ascii="宋体" w:hAnsi="宋体" w:cs="宋体"/>
                <w:kern w:val="0"/>
                <w:sz w:val="24"/>
              </w:rPr>
              <w:t>法定代表人和磋商代表身份证明</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kern w:val="0"/>
                <w:sz w:val="24"/>
              </w:rPr>
            </w:pPr>
            <w:r>
              <w:rPr>
                <w:rFonts w:hint="eastAsia" w:ascii="宋体" w:hAnsi="宋体" w:cs="宋体"/>
                <w:sz w:val="24"/>
              </w:rPr>
              <w:t>法定代表人和磋商代表身份证明（复印件）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保证金</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sz w:val="24"/>
              </w:rPr>
            </w:pPr>
            <w:r>
              <w:rPr>
                <w:rFonts w:hint="eastAsia" w:ascii="宋体" w:hAnsi="宋体" w:cs="宋体"/>
                <w:sz w:val="24"/>
              </w:rPr>
              <w:t>银行电汇保证金凭证（复印件）或金融机构、担保机构出具的保函（原件）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kern w:val="0"/>
                <w:sz w:val="24"/>
              </w:rPr>
            </w:pPr>
            <w:r>
              <w:rPr>
                <w:rFonts w:hint="eastAsia" w:ascii="宋体" w:hAnsi="宋体" w:cs="宋体"/>
                <w:kern w:val="0"/>
                <w:sz w:val="24"/>
              </w:rPr>
              <w:t>项目经理</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left="18" w:leftChars="-20" w:hanging="60" w:hangingChars="25"/>
              <w:jc w:val="both"/>
              <w:rPr>
                <w:rFonts w:ascii="宋体" w:hAnsi="宋体" w:cs="宋体"/>
                <w:kern w:val="0"/>
                <w:sz w:val="24"/>
              </w:rPr>
            </w:pPr>
            <w:r>
              <w:rPr>
                <w:rFonts w:hint="eastAsia" w:ascii="宋体" w:hAnsi="宋体" w:cs="宋体"/>
                <w:kern w:val="0"/>
                <w:sz w:val="24"/>
              </w:rPr>
              <w:t>须具备相关专业二级及以上（含二级）注册建造师资格（证企相符），具备有效的安全生产考核B证，且未担任其他在施建设工程项目（由供应商自行将项目经理无在建承诺放入磋商响应文件中并加盖公章，无项目经理承诺按响应无效处理）（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kern w:val="0"/>
                <w:sz w:val="24"/>
              </w:rPr>
            </w:pPr>
            <w:r>
              <w:rPr>
                <w:rFonts w:hint="eastAsia" w:ascii="宋体" w:hAnsi="宋体" w:cs="宋体"/>
                <w:kern w:val="0"/>
                <w:sz w:val="24"/>
              </w:rPr>
              <w:t>技术负责人</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kern w:val="0"/>
                <w:sz w:val="24"/>
              </w:rPr>
            </w:pPr>
            <w:r>
              <w:rPr>
                <w:rFonts w:hint="eastAsia" w:ascii="宋体" w:hAnsi="宋体" w:cs="宋体"/>
                <w:bCs/>
                <w:kern w:val="0"/>
                <w:sz w:val="24"/>
              </w:rPr>
              <w:t>须具备相关专业中级及以上（含中级）技术职称</w:t>
            </w:r>
            <w:r>
              <w:rPr>
                <w:rFonts w:hint="eastAsia" w:ascii="宋体" w:hAnsi="宋体" w:cs="宋体"/>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cs="宋体"/>
                <w:kern w:val="0"/>
                <w:sz w:val="24"/>
              </w:rPr>
            </w:pPr>
            <w:r>
              <w:rPr>
                <w:rFonts w:hint="eastAsia" w:ascii="宋体" w:hAnsi="宋体" w:cs="宋体"/>
                <w:kern w:val="0"/>
                <w:sz w:val="24"/>
              </w:rPr>
              <w:t>项目班子配备要求</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kern w:val="0"/>
                <w:sz w:val="24"/>
              </w:rPr>
            </w:pPr>
            <w:r>
              <w:rPr>
                <w:rFonts w:hint="eastAsia" w:ascii="宋体" w:hAnsi="宋体" w:cs="宋体"/>
                <w:bCs/>
                <w:kern w:val="0"/>
                <w:sz w:val="24"/>
              </w:rPr>
              <w:t>施工员、质量员具有有效的岗位证书；安全员须具有有效的安全生产考核合格证书（C证）及以上</w:t>
            </w:r>
            <w:r>
              <w:rPr>
                <w:rFonts w:hint="eastAsia" w:ascii="宋体" w:hAnsi="宋体" w:cs="宋体"/>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kern w:val="0"/>
                <w:sz w:val="24"/>
              </w:rPr>
            </w:pPr>
            <w:r>
              <w:rPr>
                <w:rFonts w:hint="eastAsia" w:ascii="宋体" w:hAnsi="宋体" w:cs="宋体"/>
                <w:sz w:val="24"/>
              </w:rPr>
              <w:t>供应商必须符合法律、行政法规规定的其他条件</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bCs/>
                <w:kern w:val="0"/>
                <w:sz w:val="24"/>
              </w:rPr>
            </w:pPr>
            <w:r>
              <w:rPr>
                <w:rFonts w:hint="eastAsia" w:ascii="宋体" w:hAnsi="宋体" w:cs="宋体"/>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供应商提供相关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cs="宋体"/>
                <w:kern w:val="0"/>
                <w:sz w:val="24"/>
              </w:rPr>
            </w:pPr>
            <w:r>
              <w:rPr>
                <w:rFonts w:hint="eastAsia" w:ascii="宋体" w:hAnsi="宋体" w:cs="宋体"/>
                <w:kern w:val="0"/>
                <w:sz w:val="24"/>
              </w:rPr>
              <w:t>信用记录查询</w:t>
            </w:r>
          </w:p>
        </w:tc>
        <w:tc>
          <w:tcPr>
            <w:tcW w:w="492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both"/>
              <w:rPr>
                <w:rFonts w:ascii="宋体" w:hAnsi="宋体" w:cs="宋体"/>
                <w:sz w:val="24"/>
              </w:rPr>
            </w:pPr>
            <w:r>
              <w:rPr>
                <w:rFonts w:hint="eastAsia" w:ascii="宋体" w:hAnsi="宋体" w:cs="宋体"/>
                <w:kern w:val="0"/>
                <w:sz w:val="24"/>
              </w:rPr>
              <w:t>供应商自本公告发布之日起（含公告发布当日）前三年内“信用中国”（http://www.creditchina.gov.cn/）和“中国政府采购网”（http://www.ccgp.gov.cn/cr/list）网站查询截图（</w:t>
            </w:r>
            <w:r>
              <w:rPr>
                <w:rFonts w:hint="eastAsia" w:ascii="宋体" w:hAnsi="宋体" w:cs="宋体"/>
                <w:bCs/>
                <w:kern w:val="0"/>
                <w:sz w:val="24"/>
              </w:rPr>
              <w:t>由代理机构现场核查信用记录</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restart"/>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2、符合性检查</w:t>
            </w:r>
          </w:p>
        </w:tc>
        <w:tc>
          <w:tcPr>
            <w:tcW w:w="22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工程范围</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24"/>
              </w:rPr>
            </w:pPr>
            <w:r>
              <w:rPr>
                <w:rFonts w:hint="eastAsia" w:ascii="宋体" w:hAnsi="宋体" w:cs="宋体"/>
                <w:sz w:val="24"/>
              </w:rPr>
              <w:t>符合第四部分“工程范围及技术要求”规定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工期</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24"/>
              </w:rPr>
            </w:pPr>
            <w:r>
              <w:rPr>
                <w:rFonts w:hint="eastAsia" w:ascii="宋体" w:hAnsi="宋体" w:cs="宋体"/>
                <w:sz w:val="24"/>
              </w:rPr>
              <w:t>符合第四部分“工程范围及技术要求”规定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工程质量</w:t>
            </w:r>
          </w:p>
        </w:tc>
        <w:tc>
          <w:tcPr>
            <w:tcW w:w="492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rPr>
            </w:pPr>
            <w:r>
              <w:rPr>
                <w:rFonts w:hint="eastAsia" w:ascii="宋体" w:hAnsi="宋体" w:cs="宋体"/>
                <w:sz w:val="24"/>
              </w:rPr>
              <w:t>符合第四部分“工程范围及技术要求”规定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技术标准和要求</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24"/>
              </w:rPr>
            </w:pPr>
            <w:r>
              <w:rPr>
                <w:rFonts w:hint="eastAsia" w:ascii="宋体" w:hAnsi="宋体" w:cs="宋体"/>
                <w:sz w:val="24"/>
              </w:rPr>
              <w:t>符合第四部分“工程范围及技术要求”规定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pacing w:val="-6"/>
                <w:sz w:val="24"/>
              </w:rPr>
              <w:t>合同条件及权利义务</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24"/>
              </w:rPr>
            </w:pPr>
            <w:r>
              <w:rPr>
                <w:rFonts w:hint="eastAsia" w:ascii="宋体" w:hAnsi="宋体" w:cs="宋体"/>
                <w:sz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4"/>
              </w:rPr>
            </w:pPr>
            <w:r>
              <w:rPr>
                <w:rFonts w:hint="eastAsia" w:ascii="宋体" w:hAnsi="宋体" w:cs="宋体"/>
                <w:sz w:val="24"/>
              </w:rPr>
              <w:t>响应文件真实</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24"/>
              </w:rPr>
            </w:pPr>
            <w:r>
              <w:rPr>
                <w:rFonts w:hint="eastAsia" w:ascii="宋体" w:hAnsi="宋体" w:cs="宋体"/>
                <w:sz w:val="24"/>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2" w:type="dxa"/>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p>
        </w:tc>
        <w:tc>
          <w:tcPr>
            <w:tcW w:w="227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sz w:val="24"/>
              </w:rPr>
            </w:pPr>
            <w:r>
              <w:rPr>
                <w:rFonts w:hint="eastAsia" w:ascii="宋体" w:hAnsi="宋体" w:cs="宋体"/>
                <w:sz w:val="24"/>
              </w:rPr>
              <w:t>初始报价计价标准</w:t>
            </w:r>
          </w:p>
        </w:tc>
        <w:tc>
          <w:tcPr>
            <w:tcW w:w="492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sz w:val="24"/>
              </w:rPr>
            </w:pPr>
            <w:r>
              <w:rPr>
                <w:rFonts w:hint="eastAsia" w:ascii="宋体" w:hAnsi="宋体" w:cs="宋体"/>
                <w:sz w:val="24"/>
              </w:rPr>
              <w:t>a.不超过采购预算；</w:t>
            </w:r>
          </w:p>
          <w:p>
            <w:pPr>
              <w:snapToGrid w:val="0"/>
              <w:spacing w:line="240" w:lineRule="auto"/>
              <w:rPr>
                <w:rFonts w:ascii="宋体" w:hAnsi="宋体" w:cs="宋体"/>
                <w:sz w:val="24"/>
              </w:rPr>
            </w:pPr>
            <w:r>
              <w:rPr>
                <w:rFonts w:hint="eastAsia" w:ascii="宋体" w:hAnsi="宋体" w:cs="宋体"/>
                <w:sz w:val="24"/>
              </w:rPr>
              <w:t>b. 工程量清单中的项目和数量符合要求；</w:t>
            </w:r>
          </w:p>
          <w:p>
            <w:pPr>
              <w:snapToGrid w:val="0"/>
              <w:spacing w:line="240" w:lineRule="auto"/>
              <w:rPr>
                <w:rFonts w:ascii="宋体" w:hAnsi="宋体" w:cs="宋体"/>
                <w:sz w:val="24"/>
              </w:rPr>
            </w:pPr>
            <w:r>
              <w:rPr>
                <w:rFonts w:hint="eastAsia" w:ascii="宋体" w:hAnsi="宋体" w:cs="宋体"/>
                <w:sz w:val="24"/>
              </w:rPr>
              <w:t>c.按要求填报工程量清单中每一个项目的综合单价和合价；</w:t>
            </w:r>
          </w:p>
          <w:p>
            <w:pPr>
              <w:snapToGrid w:val="0"/>
              <w:spacing w:line="240" w:lineRule="auto"/>
              <w:rPr>
                <w:rFonts w:ascii="宋体" w:hAnsi="宋体" w:cs="宋体"/>
                <w:sz w:val="24"/>
              </w:rPr>
            </w:pPr>
            <w:r>
              <w:rPr>
                <w:rFonts w:hint="eastAsia" w:ascii="宋体" w:hAnsi="宋体" w:cs="宋体"/>
                <w:sz w:val="24"/>
              </w:rPr>
              <w:t>d.填报符合要求的工程量清单综合单价分析表；</w:t>
            </w:r>
          </w:p>
          <w:p>
            <w:pPr>
              <w:snapToGrid w:val="0"/>
              <w:spacing w:line="240" w:lineRule="auto"/>
              <w:rPr>
                <w:rFonts w:ascii="宋体" w:hAnsi="宋体" w:cs="宋体"/>
                <w:sz w:val="24"/>
              </w:rPr>
            </w:pPr>
            <w:r>
              <w:rPr>
                <w:rFonts w:hint="eastAsia" w:ascii="宋体" w:hAnsi="宋体" w:cs="宋体"/>
                <w:sz w:val="24"/>
              </w:rPr>
              <w:t>e.安全文明施工费、规费、税金按照相关规定填报；</w:t>
            </w:r>
          </w:p>
          <w:p>
            <w:pPr>
              <w:snapToGrid w:val="0"/>
              <w:spacing w:line="240" w:lineRule="auto"/>
              <w:rPr>
                <w:rFonts w:ascii="宋体" w:hAnsi="宋体" w:cs="宋体"/>
                <w:sz w:val="24"/>
              </w:rPr>
            </w:pPr>
            <w:r>
              <w:rPr>
                <w:rFonts w:hint="eastAsia" w:ascii="宋体" w:hAnsi="宋体" w:cs="宋体"/>
                <w:sz w:val="24"/>
              </w:rPr>
              <w:t>f.准确填报“暂列金额”项；</w:t>
            </w:r>
          </w:p>
          <w:p>
            <w:pPr>
              <w:snapToGrid w:val="0"/>
              <w:spacing w:line="240" w:lineRule="auto"/>
              <w:rPr>
                <w:rFonts w:ascii="宋体" w:hAnsi="宋体" w:cs="宋体"/>
                <w:sz w:val="24"/>
              </w:rPr>
            </w:pPr>
            <w:r>
              <w:rPr>
                <w:rFonts w:hint="eastAsia" w:ascii="宋体" w:hAnsi="宋体" w:cs="宋体"/>
                <w:sz w:val="24"/>
              </w:rPr>
              <w:t>g.准确填报“暂估价”项。</w:t>
            </w:r>
          </w:p>
        </w:tc>
      </w:tr>
    </w:tbl>
    <w:p>
      <w:pPr>
        <w:ind w:firstLine="640" w:firstLineChars="200"/>
        <w:jc w:val="center"/>
        <w:rPr>
          <w:rFonts w:ascii="宋体" w:hAnsi="宋体" w:cs="宋体"/>
          <w:bCs/>
          <w:kern w:val="0"/>
          <w:sz w:val="24"/>
        </w:rPr>
      </w:pPr>
      <w:r>
        <w:rPr>
          <w:rFonts w:hint="eastAsia" w:ascii="宋体" w:hAnsi="宋体" w:cs="宋体"/>
          <w:sz w:val="32"/>
          <w:szCs w:val="32"/>
        </w:rPr>
        <w:br w:type="page"/>
      </w:r>
      <w:r>
        <w:rPr>
          <w:rFonts w:hint="eastAsia" w:ascii="宋体" w:hAnsi="宋体" w:cs="宋体"/>
          <w:sz w:val="32"/>
          <w:szCs w:val="32"/>
        </w:rPr>
        <w:t>施工组织设计评审标准一览表（70分）</w:t>
      </w:r>
    </w:p>
    <w:tbl>
      <w:tblPr>
        <w:tblStyle w:val="48"/>
        <w:tblW w:w="8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65"/>
        <w:gridCol w:w="5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序号</w:t>
            </w:r>
          </w:p>
        </w:tc>
        <w:tc>
          <w:tcPr>
            <w:tcW w:w="2265" w:type="dxa"/>
            <w:vAlign w:val="center"/>
          </w:tcPr>
          <w:p>
            <w:pPr>
              <w:spacing w:line="240" w:lineRule="auto"/>
              <w:jc w:val="center"/>
              <w:rPr>
                <w:rFonts w:ascii="宋体" w:hAnsi="宋体" w:cs="宋体"/>
                <w:sz w:val="24"/>
              </w:rPr>
            </w:pPr>
            <w:r>
              <w:rPr>
                <w:rFonts w:hint="eastAsia" w:ascii="宋体" w:hAnsi="宋体" w:cs="宋体"/>
                <w:sz w:val="24"/>
              </w:rPr>
              <w:t>评分因素</w:t>
            </w:r>
          </w:p>
        </w:tc>
        <w:tc>
          <w:tcPr>
            <w:tcW w:w="5553" w:type="dxa"/>
            <w:vAlign w:val="center"/>
          </w:tcPr>
          <w:p>
            <w:pPr>
              <w:spacing w:line="240" w:lineRule="auto"/>
              <w:jc w:val="center"/>
              <w:rPr>
                <w:rFonts w:ascii="宋体" w:hAnsi="宋体" w:cs="宋体"/>
                <w:sz w:val="24"/>
              </w:rPr>
            </w:pPr>
            <w:r>
              <w:rPr>
                <w:rFonts w:hint="eastAsia" w:ascii="宋体" w:hAnsi="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1</w:t>
            </w:r>
          </w:p>
        </w:tc>
        <w:tc>
          <w:tcPr>
            <w:tcW w:w="2265" w:type="dxa"/>
            <w:vAlign w:val="center"/>
          </w:tcPr>
          <w:p>
            <w:pPr>
              <w:spacing w:line="240" w:lineRule="auto"/>
              <w:jc w:val="center"/>
              <w:rPr>
                <w:rFonts w:ascii="宋体" w:hAnsi="宋体" w:cs="宋体"/>
                <w:sz w:val="24"/>
              </w:rPr>
            </w:pPr>
            <w:r>
              <w:rPr>
                <w:rFonts w:hint="eastAsia" w:ascii="宋体" w:hAnsi="宋体" w:cs="宋体"/>
                <w:sz w:val="24"/>
              </w:rPr>
              <w:t>内容完整性和编制水平（5分）</w:t>
            </w:r>
          </w:p>
        </w:tc>
        <w:tc>
          <w:tcPr>
            <w:tcW w:w="5553" w:type="dxa"/>
          </w:tcPr>
          <w:p>
            <w:pPr>
              <w:spacing w:line="240" w:lineRule="auto"/>
              <w:rPr>
                <w:rFonts w:ascii="宋体" w:hAnsi="宋体" w:cs="宋体"/>
                <w:sz w:val="24"/>
              </w:rPr>
            </w:pPr>
            <w:r>
              <w:rPr>
                <w:rFonts w:hint="eastAsia" w:ascii="宋体" w:hAnsi="宋体" w:cs="宋体"/>
                <w:kern w:val="0"/>
                <w:sz w:val="24"/>
              </w:rPr>
              <w:t>磋商响应文件按磋商文件要求制作、整齐规范完整、页码连续编制、打印无误，内容完整、编制优秀得5分，否则扣0.1-1.5分，以0.1为一个扣分单位，最多扣1.5分。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2</w:t>
            </w:r>
          </w:p>
        </w:tc>
        <w:tc>
          <w:tcPr>
            <w:tcW w:w="2265" w:type="dxa"/>
            <w:vAlign w:val="center"/>
          </w:tcPr>
          <w:p>
            <w:pPr>
              <w:spacing w:line="240" w:lineRule="auto"/>
              <w:jc w:val="center"/>
              <w:rPr>
                <w:rFonts w:ascii="宋体" w:hAnsi="宋体" w:cs="宋体"/>
                <w:sz w:val="24"/>
              </w:rPr>
            </w:pPr>
            <w:r>
              <w:rPr>
                <w:rFonts w:hint="eastAsia" w:ascii="宋体" w:hAnsi="宋体" w:cs="宋体"/>
                <w:sz w:val="24"/>
              </w:rPr>
              <w:t>各分部分项工程的主要施工方法及季节施工、防火等各项保护措施（15分）</w:t>
            </w:r>
          </w:p>
        </w:tc>
        <w:tc>
          <w:tcPr>
            <w:tcW w:w="5553" w:type="dxa"/>
            <w:vAlign w:val="center"/>
          </w:tcPr>
          <w:p>
            <w:pPr>
              <w:spacing w:line="240" w:lineRule="auto"/>
              <w:rPr>
                <w:rFonts w:ascii="宋体" w:hAnsi="宋体" w:cs="宋体"/>
                <w:sz w:val="24"/>
              </w:rPr>
            </w:pPr>
            <w:r>
              <w:rPr>
                <w:rFonts w:hint="eastAsia" w:ascii="宋体" w:hAnsi="宋体" w:cs="宋体"/>
                <w:sz w:val="24"/>
              </w:rPr>
              <w:t>各分部分项工程的主要施工方法齐全、完善及季节施工、防火等各项保护措施合理得15分，方法不齐全、措施不完善的扣0.1-5分，</w:t>
            </w:r>
            <w:r>
              <w:rPr>
                <w:rFonts w:hint="eastAsia" w:ascii="宋体" w:hAnsi="宋体" w:cs="宋体"/>
                <w:kern w:val="0"/>
                <w:sz w:val="24"/>
              </w:rPr>
              <w:t>以0.1为一个扣分单位，最多扣5分，</w:t>
            </w:r>
            <w:r>
              <w:rPr>
                <w:rFonts w:hint="eastAsia" w:ascii="宋体" w:hAnsi="宋体" w:cs="宋体"/>
                <w:sz w:val="24"/>
              </w:rPr>
              <w:t>无方法措施0分。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3</w:t>
            </w:r>
          </w:p>
        </w:tc>
        <w:tc>
          <w:tcPr>
            <w:tcW w:w="2265" w:type="dxa"/>
            <w:vAlign w:val="center"/>
          </w:tcPr>
          <w:p>
            <w:pPr>
              <w:spacing w:line="240" w:lineRule="auto"/>
              <w:jc w:val="center"/>
              <w:rPr>
                <w:rFonts w:ascii="宋体" w:hAnsi="宋体" w:cs="宋体"/>
                <w:sz w:val="24"/>
              </w:rPr>
            </w:pPr>
            <w:r>
              <w:rPr>
                <w:rFonts w:hint="eastAsia" w:ascii="宋体" w:hAnsi="宋体" w:cs="宋体"/>
                <w:sz w:val="24"/>
              </w:rPr>
              <w:t>投入的主要施工机械设备情况、主要施工机械进场计划</w:t>
            </w:r>
          </w:p>
          <w:p>
            <w:pPr>
              <w:spacing w:line="240" w:lineRule="auto"/>
              <w:jc w:val="center"/>
              <w:rPr>
                <w:rFonts w:ascii="宋体" w:hAnsi="宋体" w:cs="宋体"/>
                <w:sz w:val="24"/>
              </w:rPr>
            </w:pPr>
            <w:r>
              <w:rPr>
                <w:rFonts w:hint="eastAsia" w:ascii="宋体" w:hAnsi="宋体" w:cs="宋体"/>
                <w:sz w:val="24"/>
              </w:rPr>
              <w:t>（7分）</w:t>
            </w:r>
          </w:p>
        </w:tc>
        <w:tc>
          <w:tcPr>
            <w:tcW w:w="5553" w:type="dxa"/>
            <w:vAlign w:val="center"/>
          </w:tcPr>
          <w:p>
            <w:pPr>
              <w:spacing w:line="240" w:lineRule="auto"/>
              <w:rPr>
                <w:rFonts w:ascii="宋体" w:hAnsi="宋体" w:cs="宋体"/>
                <w:sz w:val="24"/>
              </w:rPr>
            </w:pPr>
            <w:r>
              <w:rPr>
                <w:rFonts w:hint="eastAsia" w:ascii="宋体" w:hAnsi="宋体" w:cs="宋体"/>
                <w:sz w:val="24"/>
              </w:rPr>
              <w:t>投入的主要施工机械设备齐全、主要施工机械进场计划合理得7分，设备不齐全、计划不合理的扣0.1-3分，</w:t>
            </w:r>
            <w:r>
              <w:rPr>
                <w:rFonts w:hint="eastAsia" w:ascii="宋体" w:hAnsi="宋体" w:cs="宋体"/>
                <w:kern w:val="0"/>
                <w:sz w:val="24"/>
              </w:rPr>
              <w:t>以0.1为一个扣分单位，最多扣3分，</w:t>
            </w:r>
            <w:r>
              <w:rPr>
                <w:rFonts w:hint="eastAsia" w:ascii="宋体" w:hAnsi="宋体" w:cs="宋体"/>
                <w:sz w:val="24"/>
              </w:rPr>
              <w:t>无机械配备及进场计划0分。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4</w:t>
            </w:r>
          </w:p>
        </w:tc>
        <w:tc>
          <w:tcPr>
            <w:tcW w:w="2265" w:type="dxa"/>
            <w:vAlign w:val="center"/>
          </w:tcPr>
          <w:p>
            <w:pPr>
              <w:spacing w:line="240" w:lineRule="auto"/>
              <w:jc w:val="center"/>
              <w:rPr>
                <w:rFonts w:ascii="宋体" w:hAnsi="宋体" w:cs="宋体"/>
                <w:sz w:val="24"/>
              </w:rPr>
            </w:pPr>
            <w:r>
              <w:rPr>
                <w:rFonts w:hint="eastAsia" w:ascii="宋体" w:hAnsi="宋体" w:cs="宋体"/>
                <w:sz w:val="24"/>
              </w:rPr>
              <w:t>劳动力安排计划</w:t>
            </w:r>
          </w:p>
          <w:p>
            <w:pPr>
              <w:spacing w:line="240" w:lineRule="auto"/>
              <w:jc w:val="center"/>
              <w:rPr>
                <w:rFonts w:ascii="宋体" w:hAnsi="宋体" w:cs="宋体"/>
                <w:sz w:val="24"/>
              </w:rPr>
            </w:pPr>
            <w:r>
              <w:rPr>
                <w:rFonts w:hint="eastAsia" w:ascii="宋体" w:hAnsi="宋体" w:cs="宋体"/>
                <w:sz w:val="24"/>
              </w:rPr>
              <w:t>（7分）</w:t>
            </w:r>
          </w:p>
        </w:tc>
        <w:tc>
          <w:tcPr>
            <w:tcW w:w="5553" w:type="dxa"/>
            <w:vAlign w:val="center"/>
          </w:tcPr>
          <w:p>
            <w:pPr>
              <w:spacing w:line="240" w:lineRule="auto"/>
              <w:rPr>
                <w:rFonts w:ascii="宋体" w:hAnsi="宋体" w:cs="宋体"/>
                <w:sz w:val="24"/>
              </w:rPr>
            </w:pPr>
            <w:r>
              <w:rPr>
                <w:rFonts w:hint="eastAsia" w:ascii="宋体" w:hAnsi="宋体" w:cs="宋体"/>
                <w:sz w:val="24"/>
              </w:rPr>
              <w:t>劳动力安排计划合理得7分，计划不合理的扣0.1-3分，</w:t>
            </w:r>
            <w:r>
              <w:rPr>
                <w:rFonts w:hint="eastAsia" w:ascii="宋体" w:hAnsi="宋体" w:cs="宋体"/>
                <w:kern w:val="0"/>
                <w:sz w:val="24"/>
              </w:rPr>
              <w:t>以0.1为一个扣分单位，最多扣3分，</w:t>
            </w:r>
            <w:r>
              <w:rPr>
                <w:rFonts w:hint="eastAsia" w:ascii="宋体" w:hAnsi="宋体" w:cs="宋体"/>
                <w:sz w:val="24"/>
              </w:rPr>
              <w:t>无计划0分。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5</w:t>
            </w:r>
          </w:p>
        </w:tc>
        <w:tc>
          <w:tcPr>
            <w:tcW w:w="2265" w:type="dxa"/>
            <w:vAlign w:val="center"/>
          </w:tcPr>
          <w:p>
            <w:pPr>
              <w:spacing w:line="240" w:lineRule="auto"/>
              <w:jc w:val="center"/>
              <w:rPr>
                <w:rFonts w:ascii="宋体" w:hAnsi="宋体" w:cs="宋体"/>
                <w:sz w:val="24"/>
              </w:rPr>
            </w:pPr>
            <w:r>
              <w:rPr>
                <w:rFonts w:hint="eastAsia" w:ascii="宋体" w:hAnsi="宋体" w:cs="宋体"/>
                <w:sz w:val="24"/>
              </w:rPr>
              <w:t>确保工程质量的技术组织措施（7分）</w:t>
            </w:r>
          </w:p>
        </w:tc>
        <w:tc>
          <w:tcPr>
            <w:tcW w:w="5553" w:type="dxa"/>
            <w:vAlign w:val="center"/>
          </w:tcPr>
          <w:p>
            <w:pPr>
              <w:spacing w:line="240" w:lineRule="auto"/>
              <w:rPr>
                <w:rFonts w:ascii="宋体" w:hAnsi="宋体" w:cs="宋体"/>
                <w:sz w:val="24"/>
              </w:rPr>
            </w:pPr>
            <w:r>
              <w:rPr>
                <w:rFonts w:hint="eastAsia" w:ascii="宋体" w:hAnsi="宋体" w:cs="宋体"/>
                <w:sz w:val="24"/>
              </w:rPr>
              <w:t>工程质量的技术组织措施完善7分，措施不完善的扣0.1-3分，</w:t>
            </w:r>
            <w:r>
              <w:rPr>
                <w:rFonts w:hint="eastAsia" w:ascii="宋体" w:hAnsi="宋体" w:cs="宋体"/>
                <w:kern w:val="0"/>
                <w:sz w:val="24"/>
              </w:rPr>
              <w:t>以0.1为一个扣分单位，最多扣3分，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6</w:t>
            </w:r>
          </w:p>
        </w:tc>
        <w:tc>
          <w:tcPr>
            <w:tcW w:w="2265" w:type="dxa"/>
            <w:vAlign w:val="center"/>
          </w:tcPr>
          <w:p>
            <w:pPr>
              <w:spacing w:line="240" w:lineRule="auto"/>
              <w:jc w:val="center"/>
              <w:rPr>
                <w:rFonts w:ascii="宋体" w:hAnsi="宋体" w:cs="宋体"/>
                <w:sz w:val="24"/>
              </w:rPr>
            </w:pPr>
            <w:r>
              <w:rPr>
                <w:rFonts w:hint="eastAsia" w:ascii="宋体" w:hAnsi="宋体" w:cs="宋体"/>
                <w:sz w:val="24"/>
              </w:rPr>
              <w:t>确保安全生产的技术组织措施（7分）</w:t>
            </w:r>
          </w:p>
        </w:tc>
        <w:tc>
          <w:tcPr>
            <w:tcW w:w="5553" w:type="dxa"/>
            <w:vAlign w:val="center"/>
          </w:tcPr>
          <w:p>
            <w:pPr>
              <w:spacing w:line="240" w:lineRule="auto"/>
              <w:rPr>
                <w:rFonts w:ascii="宋体" w:hAnsi="宋体" w:cs="宋体"/>
                <w:sz w:val="24"/>
              </w:rPr>
            </w:pPr>
            <w:r>
              <w:rPr>
                <w:rFonts w:hint="eastAsia" w:ascii="宋体" w:hAnsi="宋体" w:cs="宋体"/>
                <w:sz w:val="24"/>
              </w:rPr>
              <w:t>安全生产的技术组织措施完善7分，措施不完善的扣0.1-3分，</w:t>
            </w:r>
            <w:r>
              <w:rPr>
                <w:rFonts w:hint="eastAsia" w:ascii="宋体" w:hAnsi="宋体" w:cs="宋体"/>
                <w:kern w:val="0"/>
                <w:sz w:val="24"/>
              </w:rPr>
              <w:t>以0.1为一个扣分单位，最多扣3分，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7</w:t>
            </w:r>
          </w:p>
        </w:tc>
        <w:tc>
          <w:tcPr>
            <w:tcW w:w="2265" w:type="dxa"/>
            <w:vAlign w:val="center"/>
          </w:tcPr>
          <w:p>
            <w:pPr>
              <w:spacing w:line="240" w:lineRule="auto"/>
              <w:jc w:val="center"/>
              <w:rPr>
                <w:rFonts w:ascii="宋体" w:hAnsi="宋体" w:cs="宋体"/>
                <w:sz w:val="24"/>
              </w:rPr>
            </w:pPr>
            <w:r>
              <w:rPr>
                <w:rFonts w:hint="eastAsia" w:ascii="宋体" w:hAnsi="宋体" w:cs="宋体"/>
                <w:sz w:val="24"/>
              </w:rPr>
              <w:t>确保文明施工、环保的技术组织措施</w:t>
            </w:r>
          </w:p>
          <w:p>
            <w:pPr>
              <w:spacing w:line="240" w:lineRule="auto"/>
              <w:jc w:val="center"/>
              <w:rPr>
                <w:rFonts w:ascii="宋体" w:hAnsi="宋体" w:cs="宋体"/>
                <w:sz w:val="24"/>
              </w:rPr>
            </w:pPr>
            <w:r>
              <w:rPr>
                <w:rFonts w:hint="eastAsia" w:ascii="宋体" w:hAnsi="宋体" w:cs="宋体"/>
                <w:sz w:val="24"/>
              </w:rPr>
              <w:t>（7分）</w:t>
            </w:r>
          </w:p>
        </w:tc>
        <w:tc>
          <w:tcPr>
            <w:tcW w:w="5553" w:type="dxa"/>
            <w:vAlign w:val="center"/>
          </w:tcPr>
          <w:p>
            <w:pPr>
              <w:spacing w:line="240" w:lineRule="auto"/>
              <w:rPr>
                <w:rFonts w:ascii="宋体" w:hAnsi="宋体" w:cs="宋体"/>
                <w:sz w:val="24"/>
              </w:rPr>
            </w:pPr>
            <w:r>
              <w:rPr>
                <w:rFonts w:hint="eastAsia" w:ascii="宋体" w:hAnsi="宋体" w:cs="宋体"/>
                <w:sz w:val="24"/>
              </w:rPr>
              <w:t>文明施工、环保的技术组织措施完善7分，措施不完善的扣0.1-3分，</w:t>
            </w:r>
            <w:r>
              <w:rPr>
                <w:rFonts w:hint="eastAsia" w:ascii="宋体" w:hAnsi="宋体" w:cs="宋体"/>
                <w:kern w:val="0"/>
                <w:sz w:val="24"/>
              </w:rPr>
              <w:t>以0.1为一个扣分单位，最多扣3分，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8</w:t>
            </w:r>
          </w:p>
        </w:tc>
        <w:tc>
          <w:tcPr>
            <w:tcW w:w="2265" w:type="dxa"/>
            <w:vAlign w:val="center"/>
          </w:tcPr>
          <w:p>
            <w:pPr>
              <w:spacing w:line="240" w:lineRule="auto"/>
              <w:jc w:val="center"/>
              <w:rPr>
                <w:rFonts w:ascii="宋体" w:hAnsi="宋体" w:cs="宋体"/>
                <w:sz w:val="24"/>
              </w:rPr>
            </w:pPr>
            <w:r>
              <w:rPr>
                <w:rFonts w:hint="eastAsia" w:ascii="宋体" w:hAnsi="宋体" w:cs="宋体"/>
                <w:sz w:val="24"/>
              </w:rPr>
              <w:t>确保工期的技术组织措施（3分）</w:t>
            </w:r>
          </w:p>
        </w:tc>
        <w:tc>
          <w:tcPr>
            <w:tcW w:w="5553" w:type="dxa"/>
            <w:vAlign w:val="center"/>
          </w:tcPr>
          <w:p>
            <w:pPr>
              <w:spacing w:line="240" w:lineRule="auto"/>
              <w:rPr>
                <w:rFonts w:ascii="宋体" w:hAnsi="宋体" w:cs="宋体"/>
                <w:sz w:val="24"/>
              </w:rPr>
            </w:pPr>
            <w:r>
              <w:rPr>
                <w:rFonts w:hint="eastAsia" w:ascii="宋体" w:hAnsi="宋体" w:cs="宋体"/>
                <w:sz w:val="24"/>
              </w:rPr>
              <w:t>工期的技术组织措施完善得3分，措施不完善的扣0.1-1分，</w:t>
            </w:r>
            <w:r>
              <w:rPr>
                <w:rFonts w:hint="eastAsia" w:ascii="宋体" w:hAnsi="宋体" w:cs="宋体"/>
                <w:kern w:val="0"/>
                <w:sz w:val="24"/>
              </w:rPr>
              <w:t>以0.1为一个扣分单位，最多扣1分，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9</w:t>
            </w:r>
          </w:p>
        </w:tc>
        <w:tc>
          <w:tcPr>
            <w:tcW w:w="2265" w:type="dxa"/>
            <w:vAlign w:val="center"/>
          </w:tcPr>
          <w:p>
            <w:pPr>
              <w:spacing w:line="240" w:lineRule="auto"/>
              <w:jc w:val="center"/>
              <w:rPr>
                <w:rFonts w:ascii="宋体" w:hAnsi="宋体" w:cs="宋体"/>
                <w:sz w:val="24"/>
              </w:rPr>
            </w:pPr>
            <w:r>
              <w:rPr>
                <w:rFonts w:hint="eastAsia" w:ascii="宋体" w:hAnsi="宋体" w:cs="宋体"/>
                <w:sz w:val="24"/>
              </w:rPr>
              <w:t>各分项工程的技术、安全措施（7分）</w:t>
            </w:r>
          </w:p>
        </w:tc>
        <w:tc>
          <w:tcPr>
            <w:tcW w:w="5553" w:type="dxa"/>
            <w:vAlign w:val="center"/>
          </w:tcPr>
          <w:p>
            <w:pPr>
              <w:spacing w:line="240" w:lineRule="auto"/>
              <w:rPr>
                <w:rFonts w:ascii="宋体" w:hAnsi="宋体" w:cs="宋体"/>
                <w:sz w:val="24"/>
              </w:rPr>
            </w:pPr>
            <w:r>
              <w:rPr>
                <w:rFonts w:hint="eastAsia" w:ascii="宋体" w:hAnsi="宋体" w:cs="宋体"/>
                <w:sz w:val="24"/>
              </w:rPr>
              <w:t>各分项工程的技术、安全措施全面、人员配备合理得7分，措施不全面、不合理扣0.1-3分，</w:t>
            </w:r>
            <w:r>
              <w:rPr>
                <w:rFonts w:hint="eastAsia" w:ascii="宋体" w:hAnsi="宋体" w:cs="宋体"/>
                <w:kern w:val="0"/>
                <w:sz w:val="24"/>
              </w:rPr>
              <w:t>以0.1为一个扣分单位，最多扣3分，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Merge w:val="restart"/>
            <w:vAlign w:val="center"/>
          </w:tcPr>
          <w:p>
            <w:pPr>
              <w:spacing w:line="240" w:lineRule="auto"/>
              <w:jc w:val="center"/>
              <w:rPr>
                <w:rFonts w:ascii="宋体" w:hAnsi="宋体" w:cs="宋体"/>
                <w:sz w:val="24"/>
              </w:rPr>
            </w:pPr>
            <w:r>
              <w:rPr>
                <w:rFonts w:hint="eastAsia" w:ascii="宋体" w:hAnsi="宋体" w:cs="宋体"/>
                <w:sz w:val="24"/>
              </w:rPr>
              <w:t>10</w:t>
            </w:r>
          </w:p>
        </w:tc>
        <w:tc>
          <w:tcPr>
            <w:tcW w:w="2265" w:type="dxa"/>
            <w:vMerge w:val="restart"/>
            <w:vAlign w:val="center"/>
          </w:tcPr>
          <w:p>
            <w:pPr>
              <w:spacing w:line="240" w:lineRule="auto"/>
              <w:jc w:val="center"/>
              <w:rPr>
                <w:rFonts w:ascii="宋体" w:hAnsi="宋体" w:cs="宋体"/>
                <w:sz w:val="24"/>
              </w:rPr>
            </w:pPr>
            <w:r>
              <w:rPr>
                <w:rFonts w:hint="eastAsia" w:ascii="宋体" w:hAnsi="宋体" w:cs="宋体"/>
                <w:sz w:val="24"/>
              </w:rPr>
              <w:t>防疫措施（5分）</w:t>
            </w:r>
          </w:p>
        </w:tc>
        <w:tc>
          <w:tcPr>
            <w:tcW w:w="5553" w:type="dxa"/>
            <w:vAlign w:val="center"/>
          </w:tcPr>
          <w:p>
            <w:pPr>
              <w:spacing w:line="240" w:lineRule="auto"/>
              <w:rPr>
                <w:rFonts w:ascii="宋体" w:hAnsi="宋体" w:cs="宋体"/>
                <w:sz w:val="24"/>
              </w:rPr>
            </w:pPr>
            <w:r>
              <w:rPr>
                <w:rFonts w:hint="eastAsia" w:ascii="宋体" w:hAnsi="宋体" w:cs="宋体"/>
                <w:sz w:val="24"/>
              </w:rPr>
              <w:t>供应商成立以项目经理为负责人的防疫领导小组，需向采购人提交关于防疫工作的《承诺书》得2分，无承诺不得分。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Merge w:val="continue"/>
            <w:vAlign w:val="center"/>
          </w:tcPr>
          <w:p>
            <w:pPr>
              <w:spacing w:line="240" w:lineRule="auto"/>
              <w:jc w:val="center"/>
              <w:rPr>
                <w:rFonts w:ascii="宋体" w:hAnsi="宋体" w:cs="宋体"/>
                <w:sz w:val="24"/>
              </w:rPr>
            </w:pPr>
          </w:p>
        </w:tc>
        <w:tc>
          <w:tcPr>
            <w:tcW w:w="2265" w:type="dxa"/>
            <w:vMerge w:val="continue"/>
            <w:vAlign w:val="center"/>
          </w:tcPr>
          <w:p>
            <w:pPr>
              <w:spacing w:line="240" w:lineRule="auto"/>
              <w:jc w:val="center"/>
              <w:rPr>
                <w:rFonts w:ascii="宋体" w:hAnsi="宋体" w:cs="宋体"/>
                <w:sz w:val="24"/>
              </w:rPr>
            </w:pPr>
          </w:p>
        </w:tc>
        <w:tc>
          <w:tcPr>
            <w:tcW w:w="5553" w:type="dxa"/>
            <w:vAlign w:val="center"/>
          </w:tcPr>
          <w:p>
            <w:pPr>
              <w:spacing w:line="240" w:lineRule="auto"/>
              <w:rPr>
                <w:rFonts w:ascii="宋体" w:hAnsi="宋体" w:cs="宋体"/>
                <w:sz w:val="24"/>
              </w:rPr>
            </w:pPr>
            <w:r>
              <w:rPr>
                <w:rFonts w:hint="eastAsia" w:ascii="宋体" w:hAnsi="宋体" w:cs="宋体"/>
                <w:sz w:val="24"/>
              </w:rPr>
              <w:t>供应商制定防疫管理措施及工作方案，得3分，措施不全面、不合理扣0.1-1分，</w:t>
            </w:r>
            <w:r>
              <w:rPr>
                <w:rFonts w:hint="eastAsia" w:ascii="宋体" w:hAnsi="宋体" w:cs="宋体"/>
                <w:kern w:val="0"/>
                <w:sz w:val="24"/>
              </w:rPr>
              <w:t>以0.1为一个扣分单位，最多扣1分，</w:t>
            </w:r>
            <w:r>
              <w:rPr>
                <w:rFonts w:hint="eastAsia" w:ascii="宋体" w:hAnsi="宋体" w:cs="宋体"/>
                <w:sz w:val="24"/>
              </w:rPr>
              <w:t>无措施0分。</w:t>
            </w:r>
          </w:p>
        </w:tc>
      </w:tr>
    </w:tbl>
    <w:p>
      <w:pPr>
        <w:snapToGrid w:val="0"/>
        <w:jc w:val="center"/>
        <w:rPr>
          <w:rFonts w:ascii="宋体" w:hAnsi="宋体" w:cs="宋体"/>
          <w:sz w:val="32"/>
          <w:szCs w:val="32"/>
        </w:rPr>
      </w:pPr>
      <w:r>
        <w:rPr>
          <w:rFonts w:hint="eastAsia" w:ascii="宋体" w:hAnsi="宋体" w:cs="宋体"/>
          <w:sz w:val="32"/>
          <w:szCs w:val="32"/>
        </w:rPr>
        <w:br w:type="page"/>
      </w:r>
      <w:r>
        <w:rPr>
          <w:rFonts w:hint="eastAsia" w:ascii="宋体" w:hAnsi="宋体" w:cs="宋体"/>
          <w:sz w:val="32"/>
          <w:szCs w:val="32"/>
        </w:rPr>
        <w:t>最后报价评审标准一览表（30分）</w:t>
      </w:r>
    </w:p>
    <w:tbl>
      <w:tblPr>
        <w:tblStyle w:val="48"/>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kern w:val="0"/>
                <w:sz w:val="24"/>
              </w:rPr>
            </w:pPr>
            <w:r>
              <w:rPr>
                <w:rFonts w:hint="eastAsia" w:ascii="宋体" w:hAnsi="宋体" w:cs="宋体"/>
                <w:kern w:val="0"/>
                <w:sz w:val="24"/>
              </w:rPr>
              <w:t>评审因素</w:t>
            </w:r>
          </w:p>
        </w:tc>
        <w:tc>
          <w:tcPr>
            <w:tcW w:w="6360" w:type="dxa"/>
            <w:tcBorders>
              <w:top w:val="single" w:color="auto" w:sz="4" w:space="0"/>
              <w:left w:val="single" w:color="auto" w:sz="4" w:space="0"/>
              <w:bottom w:val="single" w:color="auto" w:sz="4" w:space="0"/>
              <w:right w:val="single" w:color="auto" w:sz="4" w:space="0"/>
            </w:tcBorders>
            <w:vAlign w:val="center"/>
          </w:tcPr>
          <w:p>
            <w:pPr>
              <w:pStyle w:val="25"/>
              <w:snapToGrid w:val="0"/>
              <w:jc w:val="center"/>
              <w:rPr>
                <w:rFonts w:hAnsi="宋体" w:cs="宋体"/>
                <w:kern w:val="0"/>
                <w:sz w:val="24"/>
                <w:szCs w:val="24"/>
              </w:rPr>
            </w:pPr>
            <w:r>
              <w:rPr>
                <w:rFonts w:hint="eastAsia" w:hAnsi="宋体" w:cs="宋体"/>
                <w:kern w:val="0"/>
                <w:sz w:val="24"/>
                <w:szCs w:val="24"/>
              </w:rPr>
              <w:t>评审分值计算方法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57" w:type="dxa"/>
            <w:tcBorders>
              <w:top w:val="single" w:color="auto" w:sz="4" w:space="0"/>
              <w:left w:val="single" w:color="auto" w:sz="4" w:space="0"/>
              <w:bottom w:val="single" w:color="auto" w:sz="4" w:space="0"/>
              <w:right w:val="single" w:color="auto" w:sz="4" w:space="0"/>
            </w:tcBorders>
            <w:vAlign w:val="center"/>
          </w:tcPr>
          <w:p>
            <w:pPr>
              <w:pStyle w:val="25"/>
              <w:snapToGrid w:val="0"/>
              <w:rPr>
                <w:rFonts w:hAnsi="宋体" w:cs="宋体"/>
                <w:kern w:val="0"/>
                <w:sz w:val="24"/>
              </w:rPr>
            </w:pPr>
            <w:r>
              <w:rPr>
                <w:rFonts w:hint="eastAsia" w:hAnsi="宋体" w:cs="宋体"/>
                <w:kern w:val="0"/>
                <w:sz w:val="24"/>
                <w:szCs w:val="24"/>
              </w:rPr>
              <w:t>最后报价（30分）</w:t>
            </w:r>
          </w:p>
        </w:tc>
        <w:tc>
          <w:tcPr>
            <w:tcW w:w="636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both"/>
              <w:rPr>
                <w:rFonts w:ascii="宋体" w:hAnsi="宋体" w:cs="宋体"/>
                <w:kern w:val="0"/>
                <w:sz w:val="24"/>
              </w:rPr>
            </w:pPr>
            <w:r>
              <w:rPr>
                <w:rFonts w:hint="eastAsia" w:ascii="宋体" w:hAnsi="宋体" w:cs="宋体"/>
                <w:kern w:val="0"/>
                <w:sz w:val="24"/>
              </w:rPr>
              <w:t>最后报价的分值计算采用低价优先法，即满足磋商文件实质性要求且最后报价最低的报价为磋商基准价，其价格分为满分，其他供应商的最后报价分值统一按下列公式计算：</w:t>
            </w:r>
          </w:p>
          <w:p>
            <w:pPr>
              <w:spacing w:line="240" w:lineRule="auto"/>
              <w:jc w:val="both"/>
              <w:rPr>
                <w:rFonts w:ascii="宋体" w:hAnsi="宋体" w:cs="宋体"/>
                <w:kern w:val="0"/>
                <w:sz w:val="24"/>
              </w:rPr>
            </w:pPr>
            <w:r>
              <w:rPr>
                <w:rFonts w:hint="eastAsia" w:ascii="宋体" w:hAnsi="宋体" w:cs="宋体"/>
                <w:kern w:val="0"/>
                <w:sz w:val="24"/>
              </w:rPr>
              <w:t>磋商报价得分=(磋商基准价／最后磋商报价)×30（计算结果均保留两位小数）</w:t>
            </w:r>
          </w:p>
        </w:tc>
      </w:tr>
    </w:tbl>
    <w:p>
      <w:pPr>
        <w:rPr>
          <w:rFonts w:ascii="宋体" w:hAnsi="宋体" w:cs="宋体"/>
          <w:sz w:val="24"/>
        </w:rPr>
      </w:pPr>
      <w:r>
        <w:rPr>
          <w:rFonts w:hint="eastAsia" w:ascii="宋体" w:hAnsi="宋体" w:cs="宋体"/>
          <w:sz w:val="24"/>
        </w:rPr>
        <w:t xml:space="preserve">18.2 </w:t>
      </w:r>
      <w:r>
        <w:rPr>
          <w:rFonts w:hint="eastAsia" w:ascii="宋体" w:hAnsi="宋体" w:cs="宋体"/>
          <w:bCs/>
          <w:kern w:val="0"/>
          <w:sz w:val="24"/>
          <w:szCs w:val="20"/>
        </w:rPr>
        <w:t>确定成交供应商的原则</w:t>
      </w:r>
    </w:p>
    <w:p>
      <w:pPr>
        <w:rPr>
          <w:rFonts w:ascii="宋体" w:hAnsi="宋体" w:cs="宋体"/>
          <w:sz w:val="24"/>
        </w:rPr>
      </w:pPr>
      <w:r>
        <w:rPr>
          <w:rFonts w:hint="eastAsia" w:ascii="宋体" w:hAnsi="宋体" w:cs="宋体"/>
          <w:sz w:val="24"/>
        </w:rPr>
        <w:t>依据磋商小组推荐的成交候选供应商排序，按照由高到低的原则确定成交供应商。</w:t>
      </w:r>
    </w:p>
    <w:p>
      <w:pPr>
        <w:pStyle w:val="4"/>
        <w:adjustRightInd w:val="0"/>
        <w:spacing w:before="0" w:after="0" w:line="300" w:lineRule="auto"/>
        <w:textAlignment w:val="baseline"/>
        <w:rPr>
          <w:rFonts w:ascii="宋体" w:hAnsi="宋体" w:eastAsia="宋体" w:cs="宋体"/>
          <w:bCs w:val="0"/>
          <w:kern w:val="0"/>
          <w:sz w:val="24"/>
          <w:szCs w:val="20"/>
        </w:rPr>
      </w:pPr>
      <w:bookmarkStart w:id="1072" w:name="_Toc11323"/>
      <w:bookmarkStart w:id="1073" w:name="_Toc20398"/>
      <w:bookmarkStart w:id="1074" w:name="_Toc12867"/>
      <w:bookmarkStart w:id="1075" w:name="_Toc16918"/>
      <w:bookmarkStart w:id="1076" w:name="_Toc11691"/>
      <w:bookmarkStart w:id="1077" w:name="_Toc26315"/>
      <w:bookmarkStart w:id="1078" w:name="_Toc15562"/>
      <w:bookmarkStart w:id="1079" w:name="_Toc19156"/>
      <w:bookmarkStart w:id="1080" w:name="_Toc24429"/>
      <w:bookmarkStart w:id="1081" w:name="_Toc23377"/>
      <w:bookmarkStart w:id="1082" w:name="_Toc23581"/>
      <w:bookmarkStart w:id="1083" w:name="_Toc12049297"/>
      <w:bookmarkStart w:id="1084" w:name="_Toc15237"/>
      <w:bookmarkStart w:id="1085" w:name="_Toc18984"/>
      <w:bookmarkStart w:id="1086" w:name="_Toc17790"/>
      <w:bookmarkStart w:id="1087" w:name="_Toc11953"/>
      <w:bookmarkStart w:id="1088" w:name="_Toc32654"/>
      <w:bookmarkStart w:id="1089" w:name="_Toc25624"/>
      <w:bookmarkStart w:id="1090" w:name="_Toc9697"/>
      <w:bookmarkStart w:id="1091" w:name="_Toc15120"/>
      <w:bookmarkStart w:id="1092" w:name="_Toc6295"/>
      <w:bookmarkStart w:id="1093" w:name="_Toc10779"/>
      <w:bookmarkStart w:id="1094" w:name="_Toc14763"/>
      <w:bookmarkStart w:id="1095" w:name="_Toc578"/>
      <w:bookmarkStart w:id="1096" w:name="_Toc16842"/>
      <w:bookmarkStart w:id="1097" w:name="_Toc31136"/>
      <w:bookmarkStart w:id="1098" w:name="_Toc29918"/>
      <w:bookmarkStart w:id="1099" w:name="_Toc23016"/>
      <w:bookmarkStart w:id="1100" w:name="_Toc1477"/>
      <w:bookmarkStart w:id="1101" w:name="_Toc13567"/>
      <w:bookmarkStart w:id="1102" w:name="_Toc23738"/>
      <w:bookmarkStart w:id="1103" w:name="_Toc30259"/>
      <w:bookmarkStart w:id="1104" w:name="_Toc6006"/>
      <w:bookmarkStart w:id="1105" w:name="_Toc22587"/>
      <w:bookmarkStart w:id="1106" w:name="_Toc726"/>
      <w:bookmarkStart w:id="1107" w:name="_Toc32644"/>
      <w:bookmarkStart w:id="1108" w:name="_Toc1590"/>
      <w:bookmarkStart w:id="1109" w:name="_Toc17227"/>
      <w:bookmarkStart w:id="1110" w:name="_Toc18499"/>
      <w:bookmarkStart w:id="1111" w:name="_Toc14492"/>
      <w:bookmarkStart w:id="1112" w:name="_Toc31599"/>
      <w:bookmarkStart w:id="1113" w:name="_Toc23819"/>
      <w:bookmarkStart w:id="1114" w:name="_Toc1823"/>
      <w:bookmarkStart w:id="1115" w:name="_Toc913"/>
      <w:bookmarkStart w:id="1116" w:name="_Toc20225"/>
      <w:bookmarkStart w:id="1117" w:name="_Toc12057"/>
      <w:r>
        <w:rPr>
          <w:rFonts w:hint="eastAsia" w:ascii="宋体" w:hAnsi="宋体" w:eastAsia="宋体" w:cs="宋体"/>
          <w:bCs w:val="0"/>
          <w:kern w:val="0"/>
          <w:sz w:val="24"/>
          <w:szCs w:val="20"/>
        </w:rPr>
        <w:t>19. 保密及其它注意事项</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rPr>
          <w:rFonts w:ascii="宋体" w:hAnsi="宋体" w:cs="宋体"/>
          <w:sz w:val="24"/>
        </w:rPr>
      </w:pPr>
      <w:r>
        <w:rPr>
          <w:rFonts w:hint="eastAsia" w:ascii="宋体" w:hAnsi="宋体" w:cs="宋体"/>
          <w:sz w:val="24"/>
        </w:rPr>
        <w:t>19.1从磋商开始直到授予供应商合同止，凡是属于审查、澄清和比较供应商的有关资料以及成交意向等，均不得向供应商或其他无关的人员透露。</w:t>
      </w:r>
    </w:p>
    <w:p>
      <w:pPr>
        <w:rPr>
          <w:rFonts w:ascii="宋体" w:hAnsi="宋体" w:cs="宋体"/>
          <w:sz w:val="24"/>
        </w:rPr>
      </w:pPr>
      <w:r>
        <w:rPr>
          <w:rFonts w:hint="eastAsia" w:ascii="宋体" w:hAnsi="宋体" w:cs="宋体"/>
          <w:sz w:val="24"/>
        </w:rPr>
        <w:t>19.2在磋商期间，供应商企图影响磋商方向的任何活动，将导致报价被拒绝，并承担相应的法律责任。</w:t>
      </w:r>
    </w:p>
    <w:p>
      <w:pPr>
        <w:pStyle w:val="2"/>
        <w:numPr>
          <w:ilvl w:val="1"/>
          <w:numId w:val="0"/>
        </w:numPr>
        <w:spacing w:before="0" w:after="0"/>
        <w:rPr>
          <w:rFonts w:ascii="宋体" w:hAnsi="宋体" w:eastAsia="宋体" w:cs="宋体"/>
        </w:rPr>
      </w:pPr>
      <w:bookmarkStart w:id="1118" w:name="_Toc13523"/>
      <w:bookmarkStart w:id="1119" w:name="_Toc11597"/>
      <w:bookmarkStart w:id="1120" w:name="_Toc31854"/>
      <w:bookmarkStart w:id="1121" w:name="_Toc5259"/>
      <w:bookmarkStart w:id="1122" w:name="_Toc26491"/>
      <w:bookmarkStart w:id="1123" w:name="_Toc4834"/>
      <w:bookmarkStart w:id="1124" w:name="_Toc6241"/>
      <w:bookmarkStart w:id="1125" w:name="_Toc24869"/>
      <w:bookmarkStart w:id="1126" w:name="_Toc9085"/>
      <w:bookmarkStart w:id="1127" w:name="_Toc317"/>
      <w:bookmarkStart w:id="1128" w:name="_Toc16132"/>
      <w:bookmarkStart w:id="1129" w:name="_Toc15649"/>
      <w:bookmarkStart w:id="1130" w:name="_Toc12365"/>
      <w:bookmarkStart w:id="1131" w:name="_Toc14091"/>
      <w:bookmarkStart w:id="1132" w:name="_Toc26950"/>
      <w:bookmarkStart w:id="1133" w:name="_Toc20694"/>
      <w:bookmarkStart w:id="1134" w:name="_Toc10093"/>
      <w:bookmarkStart w:id="1135" w:name="_Toc27050"/>
      <w:bookmarkStart w:id="1136" w:name="_Toc12266"/>
      <w:bookmarkStart w:id="1137" w:name="_Toc11383"/>
      <w:bookmarkStart w:id="1138" w:name="_Toc19968"/>
      <w:bookmarkStart w:id="1139" w:name="_Toc26515"/>
      <w:bookmarkStart w:id="1140" w:name="_Toc27427"/>
      <w:bookmarkStart w:id="1141" w:name="_Toc564"/>
      <w:bookmarkStart w:id="1142" w:name="_Toc12049298"/>
      <w:bookmarkStart w:id="1143" w:name="_Toc16821"/>
      <w:bookmarkStart w:id="1144" w:name="_Toc31174"/>
      <w:bookmarkStart w:id="1145" w:name="_Toc12406"/>
      <w:bookmarkStart w:id="1146" w:name="_Toc14302"/>
      <w:bookmarkStart w:id="1147" w:name="_Toc7792"/>
      <w:bookmarkStart w:id="1148" w:name="_Toc11161"/>
      <w:bookmarkStart w:id="1149" w:name="_Toc4860"/>
      <w:bookmarkStart w:id="1150" w:name="_Toc17162"/>
      <w:bookmarkStart w:id="1151" w:name="_Toc9148"/>
      <w:bookmarkStart w:id="1152" w:name="_Toc3101"/>
      <w:bookmarkStart w:id="1153" w:name="_Toc22304"/>
      <w:bookmarkStart w:id="1154" w:name="_Toc2515"/>
      <w:bookmarkStart w:id="1155" w:name="_Toc16296"/>
      <w:bookmarkStart w:id="1156" w:name="_Toc26469"/>
      <w:bookmarkStart w:id="1157" w:name="_Toc23871"/>
      <w:bookmarkStart w:id="1158" w:name="_Toc2904"/>
      <w:bookmarkStart w:id="1159" w:name="_Toc19976"/>
      <w:bookmarkStart w:id="1160" w:name="_Toc13257"/>
      <w:bookmarkStart w:id="1161" w:name="_Toc21570"/>
      <w:bookmarkStart w:id="1162" w:name="_Toc27270"/>
      <w:bookmarkStart w:id="1163" w:name="_Toc15782"/>
      <w:r>
        <w:rPr>
          <w:rFonts w:hint="eastAsia" w:ascii="宋体" w:hAnsi="宋体" w:eastAsia="宋体" w:cs="宋体"/>
        </w:rPr>
        <w:t>D  代理服务费</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4"/>
        <w:adjustRightInd w:val="0"/>
        <w:spacing w:before="0" w:after="0" w:line="300" w:lineRule="auto"/>
        <w:textAlignment w:val="baseline"/>
        <w:rPr>
          <w:rFonts w:ascii="宋体" w:hAnsi="宋体" w:eastAsia="宋体" w:cs="宋体"/>
          <w:bCs w:val="0"/>
          <w:kern w:val="0"/>
          <w:sz w:val="24"/>
          <w:szCs w:val="20"/>
        </w:rPr>
      </w:pPr>
      <w:bookmarkStart w:id="1164" w:name="_Toc1770"/>
      <w:bookmarkStart w:id="1165" w:name="_Toc25730"/>
      <w:bookmarkStart w:id="1166" w:name="_Toc1851"/>
      <w:bookmarkStart w:id="1167" w:name="_Toc4062"/>
      <w:bookmarkStart w:id="1168" w:name="_Toc28928"/>
      <w:bookmarkStart w:id="1169" w:name="_Toc13651"/>
      <w:bookmarkStart w:id="1170" w:name="_Toc22001"/>
      <w:bookmarkStart w:id="1171" w:name="_Toc17046"/>
      <w:bookmarkStart w:id="1172" w:name="_Toc10414"/>
      <w:bookmarkStart w:id="1173" w:name="_Toc11804"/>
      <w:bookmarkStart w:id="1174" w:name="_Toc12906"/>
      <w:bookmarkStart w:id="1175" w:name="_Toc30340"/>
      <w:bookmarkStart w:id="1176" w:name="_Toc20151"/>
      <w:bookmarkStart w:id="1177" w:name="_Toc19356"/>
      <w:bookmarkStart w:id="1178" w:name="_Toc15185"/>
      <w:bookmarkStart w:id="1179" w:name="_Toc13863"/>
      <w:bookmarkStart w:id="1180" w:name="_Toc28597"/>
      <w:bookmarkStart w:id="1181" w:name="_Toc2450"/>
      <w:bookmarkStart w:id="1182" w:name="_Toc23637"/>
      <w:bookmarkStart w:id="1183" w:name="_Toc8637"/>
      <w:bookmarkStart w:id="1184" w:name="_Toc18670"/>
      <w:bookmarkStart w:id="1185" w:name="_Toc32691"/>
      <w:bookmarkStart w:id="1186" w:name="_Toc20421"/>
      <w:bookmarkStart w:id="1187" w:name="_Toc24158"/>
      <w:bookmarkStart w:id="1188" w:name="_Toc12049299"/>
      <w:bookmarkStart w:id="1189" w:name="_Toc6738"/>
      <w:bookmarkStart w:id="1190" w:name="_Toc31015"/>
      <w:bookmarkStart w:id="1191" w:name="_Toc16764"/>
      <w:bookmarkStart w:id="1192" w:name="_Toc25485"/>
      <w:bookmarkStart w:id="1193" w:name="_Toc20391"/>
      <w:bookmarkStart w:id="1194" w:name="_Toc10413"/>
      <w:bookmarkStart w:id="1195" w:name="_Toc27901"/>
      <w:bookmarkStart w:id="1196" w:name="_Toc5021"/>
      <w:bookmarkStart w:id="1197" w:name="_Toc13876"/>
      <w:bookmarkStart w:id="1198" w:name="_Toc9485"/>
      <w:bookmarkStart w:id="1199" w:name="_Toc9633"/>
      <w:bookmarkStart w:id="1200" w:name="_Toc2273"/>
      <w:bookmarkStart w:id="1201" w:name="_Toc17828"/>
      <w:bookmarkStart w:id="1202" w:name="_Toc9205"/>
      <w:bookmarkStart w:id="1203" w:name="_Toc19487"/>
      <w:bookmarkStart w:id="1204" w:name="_Toc2494"/>
      <w:bookmarkStart w:id="1205" w:name="_Toc27801"/>
      <w:bookmarkStart w:id="1206" w:name="_Toc7129"/>
      <w:bookmarkStart w:id="1207" w:name="_Toc8951"/>
      <w:bookmarkStart w:id="1208" w:name="_Toc2376"/>
      <w:bookmarkStart w:id="1209" w:name="_Toc28311"/>
      <w:r>
        <w:rPr>
          <w:rFonts w:hint="eastAsia" w:ascii="宋体" w:hAnsi="宋体" w:eastAsia="宋体" w:cs="宋体"/>
          <w:bCs w:val="0"/>
          <w:kern w:val="0"/>
          <w:sz w:val="24"/>
          <w:szCs w:val="20"/>
        </w:rPr>
        <w:t>20. 代理服务费</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30"/>
        <w:ind w:left="0" w:firstLine="0" w:firstLineChars="0"/>
        <w:rPr>
          <w:rFonts w:ascii="宋体" w:hAnsi="宋体" w:cs="宋体"/>
          <w:sz w:val="24"/>
          <w:szCs w:val="24"/>
        </w:rPr>
      </w:pPr>
      <w:r>
        <w:rPr>
          <w:rFonts w:hint="eastAsia" w:ascii="宋体" w:hAnsi="宋体" w:cs="宋体"/>
          <w:sz w:val="24"/>
        </w:rPr>
        <w:t>20.1采购代理机构将向成交供应商收取代理服务费。成交供应商须向采购代理机构按如下标准和规定交纳代理服务费：</w:t>
      </w:r>
      <w:r>
        <w:rPr>
          <w:rFonts w:hint="eastAsia" w:ascii="宋体" w:hAnsi="宋体" w:cs="宋体"/>
          <w:sz w:val="24"/>
          <w:lang w:eastAsia="zh-CN"/>
        </w:rPr>
        <w:t>固定金额</w:t>
      </w:r>
      <w:r>
        <w:rPr>
          <w:rFonts w:hint="eastAsia" w:ascii="宋体" w:hAnsi="宋体" w:cs="宋体"/>
          <w:sz w:val="24"/>
          <w:lang w:val="en-US" w:eastAsia="zh-CN"/>
        </w:rPr>
        <w:t>500.00元</w:t>
      </w:r>
    </w:p>
    <w:p>
      <w:pPr>
        <w:jc w:val="both"/>
        <w:rPr>
          <w:rFonts w:ascii="宋体" w:hAnsi="宋体" w:cs="宋体"/>
          <w:sz w:val="22"/>
          <w:szCs w:val="22"/>
        </w:rPr>
      </w:pPr>
      <w:r>
        <w:rPr>
          <w:rFonts w:hint="eastAsia" w:ascii="宋体" w:hAnsi="宋体" w:cs="宋体"/>
          <w:sz w:val="24"/>
        </w:rPr>
        <w:t>代理服务费只收汇款、现金。</w:t>
      </w:r>
    </w:p>
    <w:p>
      <w:pPr>
        <w:pStyle w:val="2"/>
        <w:numPr>
          <w:ilvl w:val="1"/>
          <w:numId w:val="0"/>
        </w:numPr>
        <w:spacing w:before="0" w:after="0" w:line="240" w:lineRule="auto"/>
        <w:rPr>
          <w:rFonts w:ascii="宋体" w:hAnsi="宋体" w:eastAsia="宋体" w:cs="宋体"/>
        </w:rPr>
      </w:pPr>
      <w:bookmarkStart w:id="1210" w:name="_Toc21685"/>
      <w:bookmarkStart w:id="1211" w:name="_Toc2417"/>
      <w:bookmarkStart w:id="1212" w:name="_Toc11481"/>
      <w:bookmarkStart w:id="1213" w:name="_Toc18950"/>
      <w:bookmarkStart w:id="1214" w:name="_Toc646"/>
      <w:bookmarkStart w:id="1215" w:name="_Toc25907"/>
      <w:bookmarkStart w:id="1216" w:name="_Toc12061"/>
      <w:bookmarkStart w:id="1217" w:name="_Toc30166"/>
      <w:bookmarkStart w:id="1218" w:name="_Toc32320"/>
      <w:bookmarkStart w:id="1219" w:name="_Toc12686"/>
      <w:bookmarkStart w:id="1220" w:name="_Toc10136"/>
      <w:bookmarkStart w:id="1221" w:name="_Toc24706"/>
      <w:bookmarkStart w:id="1222" w:name="_Toc15426"/>
      <w:bookmarkStart w:id="1223" w:name="_Toc19396"/>
      <w:bookmarkStart w:id="1224" w:name="_Toc8180"/>
      <w:bookmarkStart w:id="1225" w:name="_Toc16385"/>
      <w:bookmarkStart w:id="1226" w:name="_Toc18250"/>
      <w:bookmarkStart w:id="1227" w:name="_Toc4083"/>
      <w:bookmarkStart w:id="1228" w:name="_Toc17796"/>
      <w:bookmarkStart w:id="1229" w:name="_Toc12049300"/>
      <w:bookmarkStart w:id="1230" w:name="_Toc27494"/>
      <w:bookmarkStart w:id="1231" w:name="_Toc12751"/>
      <w:bookmarkStart w:id="1232" w:name="_Toc28834"/>
      <w:bookmarkStart w:id="1233" w:name="_Toc9108"/>
      <w:bookmarkStart w:id="1234" w:name="_Toc14391"/>
      <w:bookmarkStart w:id="1235" w:name="_Toc2624"/>
      <w:bookmarkStart w:id="1236" w:name="_Toc19270"/>
      <w:bookmarkStart w:id="1237" w:name="_Toc26031"/>
      <w:bookmarkStart w:id="1238" w:name="_Toc19879"/>
      <w:bookmarkStart w:id="1239" w:name="_Toc28169"/>
      <w:bookmarkStart w:id="1240" w:name="_Toc5028"/>
      <w:bookmarkStart w:id="1241" w:name="_Toc2993"/>
      <w:bookmarkStart w:id="1242" w:name="_Toc31353"/>
      <w:bookmarkStart w:id="1243" w:name="_Toc2071"/>
      <w:bookmarkStart w:id="1244" w:name="_Toc32130"/>
      <w:bookmarkStart w:id="1245" w:name="_Toc2992"/>
      <w:bookmarkStart w:id="1246" w:name="_Toc9586"/>
      <w:bookmarkStart w:id="1247" w:name="_Toc6904"/>
      <w:bookmarkStart w:id="1248" w:name="_Toc15847"/>
      <w:bookmarkStart w:id="1249" w:name="_Toc11033"/>
      <w:bookmarkStart w:id="1250" w:name="_Toc30795"/>
      <w:bookmarkStart w:id="1251" w:name="_Toc24022"/>
      <w:bookmarkStart w:id="1252" w:name="_Toc20067"/>
      <w:bookmarkStart w:id="1253" w:name="_Toc17489"/>
      <w:bookmarkStart w:id="1254" w:name="_Toc23132"/>
      <w:bookmarkStart w:id="1255" w:name="_Toc13726"/>
      <w:r>
        <w:rPr>
          <w:rFonts w:hint="eastAsia" w:ascii="宋体" w:hAnsi="宋体" w:eastAsia="宋体" w:cs="宋体"/>
        </w:rPr>
        <w:t>E  合同签订</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4"/>
        <w:adjustRightInd w:val="0"/>
        <w:spacing w:before="0" w:after="0" w:line="300" w:lineRule="auto"/>
        <w:textAlignment w:val="baseline"/>
        <w:rPr>
          <w:rFonts w:ascii="宋体" w:hAnsi="宋体" w:eastAsia="宋体" w:cs="宋体"/>
          <w:bCs w:val="0"/>
          <w:kern w:val="0"/>
          <w:sz w:val="24"/>
          <w:szCs w:val="20"/>
        </w:rPr>
      </w:pPr>
      <w:bookmarkStart w:id="1256" w:name="_Toc1424"/>
      <w:bookmarkStart w:id="1257" w:name="_Toc12049301"/>
      <w:bookmarkStart w:id="1258" w:name="_Toc19575"/>
      <w:bookmarkStart w:id="1259" w:name="_Toc13134"/>
      <w:bookmarkStart w:id="1260" w:name="_Toc27508"/>
      <w:bookmarkStart w:id="1261" w:name="_Toc8160"/>
      <w:bookmarkStart w:id="1262" w:name="_Toc27026"/>
      <w:bookmarkStart w:id="1263" w:name="_Toc7232"/>
      <w:bookmarkStart w:id="1264" w:name="_Toc30454"/>
      <w:bookmarkStart w:id="1265" w:name="_Toc3399"/>
      <w:bookmarkStart w:id="1266" w:name="_Toc6471"/>
      <w:bookmarkStart w:id="1267" w:name="_Toc3131"/>
      <w:bookmarkStart w:id="1268" w:name="_Toc4995"/>
      <w:bookmarkStart w:id="1269" w:name="_Toc26971"/>
      <w:bookmarkStart w:id="1270" w:name="_Toc18274"/>
      <w:bookmarkStart w:id="1271" w:name="_Toc19543"/>
      <w:bookmarkStart w:id="1272" w:name="_Toc9734"/>
      <w:bookmarkStart w:id="1273" w:name="_Toc932"/>
      <w:bookmarkStart w:id="1274" w:name="_Toc9922"/>
      <w:bookmarkStart w:id="1275" w:name="_Toc9806"/>
      <w:bookmarkStart w:id="1276" w:name="_Toc23432"/>
      <w:bookmarkStart w:id="1277" w:name="_Toc20428"/>
      <w:bookmarkStart w:id="1278" w:name="_Toc27545"/>
      <w:bookmarkStart w:id="1279" w:name="_Toc31921"/>
      <w:bookmarkStart w:id="1280" w:name="_Toc15044"/>
      <w:bookmarkStart w:id="1281" w:name="_Toc28911"/>
      <w:bookmarkStart w:id="1282" w:name="_Toc2658"/>
      <w:bookmarkStart w:id="1283" w:name="_Toc25684"/>
      <w:bookmarkStart w:id="1284" w:name="_Toc19272"/>
      <w:bookmarkStart w:id="1285" w:name="_Toc13519"/>
      <w:bookmarkStart w:id="1286" w:name="_Toc20591"/>
      <w:bookmarkStart w:id="1287" w:name="_Toc26793"/>
      <w:bookmarkStart w:id="1288" w:name="_Toc32402"/>
      <w:bookmarkStart w:id="1289" w:name="_Toc6978"/>
      <w:bookmarkStart w:id="1290" w:name="_Toc26216"/>
      <w:bookmarkStart w:id="1291" w:name="_Toc11973"/>
      <w:bookmarkStart w:id="1292" w:name="_Toc9147"/>
      <w:bookmarkStart w:id="1293" w:name="_Toc32377"/>
      <w:bookmarkStart w:id="1294" w:name="_Toc15977"/>
      <w:bookmarkStart w:id="1295" w:name="_Toc29319"/>
      <w:bookmarkStart w:id="1296" w:name="_Toc21715"/>
      <w:bookmarkStart w:id="1297" w:name="_Toc29161"/>
      <w:bookmarkStart w:id="1298" w:name="_Toc12997"/>
      <w:bookmarkStart w:id="1299" w:name="_Toc24369"/>
      <w:bookmarkStart w:id="1300" w:name="_Toc4603"/>
      <w:bookmarkStart w:id="1301" w:name="_Toc13259"/>
      <w:r>
        <w:rPr>
          <w:rFonts w:hint="eastAsia" w:ascii="宋体" w:hAnsi="宋体" w:eastAsia="宋体" w:cs="宋体"/>
          <w:bCs w:val="0"/>
          <w:kern w:val="0"/>
          <w:sz w:val="24"/>
          <w:szCs w:val="20"/>
        </w:rPr>
        <w:t>21、合同主要条款</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jc w:val="both"/>
        <w:rPr>
          <w:rFonts w:ascii="宋体" w:hAnsi="宋体" w:cs="宋体"/>
          <w:sz w:val="24"/>
        </w:rPr>
      </w:pPr>
      <w:r>
        <w:rPr>
          <w:rFonts w:hint="eastAsia" w:ascii="宋体" w:hAnsi="宋体" w:cs="宋体"/>
          <w:sz w:val="24"/>
        </w:rPr>
        <w:t>21.1合同履行期限：签订合同后30日历天内竣工并验收合格。</w:t>
      </w:r>
    </w:p>
    <w:p>
      <w:pPr>
        <w:jc w:val="both"/>
        <w:rPr>
          <w:rFonts w:ascii="宋体" w:hAnsi="宋体" w:cs="宋体"/>
          <w:sz w:val="24"/>
        </w:rPr>
      </w:pPr>
      <w:r>
        <w:rPr>
          <w:rFonts w:hint="eastAsia" w:ascii="宋体" w:hAnsi="宋体" w:cs="宋体"/>
          <w:sz w:val="24"/>
        </w:rPr>
        <w:t>21.2</w:t>
      </w:r>
      <w:r>
        <w:rPr>
          <w:rFonts w:hint="eastAsia" w:ascii="宋体" w:hAnsi="宋体" w:cs="宋体"/>
          <w:bCs/>
          <w:kern w:val="0"/>
          <w:sz w:val="24"/>
        </w:rPr>
        <w:t>合同履行地点</w:t>
      </w:r>
      <w:r>
        <w:rPr>
          <w:rFonts w:hint="eastAsia" w:ascii="宋体" w:hAnsi="宋体" w:cs="宋体"/>
          <w:sz w:val="24"/>
        </w:rPr>
        <w:t>：采购人指定地点</w:t>
      </w:r>
    </w:p>
    <w:p>
      <w:pPr>
        <w:rPr>
          <w:rFonts w:ascii="宋体" w:hAnsi="宋体" w:cs="宋体"/>
          <w:sz w:val="24"/>
        </w:rPr>
      </w:pPr>
      <w:r>
        <w:rPr>
          <w:rFonts w:hint="eastAsia" w:ascii="宋体" w:hAnsi="宋体" w:cs="宋体"/>
          <w:sz w:val="24"/>
        </w:rPr>
        <w:t>21.3付款方式：竣工验收合格后一次性支付。</w:t>
      </w:r>
    </w:p>
    <w:p>
      <w:pPr>
        <w:pStyle w:val="4"/>
        <w:adjustRightInd w:val="0"/>
        <w:spacing w:before="0" w:after="0" w:line="300" w:lineRule="auto"/>
        <w:textAlignment w:val="baseline"/>
        <w:rPr>
          <w:rFonts w:ascii="宋体" w:hAnsi="宋体" w:eastAsia="宋体" w:cs="宋体"/>
          <w:bCs w:val="0"/>
          <w:kern w:val="0"/>
          <w:sz w:val="24"/>
          <w:szCs w:val="20"/>
        </w:rPr>
      </w:pPr>
      <w:bookmarkStart w:id="1302" w:name="_Toc24045"/>
      <w:bookmarkStart w:id="1303" w:name="_Toc25694"/>
      <w:bookmarkStart w:id="1304" w:name="_Toc19650"/>
      <w:bookmarkStart w:id="1305" w:name="_Toc28432"/>
      <w:bookmarkStart w:id="1306" w:name="_Toc22020"/>
      <w:bookmarkStart w:id="1307" w:name="_Toc17555"/>
      <w:bookmarkStart w:id="1308" w:name="_Toc30749"/>
      <w:bookmarkStart w:id="1309" w:name="_Toc4099"/>
      <w:bookmarkStart w:id="1310" w:name="_Toc29843"/>
      <w:bookmarkStart w:id="1311" w:name="_Toc31219"/>
      <w:bookmarkStart w:id="1312" w:name="_Toc2876"/>
      <w:bookmarkStart w:id="1313" w:name="_Toc18213"/>
      <w:bookmarkStart w:id="1314" w:name="_Toc24775"/>
      <w:bookmarkStart w:id="1315" w:name="_Toc28196"/>
      <w:bookmarkStart w:id="1316" w:name="_Toc16102"/>
      <w:bookmarkStart w:id="1317" w:name="_Toc26267"/>
      <w:bookmarkStart w:id="1318" w:name="_Toc14615"/>
      <w:bookmarkStart w:id="1319" w:name="_Toc9461"/>
      <w:bookmarkStart w:id="1320" w:name="_Toc12049302"/>
      <w:bookmarkStart w:id="1321" w:name="_Toc19893"/>
      <w:bookmarkStart w:id="1322" w:name="_Toc3262"/>
      <w:bookmarkStart w:id="1323" w:name="_Toc994"/>
      <w:bookmarkStart w:id="1324" w:name="_Toc923"/>
      <w:bookmarkStart w:id="1325" w:name="_Toc22022"/>
      <w:bookmarkStart w:id="1326" w:name="_Toc20521"/>
      <w:bookmarkStart w:id="1327" w:name="_Toc12667"/>
      <w:bookmarkStart w:id="1328" w:name="_Toc212"/>
      <w:bookmarkStart w:id="1329" w:name="_Toc29852"/>
      <w:bookmarkStart w:id="1330" w:name="_Toc24738"/>
      <w:bookmarkStart w:id="1331" w:name="_Toc4673"/>
      <w:bookmarkStart w:id="1332" w:name="_Toc14513"/>
      <w:bookmarkStart w:id="1333" w:name="_Toc1617"/>
      <w:bookmarkStart w:id="1334" w:name="_Toc13690"/>
      <w:bookmarkStart w:id="1335" w:name="_Toc11722"/>
      <w:bookmarkStart w:id="1336" w:name="_Toc3430"/>
      <w:bookmarkStart w:id="1337" w:name="_Toc20220"/>
      <w:bookmarkStart w:id="1338" w:name="_Toc17735"/>
      <w:bookmarkStart w:id="1339" w:name="_Toc11615"/>
      <w:bookmarkStart w:id="1340" w:name="_Toc18979"/>
      <w:bookmarkStart w:id="1341" w:name="_Toc24937"/>
      <w:bookmarkStart w:id="1342" w:name="_Toc13961"/>
      <w:bookmarkStart w:id="1343" w:name="_Toc7794"/>
      <w:bookmarkStart w:id="1344" w:name="_Toc7717"/>
      <w:bookmarkStart w:id="1345" w:name="_Toc28850"/>
      <w:bookmarkStart w:id="1346" w:name="_Toc18876"/>
      <w:bookmarkStart w:id="1347" w:name="_Toc6125"/>
      <w:r>
        <w:rPr>
          <w:rFonts w:hint="eastAsia" w:ascii="宋体" w:hAnsi="宋体" w:eastAsia="宋体" w:cs="宋体"/>
          <w:bCs w:val="0"/>
          <w:kern w:val="0"/>
          <w:sz w:val="24"/>
          <w:szCs w:val="20"/>
        </w:rPr>
        <w:t>22、合同的签订</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jc w:val="both"/>
        <w:rPr>
          <w:rFonts w:ascii="宋体" w:hAnsi="宋体" w:cs="宋体"/>
          <w:sz w:val="24"/>
        </w:rPr>
      </w:pPr>
      <w:r>
        <w:rPr>
          <w:rFonts w:hint="eastAsia" w:ascii="宋体" w:hAnsi="宋体" w:cs="宋体"/>
          <w:sz w:val="24"/>
        </w:rPr>
        <w:t>1、成交供应商应按《成交通知书》规定的时间与采购人签订政府采购合同，所签订的合同不得对竞争性磋商文件和成交供应商响应文件作实质性修改。</w:t>
      </w:r>
    </w:p>
    <w:p>
      <w:pPr>
        <w:jc w:val="both"/>
        <w:rPr>
          <w:rFonts w:ascii="宋体" w:hAnsi="宋体" w:cs="宋体"/>
          <w:sz w:val="24"/>
        </w:rPr>
      </w:pPr>
      <w:r>
        <w:rPr>
          <w:rFonts w:hint="eastAsia" w:ascii="宋体" w:hAnsi="宋体" w:cs="宋体"/>
          <w:sz w:val="24"/>
        </w:rPr>
        <w:t>2、采购人不得向成交供应商提出任何不合理的要求，作为签订合同的条件，不得与成交供应商私下订立违背合同实质性内容的协议。</w:t>
      </w:r>
    </w:p>
    <w:p>
      <w:pPr>
        <w:jc w:val="both"/>
        <w:rPr>
          <w:rFonts w:ascii="宋体" w:hAnsi="宋体" w:cs="宋体"/>
          <w:sz w:val="24"/>
        </w:rPr>
      </w:pPr>
      <w:r>
        <w:rPr>
          <w:rFonts w:hint="eastAsia" w:ascii="宋体" w:hAnsi="宋体" w:cs="宋体"/>
          <w:sz w:val="24"/>
        </w:rPr>
        <w:t>3、竞争性磋商文件、成交供应商响应文件及评审过程中有关澄清文件均为合同的必要组成部分，与合同具有同等法律效力。</w:t>
      </w:r>
    </w:p>
    <w:p>
      <w:pPr>
        <w:jc w:val="both"/>
        <w:rPr>
          <w:rFonts w:ascii="宋体" w:hAnsi="宋体" w:cs="宋体"/>
          <w:sz w:val="24"/>
        </w:rPr>
      </w:pPr>
      <w:r>
        <w:rPr>
          <w:rFonts w:hint="eastAsia" w:ascii="宋体" w:hAnsi="宋体" w:cs="宋体"/>
          <w:sz w:val="24"/>
        </w:rPr>
        <w:t>4、合同签订之日起7个工作日内报政府采购监管部门备案。</w:t>
      </w:r>
    </w:p>
    <w:p>
      <w:pPr>
        <w:jc w:val="both"/>
        <w:rPr>
          <w:rFonts w:ascii="宋体" w:hAnsi="宋体" w:cs="宋体"/>
          <w:sz w:val="33"/>
          <w:szCs w:val="33"/>
        </w:rPr>
      </w:pPr>
      <w:r>
        <w:rPr>
          <w:rFonts w:hint="eastAsia" w:ascii="宋体" w:hAnsi="宋体" w:cs="宋体"/>
          <w:sz w:val="24"/>
        </w:rPr>
        <w:t>5、采购人负责合同的审核、签订、履约及验收工作。采购人必须严格按照磋商文件提出的技术参数和相关承诺组织验收，否则由于采购人不认真或虚假验收出现的质量问题，采购人要负相应的责任。</w:t>
      </w:r>
    </w:p>
    <w:p>
      <w:pPr>
        <w:pStyle w:val="15"/>
        <w:rPr>
          <w:rFonts w:ascii="宋体" w:hAnsi="宋体" w:cs="宋体"/>
          <w:b/>
          <w:sz w:val="22"/>
          <w:szCs w:val="22"/>
        </w:rPr>
      </w:pPr>
      <w:bookmarkStart w:id="1348" w:name="_Toc12049303"/>
    </w:p>
    <w:p>
      <w:pPr>
        <w:pStyle w:val="15"/>
        <w:rPr>
          <w:rFonts w:ascii="宋体" w:hAnsi="宋体" w:cs="宋体"/>
          <w:b/>
          <w:sz w:val="22"/>
          <w:szCs w:val="22"/>
        </w:rPr>
      </w:pPr>
      <w:r>
        <w:rPr>
          <w:rFonts w:hint="eastAsia" w:ascii="宋体" w:hAnsi="宋体" w:cs="宋体"/>
          <w:b/>
          <w:sz w:val="22"/>
          <w:szCs w:val="22"/>
        </w:rPr>
        <w:br w:type="page"/>
      </w:r>
    </w:p>
    <w:p>
      <w:pPr>
        <w:pStyle w:val="16"/>
        <w:ind w:left="5250"/>
        <w:rPr>
          <w:rFonts w:cs="宋体"/>
          <w:b/>
          <w:sz w:val="22"/>
          <w:szCs w:val="22"/>
        </w:rPr>
      </w:pPr>
    </w:p>
    <w:p>
      <w:pPr>
        <w:pStyle w:val="3"/>
        <w:numPr>
          <w:ilvl w:val="0"/>
          <w:numId w:val="0"/>
        </w:numPr>
        <w:jc w:val="center"/>
        <w:rPr>
          <w:rFonts w:ascii="宋体" w:hAnsi="宋体" w:eastAsia="宋体" w:cs="宋体"/>
          <w:sz w:val="44"/>
          <w:szCs w:val="44"/>
        </w:rPr>
      </w:pPr>
      <w:bookmarkStart w:id="1349" w:name="_Toc13986"/>
      <w:bookmarkStart w:id="1350" w:name="_Toc21193"/>
      <w:bookmarkStart w:id="1351" w:name="_Toc20027"/>
      <w:bookmarkStart w:id="1352" w:name="_Toc13732"/>
      <w:bookmarkStart w:id="1353" w:name="_Toc5401"/>
      <w:bookmarkStart w:id="1354" w:name="_Toc556"/>
      <w:bookmarkStart w:id="1355" w:name="_Toc11824"/>
      <w:bookmarkStart w:id="1356" w:name="_Toc14890"/>
      <w:bookmarkStart w:id="1357" w:name="_Toc20201"/>
    </w:p>
    <w:p>
      <w:pPr>
        <w:pStyle w:val="16"/>
        <w:ind w:left="0" w:leftChars="0"/>
        <w:rPr>
          <w:rFonts w:cs="宋体"/>
          <w:sz w:val="44"/>
          <w:szCs w:val="44"/>
        </w:rPr>
      </w:pPr>
      <w:bookmarkStart w:id="1358" w:name="_Toc18638"/>
      <w:bookmarkStart w:id="1359" w:name="_Toc13937"/>
      <w:bookmarkStart w:id="1360" w:name="_Toc28076"/>
      <w:bookmarkStart w:id="1361" w:name="_Toc3827"/>
      <w:bookmarkStart w:id="1362" w:name="_Toc1922"/>
      <w:bookmarkStart w:id="1363" w:name="_Toc28696"/>
      <w:bookmarkStart w:id="1364" w:name="_Toc26353"/>
      <w:bookmarkStart w:id="1365" w:name="_Toc2267"/>
      <w:bookmarkStart w:id="1366" w:name="_Toc4835"/>
      <w:bookmarkStart w:id="1367" w:name="_Toc29182"/>
    </w:p>
    <w:p>
      <w:pPr>
        <w:rPr>
          <w:rFonts w:ascii="宋体" w:hAnsi="宋体" w:cs="宋体"/>
          <w:sz w:val="44"/>
          <w:szCs w:val="44"/>
        </w:rPr>
      </w:pPr>
    </w:p>
    <w:p>
      <w:pPr>
        <w:pStyle w:val="15"/>
        <w:rPr>
          <w:rFonts w:ascii="宋体" w:hAnsi="宋体" w:cs="宋体"/>
          <w:sz w:val="44"/>
          <w:szCs w:val="44"/>
        </w:rPr>
      </w:pPr>
    </w:p>
    <w:p>
      <w:pPr>
        <w:pStyle w:val="16"/>
        <w:ind w:left="5250"/>
        <w:rPr>
          <w:rFonts w:cs="宋体"/>
          <w:sz w:val="44"/>
          <w:szCs w:val="44"/>
        </w:rPr>
      </w:pPr>
    </w:p>
    <w:p/>
    <w:p>
      <w:pPr>
        <w:pStyle w:val="3"/>
        <w:numPr>
          <w:ilvl w:val="0"/>
          <w:numId w:val="0"/>
        </w:numPr>
        <w:jc w:val="center"/>
        <w:rPr>
          <w:rFonts w:ascii="宋体" w:hAnsi="宋体" w:eastAsia="宋体" w:cs="宋体"/>
          <w:sz w:val="44"/>
          <w:szCs w:val="44"/>
        </w:rPr>
      </w:pPr>
      <w:bookmarkStart w:id="1368" w:name="_Toc21733"/>
      <w:bookmarkStart w:id="1369" w:name="_Toc20890"/>
      <w:bookmarkStart w:id="1370" w:name="_Toc2321"/>
      <w:bookmarkStart w:id="1371" w:name="_Toc13188"/>
      <w:bookmarkStart w:id="1372" w:name="_Toc12649"/>
      <w:bookmarkStart w:id="1373" w:name="_Toc21766"/>
      <w:bookmarkStart w:id="1374" w:name="_Toc17611"/>
      <w:bookmarkStart w:id="1375" w:name="_Toc18343"/>
      <w:bookmarkStart w:id="1376" w:name="_Toc31423"/>
      <w:bookmarkStart w:id="1377" w:name="_Toc17549"/>
      <w:bookmarkStart w:id="1378" w:name="_Toc2269"/>
      <w:bookmarkStart w:id="1379" w:name="_Toc22765"/>
      <w:bookmarkStart w:id="1380" w:name="_Toc24075"/>
      <w:bookmarkStart w:id="1381" w:name="_Toc13181"/>
      <w:bookmarkStart w:id="1382" w:name="_Toc25060"/>
      <w:bookmarkStart w:id="1383" w:name="_Toc12983"/>
      <w:bookmarkStart w:id="1384" w:name="_Toc31886"/>
      <w:bookmarkStart w:id="1385" w:name="_Toc435"/>
      <w:bookmarkStart w:id="1386" w:name="_Toc19500"/>
      <w:bookmarkStart w:id="1387" w:name="_Toc29740"/>
      <w:bookmarkStart w:id="1388" w:name="_Toc22482"/>
      <w:bookmarkStart w:id="1389" w:name="_Toc12469"/>
      <w:bookmarkStart w:id="1390" w:name="_Toc1096"/>
      <w:bookmarkStart w:id="1391" w:name="_Toc14069"/>
      <w:bookmarkStart w:id="1392" w:name="_Toc27522"/>
      <w:bookmarkStart w:id="1393" w:name="_Toc13929"/>
      <w:r>
        <w:rPr>
          <w:rFonts w:hint="eastAsia" w:ascii="宋体" w:hAnsi="宋体" w:eastAsia="宋体" w:cs="宋体"/>
          <w:sz w:val="44"/>
          <w:szCs w:val="44"/>
        </w:rPr>
        <w:t>第三部分 合同条款</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rPr>
          <w:rFonts w:ascii="宋体" w:hAnsi="宋体" w:cs="宋体"/>
        </w:rPr>
      </w:pPr>
    </w:p>
    <w:p>
      <w:pPr>
        <w:rPr>
          <w:rFonts w:ascii="宋体" w:hAnsi="宋体" w:cs="宋体"/>
        </w:rPr>
        <w:sectPr>
          <w:pgSz w:w="11906" w:h="16838"/>
          <w:pgMar w:top="1417" w:right="1701" w:bottom="1417" w:left="1701" w:header="851" w:footer="992" w:gutter="0"/>
          <w:cols w:space="720" w:num="1"/>
          <w:titlePg/>
          <w:docGrid w:type="lines" w:linePitch="312" w:charSpace="0"/>
        </w:sectPr>
      </w:pPr>
    </w:p>
    <w:p>
      <w:pPr>
        <w:snapToGrid w:val="0"/>
        <w:ind w:firstLine="5280" w:firstLineChars="2200"/>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napToGrid w:val="0"/>
        <w:ind w:firstLine="1800" w:firstLineChars="500"/>
        <w:rPr>
          <w:rFonts w:ascii="宋体" w:hAnsi="宋体" w:cs="宋体"/>
          <w:sz w:val="30"/>
          <w:szCs w:val="30"/>
        </w:rPr>
      </w:pPr>
      <w:r>
        <w:rPr>
          <w:rFonts w:hint="eastAsia" w:ascii="宋体" w:hAnsi="宋体" w:cs="宋体"/>
          <w:sz w:val="36"/>
          <w:szCs w:val="36"/>
        </w:rPr>
        <w:t>《</w:t>
      </w:r>
      <w:r>
        <w:rPr>
          <w:rFonts w:hint="eastAsia" w:ascii="宋体" w:hAnsi="宋体" w:cs="宋体"/>
          <w:bCs/>
          <w:sz w:val="36"/>
          <w:szCs w:val="36"/>
        </w:rPr>
        <w:t>黑龙江省政府采购合同</w:t>
      </w:r>
      <w:r>
        <w:rPr>
          <w:rFonts w:hint="eastAsia" w:ascii="宋体" w:hAnsi="宋体" w:cs="宋体"/>
          <w:sz w:val="36"/>
          <w:szCs w:val="36"/>
        </w:rPr>
        <w:t>》</w:t>
      </w:r>
      <w:r>
        <w:rPr>
          <w:rFonts w:hint="eastAsia" w:ascii="宋体" w:hAnsi="宋体" w:cs="宋体"/>
          <w:sz w:val="30"/>
          <w:szCs w:val="30"/>
        </w:rPr>
        <w:t>（试行）</w:t>
      </w:r>
    </w:p>
    <w:p>
      <w:pPr>
        <w:snapToGrid w:val="0"/>
        <w:ind w:firstLine="3640" w:firstLineChars="1300"/>
        <w:rPr>
          <w:rFonts w:ascii="宋体" w:hAnsi="宋体" w:cs="宋体"/>
          <w:sz w:val="28"/>
          <w:szCs w:val="28"/>
        </w:rPr>
      </w:pPr>
      <w:r>
        <w:rPr>
          <w:rFonts w:hint="eastAsia" w:ascii="宋体" w:hAnsi="宋体" w:cs="宋体"/>
          <w:sz w:val="28"/>
          <w:szCs w:val="28"/>
        </w:rPr>
        <w:t>工程类</w:t>
      </w:r>
    </w:p>
    <w:p>
      <w:pPr>
        <w:snapToGrid w:val="0"/>
        <w:rPr>
          <w:rFonts w:ascii="宋体" w:hAnsi="宋体" w:cs="宋体"/>
          <w:sz w:val="24"/>
          <w:u w:val="single"/>
        </w:rPr>
      </w:pPr>
      <w:r>
        <w:rPr>
          <w:rFonts w:hint="eastAsia" w:ascii="宋体" w:hAnsi="宋体" w:cs="宋体"/>
          <w:sz w:val="24"/>
        </w:rPr>
        <w:t>采购单位（甲方）</w:t>
      </w:r>
      <w:r>
        <w:rPr>
          <w:rFonts w:hint="eastAsia" w:ascii="宋体" w:hAnsi="宋体" w:cs="宋体"/>
          <w:sz w:val="24"/>
          <w:u w:val="single"/>
        </w:rPr>
        <w:t xml:space="preserve">                             </w:t>
      </w:r>
      <w:r>
        <w:rPr>
          <w:rFonts w:hint="eastAsia" w:ascii="宋体" w:hAnsi="宋体" w:cs="宋体"/>
          <w:sz w:val="24"/>
        </w:rPr>
        <w:t>采购计划号</w:t>
      </w:r>
      <w:r>
        <w:rPr>
          <w:rFonts w:hint="eastAsia" w:ascii="宋体" w:hAnsi="宋体" w:cs="宋体"/>
          <w:sz w:val="24"/>
          <w:u w:val="single"/>
        </w:rPr>
        <w:t xml:space="preserve">              </w:t>
      </w:r>
    </w:p>
    <w:p>
      <w:pPr>
        <w:snapToGrid w:val="0"/>
        <w:rPr>
          <w:rFonts w:ascii="宋体" w:hAnsi="宋体" w:cs="宋体"/>
          <w:sz w:val="24"/>
        </w:rPr>
      </w:pPr>
      <w:r>
        <w:rPr>
          <w:rFonts w:hint="eastAsia" w:ascii="宋体" w:hAnsi="宋体" w:cs="宋体"/>
          <w:sz w:val="24"/>
        </w:rPr>
        <w:t>供 应 商（乙方）</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sz w:val="24"/>
          <w:u w:val="single"/>
        </w:rPr>
        <w:t xml:space="preserve">                </w:t>
      </w:r>
    </w:p>
    <w:p>
      <w:pPr>
        <w:snapToGrid w:val="0"/>
        <w:rPr>
          <w:rFonts w:ascii="宋体" w:hAnsi="宋体" w:cs="宋体"/>
          <w:sz w:val="24"/>
        </w:rPr>
      </w:pPr>
      <w:r>
        <w:rPr>
          <w:rFonts w:hint="eastAsia" w:ascii="宋体" w:hAnsi="宋体" w:cs="宋体"/>
          <w:sz w:val="24"/>
        </w:rPr>
        <w:t>签  订  地  点</w:t>
      </w:r>
      <w:r>
        <w:rPr>
          <w:rFonts w:hint="eastAsia" w:ascii="宋体" w:hAnsi="宋体" w:cs="宋体"/>
          <w:sz w:val="24"/>
          <w:u w:val="single"/>
        </w:rPr>
        <w:t xml:space="preserve">                               </w:t>
      </w:r>
      <w:r>
        <w:rPr>
          <w:rFonts w:hint="eastAsia" w:ascii="宋体" w:hAnsi="宋体" w:cs="宋体"/>
          <w:sz w:val="24"/>
        </w:rPr>
        <w:t>签订时间</w:t>
      </w:r>
      <w:r>
        <w:rPr>
          <w:rFonts w:hint="eastAsia" w:ascii="宋体" w:hAnsi="宋体" w:cs="宋体"/>
          <w:sz w:val="24"/>
          <w:u w:val="single"/>
        </w:rPr>
        <w:t xml:space="preserve">                </w:t>
      </w:r>
    </w:p>
    <w:p>
      <w:pPr>
        <w:snapToGrid w:val="0"/>
        <w:ind w:firstLine="480"/>
        <w:rPr>
          <w:rFonts w:ascii="宋体" w:hAnsi="宋体" w:cs="宋体"/>
          <w:sz w:val="24"/>
        </w:rPr>
      </w:pPr>
      <w:r>
        <w:rPr>
          <w:rFonts w:hint="eastAsia" w:ascii="宋体" w:hAnsi="宋体" w:cs="宋体"/>
          <w:sz w:val="24"/>
        </w:rPr>
        <w:t>根据《中华人民共和国政府采购法》、《中华人民共和国合同法》、《中华人民共和国招标投标法》等法律、法规规定，按照政府采购文件和成交供应商响应文件，甲乙双方签订本合同。</w:t>
      </w:r>
    </w:p>
    <w:p>
      <w:pPr>
        <w:snapToGrid w:val="0"/>
        <w:ind w:firstLine="480"/>
        <w:rPr>
          <w:rFonts w:ascii="宋体" w:hAnsi="宋体" w:cs="宋体"/>
          <w:b/>
          <w:sz w:val="24"/>
        </w:rPr>
      </w:pPr>
      <w:r>
        <w:rPr>
          <w:rFonts w:hint="eastAsia" w:ascii="宋体" w:hAnsi="宋体" w:cs="宋体"/>
          <w:b/>
          <w:sz w:val="24"/>
        </w:rPr>
        <w:t>第一条  工程概况；</w:t>
      </w:r>
    </w:p>
    <w:p>
      <w:pPr>
        <w:snapToGrid w:val="0"/>
        <w:ind w:firstLine="480"/>
        <w:rPr>
          <w:rFonts w:ascii="宋体" w:hAnsi="宋体" w:cs="宋体"/>
          <w:sz w:val="24"/>
        </w:rPr>
      </w:pPr>
      <w:r>
        <w:rPr>
          <w:rFonts w:hint="eastAsia" w:ascii="宋体" w:hAnsi="宋体" w:cs="宋体"/>
          <w:sz w:val="24"/>
        </w:rPr>
        <w:t>1、工程名称：</w:t>
      </w:r>
      <w:r>
        <w:rPr>
          <w:rFonts w:hint="eastAsia" w:ascii="宋体" w:hAnsi="宋体" w:cs="宋体"/>
          <w:sz w:val="24"/>
          <w:u w:val="single"/>
        </w:rPr>
        <w:t xml:space="preserve">                                                          </w:t>
      </w:r>
    </w:p>
    <w:p>
      <w:pPr>
        <w:snapToGrid w:val="0"/>
        <w:ind w:firstLine="480"/>
        <w:rPr>
          <w:rFonts w:ascii="宋体" w:hAnsi="宋体" w:cs="宋体"/>
          <w:sz w:val="24"/>
          <w:u w:val="single"/>
        </w:rPr>
      </w:pPr>
      <w:r>
        <w:rPr>
          <w:rFonts w:hint="eastAsia" w:ascii="宋体" w:hAnsi="宋体" w:cs="宋体"/>
          <w:sz w:val="24"/>
        </w:rPr>
        <w:t>2、工程地点：</w:t>
      </w:r>
      <w:r>
        <w:rPr>
          <w:rFonts w:hint="eastAsia" w:ascii="宋体" w:hAnsi="宋体" w:cs="宋体"/>
          <w:sz w:val="24"/>
          <w:u w:val="single"/>
        </w:rPr>
        <w:t xml:space="preserve">                                                         </w:t>
      </w:r>
    </w:p>
    <w:p>
      <w:pPr>
        <w:snapToGrid w:val="0"/>
        <w:ind w:firstLine="480"/>
        <w:rPr>
          <w:rFonts w:ascii="宋体" w:hAnsi="宋体" w:cs="宋体"/>
          <w:sz w:val="24"/>
          <w:u w:val="single"/>
        </w:rPr>
      </w:pPr>
      <w:r>
        <w:rPr>
          <w:rFonts w:hint="eastAsia" w:ascii="宋体" w:hAnsi="宋体" w:cs="宋体"/>
          <w:sz w:val="24"/>
        </w:rPr>
        <w:t>3、承包范围：</w:t>
      </w:r>
      <w:r>
        <w:rPr>
          <w:rFonts w:hint="eastAsia" w:ascii="宋体" w:hAnsi="宋体" w:cs="宋体"/>
          <w:sz w:val="24"/>
          <w:u w:val="single"/>
        </w:rPr>
        <w:t xml:space="preserve">                                                         </w:t>
      </w:r>
    </w:p>
    <w:p>
      <w:pPr>
        <w:snapToGrid w:val="0"/>
        <w:ind w:firstLine="480"/>
        <w:rPr>
          <w:rFonts w:ascii="宋体" w:hAnsi="宋体" w:cs="宋体"/>
          <w:sz w:val="24"/>
          <w:u w:val="single"/>
        </w:rPr>
      </w:pPr>
      <w:r>
        <w:rPr>
          <w:rFonts w:hint="eastAsia" w:ascii="宋体" w:hAnsi="宋体" w:cs="宋体"/>
          <w:sz w:val="24"/>
        </w:rPr>
        <w:t>4、承包方式：</w:t>
      </w:r>
      <w:r>
        <w:rPr>
          <w:rFonts w:hint="eastAsia" w:ascii="宋体" w:hAnsi="宋体" w:cs="宋体"/>
          <w:sz w:val="24"/>
          <w:u w:val="single"/>
        </w:rPr>
        <w:t xml:space="preserve">                                                         </w:t>
      </w:r>
    </w:p>
    <w:p>
      <w:pPr>
        <w:snapToGrid w:val="0"/>
        <w:ind w:firstLine="480"/>
        <w:rPr>
          <w:rFonts w:ascii="宋体" w:hAnsi="宋体" w:cs="宋体"/>
          <w:sz w:val="24"/>
        </w:rPr>
      </w:pPr>
      <w:r>
        <w:rPr>
          <w:rFonts w:hint="eastAsia" w:ascii="宋体" w:hAnsi="宋体" w:cs="宋体"/>
          <w:sz w:val="24"/>
        </w:rPr>
        <w:t>5、工期：</w:t>
      </w:r>
      <w:r>
        <w:rPr>
          <w:rFonts w:hint="eastAsia" w:ascii="宋体" w:hAnsi="宋体" w:cs="宋体"/>
          <w:sz w:val="24"/>
          <w:u w:val="single"/>
        </w:rPr>
        <w:t xml:space="preserve">                                                             </w:t>
      </w:r>
    </w:p>
    <w:p>
      <w:pPr>
        <w:snapToGrid w:val="0"/>
        <w:ind w:firstLine="480"/>
        <w:rPr>
          <w:rFonts w:ascii="宋体" w:hAnsi="宋体" w:cs="宋体"/>
          <w:sz w:val="24"/>
          <w:u w:val="single"/>
        </w:rPr>
      </w:pPr>
      <w:r>
        <w:rPr>
          <w:rFonts w:hint="eastAsia" w:ascii="宋体" w:hAnsi="宋体" w:cs="宋体"/>
          <w:sz w:val="24"/>
        </w:rPr>
        <w:t>6、工程质量：</w:t>
      </w:r>
      <w:r>
        <w:rPr>
          <w:rFonts w:hint="eastAsia" w:ascii="宋体" w:hAnsi="宋体" w:cs="宋体"/>
          <w:sz w:val="24"/>
          <w:u w:val="single"/>
        </w:rPr>
        <w:t xml:space="preserve">                                                           </w:t>
      </w:r>
    </w:p>
    <w:p>
      <w:pPr>
        <w:snapToGrid w:val="0"/>
        <w:ind w:firstLine="480"/>
        <w:rPr>
          <w:rFonts w:ascii="宋体" w:hAnsi="宋体" w:cs="宋体"/>
          <w:sz w:val="24"/>
        </w:rPr>
      </w:pPr>
      <w:r>
        <w:rPr>
          <w:rFonts w:hint="eastAsia" w:ascii="宋体" w:hAnsi="宋体" w:cs="宋体"/>
          <w:sz w:val="24"/>
        </w:rPr>
        <w:t>7、合同总价款（人民币）：大写</w:t>
      </w:r>
      <w:r>
        <w:rPr>
          <w:rFonts w:hint="eastAsia" w:ascii="宋体" w:hAnsi="宋体" w:cs="宋体"/>
          <w:sz w:val="24"/>
          <w:u w:val="single"/>
        </w:rPr>
        <w:t xml:space="preserve">                            </w:t>
      </w:r>
      <w:r>
        <w:rPr>
          <w:rFonts w:hint="eastAsia" w:ascii="宋体" w:hAnsi="宋体" w:cs="宋体"/>
          <w:sz w:val="24"/>
        </w:rPr>
        <w:t>小写</w:t>
      </w:r>
      <w:r>
        <w:rPr>
          <w:rFonts w:hint="eastAsia" w:ascii="宋体" w:hAnsi="宋体" w:cs="宋体"/>
          <w:sz w:val="24"/>
          <w:u w:val="single"/>
        </w:rPr>
        <w:t xml:space="preserve">        </w:t>
      </w:r>
    </w:p>
    <w:p>
      <w:pPr>
        <w:snapToGrid w:val="0"/>
        <w:ind w:firstLine="480"/>
        <w:rPr>
          <w:rFonts w:ascii="宋体" w:hAnsi="宋体" w:cs="宋体"/>
          <w:b/>
          <w:sz w:val="24"/>
        </w:rPr>
      </w:pPr>
      <w:r>
        <w:rPr>
          <w:rFonts w:hint="eastAsia" w:ascii="宋体" w:hAnsi="宋体" w:cs="宋体"/>
          <w:b/>
          <w:sz w:val="24"/>
        </w:rPr>
        <w:t>第二条  甲方权利和义务</w:t>
      </w:r>
    </w:p>
    <w:p>
      <w:pPr>
        <w:snapToGrid w:val="0"/>
        <w:ind w:firstLine="480"/>
        <w:rPr>
          <w:rFonts w:ascii="宋体" w:hAnsi="宋体" w:cs="宋体"/>
          <w:sz w:val="24"/>
        </w:rPr>
      </w:pPr>
      <w:r>
        <w:rPr>
          <w:rFonts w:hint="eastAsia" w:ascii="宋体" w:hAnsi="宋体" w:cs="宋体"/>
          <w:sz w:val="24"/>
        </w:rPr>
        <w:t>1、开工前</w:t>
      </w:r>
      <w:r>
        <w:rPr>
          <w:rFonts w:hint="eastAsia" w:ascii="宋体" w:hAnsi="宋体" w:cs="宋体"/>
          <w:sz w:val="24"/>
          <w:u w:val="single"/>
        </w:rPr>
        <w:t xml:space="preserve">    </w:t>
      </w:r>
      <w:r>
        <w:rPr>
          <w:rFonts w:hint="eastAsia" w:ascii="宋体" w:hAnsi="宋体" w:cs="宋体"/>
          <w:sz w:val="24"/>
        </w:rPr>
        <w:t>天，向乙方提供经确认的施工图纸或作法说明</w:t>
      </w:r>
      <w:r>
        <w:rPr>
          <w:rFonts w:hint="eastAsia" w:ascii="宋体" w:hAnsi="宋体" w:cs="宋体"/>
          <w:sz w:val="24"/>
          <w:u w:val="single"/>
        </w:rPr>
        <w:t xml:space="preserve">    </w:t>
      </w:r>
      <w:r>
        <w:rPr>
          <w:rFonts w:hint="eastAsia" w:ascii="宋体" w:hAnsi="宋体" w:cs="宋体"/>
          <w:sz w:val="24"/>
        </w:rPr>
        <w:t>份，并向乙方进行图纸会审和现场交底。全部腾空或部分腾空房屋，清除影响施工的障碍物。对只能部分腾空的房屋中所滞留的家具、陈设等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pPr>
        <w:snapToGrid w:val="0"/>
        <w:ind w:firstLine="480"/>
        <w:rPr>
          <w:rFonts w:ascii="宋体" w:hAnsi="宋体" w:cs="宋体"/>
          <w:sz w:val="24"/>
        </w:rPr>
      </w:pPr>
      <w:r>
        <w:rPr>
          <w:rFonts w:hint="eastAsia" w:ascii="宋体" w:hAnsi="宋体" w:cs="宋体"/>
          <w:sz w:val="24"/>
        </w:rPr>
        <w:t>2、指派</w:t>
      </w:r>
      <w:r>
        <w:rPr>
          <w:rFonts w:hint="eastAsia" w:ascii="宋体" w:hAnsi="宋体" w:cs="宋体"/>
          <w:sz w:val="24"/>
          <w:u w:val="single"/>
        </w:rPr>
        <w:t xml:space="preserve">            </w:t>
      </w:r>
      <w:r>
        <w:rPr>
          <w:rFonts w:hint="eastAsia" w:ascii="宋体" w:hAnsi="宋体" w:cs="宋体"/>
          <w:sz w:val="24"/>
        </w:rPr>
        <w:t>为甲方驻工地代表，负责对本工程质量、材料、工程进度等合同履行监督检查、认证工作，办理验收、变更、登记手续和其他事宜。如乙方施工中存在质量问题，经甲方代表指出后不改正的，甲方有权责令停工，严重的停止执行合同。</w:t>
      </w:r>
    </w:p>
    <w:p>
      <w:pPr>
        <w:snapToGrid w:val="0"/>
        <w:spacing w:line="420" w:lineRule="exact"/>
        <w:ind w:left="2" w:firstLine="482" w:firstLineChars="201"/>
        <w:rPr>
          <w:rFonts w:ascii="宋体" w:hAnsi="宋体" w:cs="宋体"/>
          <w:sz w:val="24"/>
        </w:rPr>
      </w:pPr>
      <w:r>
        <w:rPr>
          <w:rFonts w:hint="eastAsia" w:ascii="宋体" w:hAnsi="宋体" w:cs="宋体"/>
          <w:sz w:val="24"/>
        </w:rPr>
        <w:t>3、委托</w:t>
      </w:r>
      <w:r>
        <w:rPr>
          <w:rFonts w:hint="eastAsia" w:ascii="宋体" w:hAnsi="宋体" w:cs="宋体"/>
          <w:sz w:val="24"/>
          <w:u w:val="single"/>
        </w:rPr>
        <w:t xml:space="preserve">                                              </w:t>
      </w:r>
      <w:r>
        <w:rPr>
          <w:rFonts w:hint="eastAsia" w:ascii="宋体" w:hAnsi="宋体" w:cs="宋体"/>
          <w:sz w:val="24"/>
        </w:rPr>
        <w:t>监理公司进行工程监理，监理公司任命</w:t>
      </w:r>
      <w:r>
        <w:rPr>
          <w:rFonts w:hint="eastAsia" w:ascii="宋体" w:hAnsi="宋体" w:cs="宋体"/>
          <w:sz w:val="24"/>
          <w:u w:val="single"/>
        </w:rPr>
        <w:t xml:space="preserve">           </w:t>
      </w:r>
      <w:r>
        <w:rPr>
          <w:rFonts w:hint="eastAsia" w:ascii="宋体" w:hAnsi="宋体" w:cs="宋体"/>
          <w:sz w:val="24"/>
        </w:rPr>
        <w:t>为总监理工程师，其职责在监理合同中应明确，并将监理合同副本交乙方</w:t>
      </w:r>
      <w:r>
        <w:rPr>
          <w:rFonts w:hint="eastAsia" w:ascii="宋体" w:hAnsi="宋体" w:cs="宋体"/>
          <w:sz w:val="24"/>
          <w:u w:val="single"/>
        </w:rPr>
        <w:t xml:space="preserve">    </w:t>
      </w:r>
      <w:r>
        <w:rPr>
          <w:rFonts w:hint="eastAsia" w:ascii="宋体" w:hAnsi="宋体" w:cs="宋体"/>
          <w:sz w:val="24"/>
        </w:rPr>
        <w:t>份。</w:t>
      </w:r>
    </w:p>
    <w:p>
      <w:pPr>
        <w:snapToGrid w:val="0"/>
        <w:spacing w:line="420" w:lineRule="exact"/>
        <w:ind w:firstLine="480"/>
        <w:rPr>
          <w:rFonts w:ascii="宋体" w:hAnsi="宋体" w:cs="宋体"/>
          <w:sz w:val="24"/>
        </w:rPr>
      </w:pPr>
      <w:r>
        <w:rPr>
          <w:rFonts w:hint="eastAsia" w:ascii="宋体" w:hAnsi="宋体" w:cs="宋体"/>
          <w:sz w:val="24"/>
        </w:rPr>
        <w:t>4、如确实需要拆改原建筑物结构或设备、管线，负责到有关部门办理相应审批手续。</w:t>
      </w:r>
    </w:p>
    <w:p>
      <w:pPr>
        <w:snapToGrid w:val="0"/>
        <w:spacing w:line="420" w:lineRule="exact"/>
        <w:ind w:firstLine="480"/>
        <w:rPr>
          <w:rFonts w:ascii="宋体" w:hAnsi="宋体" w:cs="宋体"/>
          <w:b/>
          <w:sz w:val="24"/>
        </w:rPr>
      </w:pPr>
      <w:r>
        <w:rPr>
          <w:rFonts w:hint="eastAsia" w:ascii="宋体" w:hAnsi="宋体" w:cs="宋体"/>
          <w:b/>
          <w:sz w:val="24"/>
        </w:rPr>
        <w:t>第三条  乙方权利和义务</w:t>
      </w:r>
    </w:p>
    <w:p>
      <w:pPr>
        <w:snapToGrid w:val="0"/>
        <w:spacing w:line="420" w:lineRule="exact"/>
        <w:ind w:firstLine="480"/>
        <w:rPr>
          <w:rFonts w:ascii="宋体" w:hAnsi="宋体" w:cs="宋体"/>
          <w:sz w:val="24"/>
        </w:rPr>
      </w:pPr>
      <w:r>
        <w:rPr>
          <w:rFonts w:hint="eastAsia" w:ascii="宋体" w:hAnsi="宋体" w:cs="宋体"/>
          <w:sz w:val="24"/>
        </w:rPr>
        <w:t>1、参加甲方组织的施工图纸或作法说明的现场交底，提供施工组织设计、施工方案和施工进度计划，</w:t>
      </w:r>
      <w:r>
        <w:rPr>
          <w:rFonts w:hint="eastAsia" w:ascii="宋体" w:hAnsi="宋体" w:cs="宋体"/>
          <w:sz w:val="24"/>
          <w:u w:val="single"/>
        </w:rPr>
        <w:t xml:space="preserve">    </w:t>
      </w:r>
      <w:r>
        <w:rPr>
          <w:rFonts w:hint="eastAsia" w:ascii="宋体" w:hAnsi="宋体" w:cs="宋体"/>
          <w:sz w:val="24"/>
        </w:rPr>
        <w:t xml:space="preserve"> 天内交甲方审定。办理施工所涉及的应由乙方办理的工程质量检测等报批手续和支付费用。</w:t>
      </w:r>
    </w:p>
    <w:p>
      <w:pPr>
        <w:snapToGrid w:val="0"/>
        <w:spacing w:line="420" w:lineRule="exact"/>
        <w:ind w:left="67" w:leftChars="32" w:firstLine="360" w:firstLineChars="150"/>
        <w:rPr>
          <w:rFonts w:ascii="宋体" w:hAnsi="宋体" w:cs="宋体"/>
          <w:sz w:val="24"/>
        </w:rPr>
      </w:pPr>
      <w:r>
        <w:rPr>
          <w:rFonts w:hint="eastAsia" w:ascii="宋体" w:hAnsi="宋体" w:cs="宋体"/>
          <w:sz w:val="24"/>
        </w:rPr>
        <w:t>2、本工程项目班子成员括：</w:t>
      </w:r>
      <w:r>
        <w:rPr>
          <w:rFonts w:hint="eastAsia" w:ascii="宋体" w:hAnsi="宋体" w:cs="宋体"/>
          <w:sz w:val="24"/>
          <w:u w:val="single"/>
        </w:rPr>
        <w:t xml:space="preserve">                                         </w:t>
      </w:r>
      <w:r>
        <w:rPr>
          <w:rFonts w:hint="eastAsia" w:ascii="宋体" w:hAnsi="宋体" w:cs="宋体"/>
          <w:sz w:val="24"/>
        </w:rPr>
        <w:t xml:space="preserve"> 。其中项目经理姓名：</w:t>
      </w:r>
      <w:r>
        <w:rPr>
          <w:rFonts w:hint="eastAsia" w:ascii="宋体" w:hAnsi="宋体" w:cs="宋体"/>
          <w:sz w:val="24"/>
          <w:u w:val="single"/>
        </w:rPr>
        <w:t xml:space="preserve">         </w:t>
      </w:r>
      <w:r>
        <w:rPr>
          <w:rFonts w:hint="eastAsia" w:ascii="宋体" w:hAnsi="宋体" w:cs="宋体"/>
          <w:sz w:val="24"/>
        </w:rPr>
        <w:t xml:space="preserve"> 、级别：</w:t>
      </w:r>
      <w:r>
        <w:rPr>
          <w:rFonts w:hint="eastAsia" w:ascii="宋体" w:hAnsi="宋体" w:cs="宋体"/>
          <w:sz w:val="24"/>
          <w:u w:val="single"/>
        </w:rPr>
        <w:t xml:space="preserve">      </w:t>
      </w:r>
      <w:r>
        <w:rPr>
          <w:rFonts w:hint="eastAsia" w:ascii="宋体" w:hAnsi="宋体" w:cs="宋体"/>
          <w:sz w:val="24"/>
        </w:rPr>
        <w:t>、职务（职称）：</w:t>
      </w:r>
      <w:r>
        <w:rPr>
          <w:rFonts w:hint="eastAsia" w:ascii="宋体" w:hAnsi="宋体" w:cs="宋体"/>
          <w:sz w:val="24"/>
          <w:u w:val="single"/>
        </w:rPr>
        <w:t xml:space="preserve">      </w:t>
      </w:r>
      <w:r>
        <w:rPr>
          <w:rFonts w:hint="eastAsia" w:ascii="宋体" w:hAnsi="宋体" w:cs="宋体"/>
          <w:sz w:val="24"/>
        </w:rPr>
        <w:t xml:space="preserve"> ，技术负责人姓名：</w:t>
      </w:r>
      <w:r>
        <w:rPr>
          <w:rFonts w:hint="eastAsia" w:ascii="宋体" w:hAnsi="宋体" w:cs="宋体"/>
          <w:sz w:val="24"/>
          <w:u w:val="single"/>
        </w:rPr>
        <w:t xml:space="preserve">       </w:t>
      </w:r>
      <w:r>
        <w:rPr>
          <w:rFonts w:hint="eastAsia" w:ascii="宋体" w:hAnsi="宋体" w:cs="宋体"/>
          <w:sz w:val="24"/>
        </w:rPr>
        <w:t xml:space="preserve"> 、职称：</w:t>
      </w:r>
      <w:r>
        <w:rPr>
          <w:rFonts w:hint="eastAsia" w:ascii="宋体" w:hAnsi="宋体" w:cs="宋体"/>
          <w:sz w:val="24"/>
          <w:u w:val="single"/>
        </w:rPr>
        <w:t xml:space="preserve">     </w:t>
      </w:r>
      <w:r>
        <w:rPr>
          <w:rFonts w:hint="eastAsia" w:ascii="宋体" w:hAnsi="宋体" w:cs="宋体"/>
          <w:sz w:val="24"/>
        </w:rPr>
        <w:t xml:space="preserve"> 。项目经理和技术负责人为乙方驻工地代表，负责合同履行。按要求组织施工，保质保量、按期完成施工任务，解决由乙方负责的各项事宜。项目班子成员必须与响应文件相符。</w:t>
      </w:r>
    </w:p>
    <w:p>
      <w:pPr>
        <w:snapToGrid w:val="0"/>
        <w:spacing w:line="420" w:lineRule="exact"/>
        <w:ind w:firstLine="480"/>
        <w:rPr>
          <w:rFonts w:ascii="宋体" w:hAnsi="宋体" w:cs="宋体"/>
          <w:sz w:val="24"/>
        </w:rPr>
      </w:pPr>
      <w:r>
        <w:rPr>
          <w:rFonts w:hint="eastAsia" w:ascii="宋体" w:hAnsi="宋体" w:cs="宋体"/>
          <w:sz w:val="24"/>
        </w:rPr>
        <w:t>3、严格执行施工规范、安全操作规程、防火安全和环境保护规定。严格按照图纸或作法说明进行施工，做好各项质量检查和增减项记录。参加竣工验收，编制工程结算，提供甲方签字认可的工程量变化清单。</w:t>
      </w:r>
    </w:p>
    <w:p>
      <w:pPr>
        <w:snapToGrid w:val="0"/>
        <w:spacing w:line="420" w:lineRule="exact"/>
        <w:ind w:firstLine="480" w:firstLineChars="200"/>
        <w:rPr>
          <w:rFonts w:ascii="宋体" w:hAnsi="宋体" w:cs="宋体"/>
          <w:sz w:val="24"/>
        </w:rPr>
      </w:pPr>
      <w:r>
        <w:rPr>
          <w:rFonts w:hint="eastAsia" w:ascii="宋体" w:hAnsi="宋体" w:cs="宋体"/>
          <w:sz w:val="24"/>
        </w:rPr>
        <w:t>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snapToGrid w:val="0"/>
        <w:spacing w:line="420" w:lineRule="exact"/>
        <w:ind w:firstLine="480" w:firstLineChars="200"/>
        <w:rPr>
          <w:rFonts w:ascii="宋体" w:hAnsi="宋体" w:cs="宋体"/>
          <w:sz w:val="24"/>
        </w:rPr>
      </w:pPr>
      <w:r>
        <w:rPr>
          <w:rFonts w:hint="eastAsia" w:ascii="宋体" w:hAnsi="宋体" w:cs="宋体"/>
          <w:sz w:val="24"/>
        </w:rPr>
        <w:t>5、施工中未经有关部门批准和甲方同意，不得随意拆改原建筑物结构及各种设备、管线。</w:t>
      </w:r>
    </w:p>
    <w:p>
      <w:pPr>
        <w:snapToGrid w:val="0"/>
        <w:spacing w:line="420" w:lineRule="exact"/>
        <w:ind w:firstLine="480" w:firstLineChars="200"/>
        <w:rPr>
          <w:rFonts w:ascii="宋体" w:hAnsi="宋体" w:cs="宋体"/>
          <w:sz w:val="24"/>
        </w:rPr>
      </w:pPr>
      <w:r>
        <w:rPr>
          <w:rFonts w:hint="eastAsia" w:ascii="宋体" w:hAnsi="宋体" w:cs="宋体"/>
          <w:sz w:val="24"/>
        </w:rPr>
        <w:t>6、工程竣工未移交甲方之前，负责对现场工程设施和工程成品进行保护。</w:t>
      </w:r>
    </w:p>
    <w:p>
      <w:pPr>
        <w:snapToGrid w:val="0"/>
        <w:spacing w:line="420" w:lineRule="exact"/>
        <w:ind w:firstLine="479" w:firstLineChars="199"/>
        <w:rPr>
          <w:rFonts w:ascii="宋体" w:hAnsi="宋体" w:cs="宋体"/>
          <w:b/>
          <w:sz w:val="24"/>
        </w:rPr>
      </w:pPr>
      <w:r>
        <w:rPr>
          <w:rFonts w:hint="eastAsia" w:ascii="宋体" w:hAnsi="宋体" w:cs="宋体"/>
          <w:b/>
          <w:sz w:val="24"/>
        </w:rPr>
        <w:t>第四条  材料供应</w:t>
      </w:r>
    </w:p>
    <w:p>
      <w:pPr>
        <w:snapToGrid w:val="0"/>
        <w:spacing w:line="420" w:lineRule="exact"/>
        <w:ind w:firstLine="480" w:firstLineChars="200"/>
        <w:rPr>
          <w:rFonts w:ascii="宋体" w:hAnsi="宋体" w:cs="宋体"/>
          <w:sz w:val="24"/>
        </w:rPr>
      </w:pPr>
      <w:r>
        <w:rPr>
          <w:rFonts w:hint="eastAsia" w:ascii="宋体" w:hAnsi="宋体" w:cs="宋体"/>
          <w:sz w:val="24"/>
        </w:rPr>
        <w:t>1、根据《国务院办公厅关于建立政府强制采购节能产品制度的通知》国办发[2007]51号和《财政部国家环保总局联合印发关于环境标志产品政府采购实施的意见》财库[2006]90号文件规定，本工程项目所用材料、设备应符合节能环保要求，尤其是胶粘剂、涂料等产品必须是国家认可的环境标志产品认证机构认证的环境标志产品。</w:t>
      </w:r>
    </w:p>
    <w:p>
      <w:pPr>
        <w:snapToGrid w:val="0"/>
        <w:spacing w:line="420" w:lineRule="exact"/>
        <w:ind w:firstLine="600" w:firstLineChars="250"/>
        <w:rPr>
          <w:rFonts w:ascii="宋体" w:hAnsi="宋体" w:cs="宋体"/>
          <w:sz w:val="24"/>
        </w:rPr>
      </w:pPr>
      <w:r>
        <w:rPr>
          <w:rFonts w:hint="eastAsia" w:ascii="宋体" w:hAnsi="宋体" w:cs="宋体"/>
          <w:sz w:val="24"/>
        </w:rPr>
        <w:t>2、甲方指定材料种类、品牌、规格、型号和单价等，由乙方负责采购、运输和保管，并承担材料采购、运输和保管费。乙方采购的材料必须用于本工程，不准挪作他用。</w:t>
      </w:r>
    </w:p>
    <w:p>
      <w:pPr>
        <w:snapToGrid w:val="0"/>
        <w:ind w:firstLine="600" w:firstLineChars="250"/>
        <w:rPr>
          <w:rFonts w:ascii="宋体" w:hAnsi="宋体" w:cs="宋体"/>
          <w:sz w:val="24"/>
        </w:rPr>
      </w:pPr>
      <w:r>
        <w:rPr>
          <w:rFonts w:hint="eastAsia" w:ascii="宋体" w:hAnsi="宋体" w:cs="宋体"/>
          <w:sz w:val="24"/>
        </w:rPr>
        <w:t>3、乙方负责采购的材料、设备，必须符合设计要求的合格产品。乙方应向甲方提供采购的材料、设备产品合格证明，甲方应予签字认可。</w:t>
      </w:r>
    </w:p>
    <w:p>
      <w:pPr>
        <w:snapToGrid w:val="0"/>
        <w:spacing w:line="420" w:lineRule="exact"/>
        <w:ind w:firstLine="593" w:firstLineChars="246"/>
        <w:rPr>
          <w:rFonts w:ascii="宋体" w:hAnsi="宋体" w:cs="宋体"/>
          <w:sz w:val="24"/>
        </w:rPr>
      </w:pPr>
      <w:r>
        <w:rPr>
          <w:rFonts w:hint="eastAsia" w:ascii="宋体" w:hAnsi="宋体" w:cs="宋体"/>
          <w:b/>
          <w:sz w:val="24"/>
        </w:rPr>
        <w:t>第五条</w:t>
      </w:r>
      <w:r>
        <w:rPr>
          <w:rFonts w:hint="eastAsia" w:ascii="宋体" w:hAnsi="宋体" w:cs="宋体"/>
          <w:sz w:val="24"/>
        </w:rPr>
        <w:t xml:space="preserve">  </w:t>
      </w:r>
      <w:r>
        <w:rPr>
          <w:rFonts w:hint="eastAsia" w:ascii="宋体" w:hAnsi="宋体" w:cs="宋体"/>
          <w:b/>
          <w:sz w:val="24"/>
        </w:rPr>
        <w:t>工期保证</w:t>
      </w:r>
    </w:p>
    <w:p>
      <w:pPr>
        <w:snapToGrid w:val="0"/>
        <w:spacing w:line="420" w:lineRule="exact"/>
        <w:ind w:firstLine="480" w:firstLineChars="200"/>
        <w:rPr>
          <w:rFonts w:ascii="宋体" w:hAnsi="宋体" w:cs="宋体"/>
          <w:sz w:val="24"/>
        </w:rPr>
      </w:pPr>
      <w:r>
        <w:rPr>
          <w:rFonts w:hint="eastAsia" w:ascii="宋体" w:hAnsi="宋体" w:cs="宋体"/>
          <w:sz w:val="24"/>
        </w:rPr>
        <w:t>1、乙方严格按照本合同要求，保证该工程按时竣工。</w:t>
      </w:r>
    </w:p>
    <w:p>
      <w:pPr>
        <w:snapToGrid w:val="0"/>
        <w:spacing w:line="420" w:lineRule="exact"/>
        <w:ind w:firstLine="480"/>
        <w:rPr>
          <w:rFonts w:ascii="宋体" w:hAnsi="宋体" w:cs="宋体"/>
          <w:sz w:val="24"/>
        </w:rPr>
      </w:pPr>
      <w:r>
        <w:rPr>
          <w:rFonts w:hint="eastAsia" w:ascii="宋体" w:hAnsi="宋体" w:cs="宋体"/>
          <w:sz w:val="24"/>
        </w:rPr>
        <w:t>2、甲方要求比合同约定的工期提前竣工时，应征得乙方同意，提前竣工费用另签协议。</w:t>
      </w:r>
    </w:p>
    <w:p>
      <w:pPr>
        <w:snapToGrid w:val="0"/>
        <w:spacing w:line="420" w:lineRule="exact"/>
        <w:ind w:firstLine="480" w:firstLineChars="200"/>
        <w:rPr>
          <w:rFonts w:ascii="宋体" w:hAnsi="宋体" w:cs="宋体"/>
          <w:sz w:val="24"/>
        </w:rPr>
      </w:pPr>
      <w:r>
        <w:rPr>
          <w:rFonts w:hint="eastAsia" w:ascii="宋体" w:hAnsi="宋体" w:cs="宋体"/>
          <w:sz w:val="24"/>
        </w:rPr>
        <w:t>3、因乙方责任，不能按期开工或中途无故停工，影响工期，工期不顺延。</w:t>
      </w:r>
    </w:p>
    <w:p>
      <w:pPr>
        <w:snapToGrid w:val="0"/>
        <w:spacing w:line="420" w:lineRule="exact"/>
        <w:ind w:firstLine="480" w:firstLineChars="200"/>
        <w:rPr>
          <w:rFonts w:ascii="宋体" w:hAnsi="宋体" w:cs="宋体"/>
          <w:sz w:val="24"/>
        </w:rPr>
      </w:pPr>
      <w:r>
        <w:rPr>
          <w:rFonts w:hint="eastAsia" w:ascii="宋体" w:hAnsi="宋体" w:cs="宋体"/>
          <w:sz w:val="24"/>
        </w:rPr>
        <w:t>4、因甲方责任，未按约定时间完成工作，影响工期，工期可顺延。</w:t>
      </w:r>
    </w:p>
    <w:p>
      <w:pPr>
        <w:snapToGrid w:val="0"/>
        <w:spacing w:line="420" w:lineRule="exact"/>
        <w:ind w:firstLine="480"/>
        <w:rPr>
          <w:rFonts w:ascii="宋体" w:hAnsi="宋体" w:cs="宋体"/>
          <w:sz w:val="24"/>
        </w:rPr>
      </w:pPr>
      <w:r>
        <w:rPr>
          <w:rFonts w:hint="eastAsia" w:ascii="宋体" w:hAnsi="宋体" w:cs="宋体"/>
          <w:sz w:val="24"/>
        </w:rPr>
        <w:t>5、因甲方原因增加工程量或未按本合同工程进度支付工程款，工期可顺延。</w:t>
      </w:r>
    </w:p>
    <w:p>
      <w:pPr>
        <w:snapToGrid w:val="0"/>
        <w:spacing w:line="420" w:lineRule="exact"/>
        <w:ind w:firstLine="480" w:firstLineChars="200"/>
        <w:rPr>
          <w:rFonts w:ascii="宋体" w:hAnsi="宋体" w:cs="宋体"/>
          <w:sz w:val="24"/>
        </w:rPr>
      </w:pPr>
      <w:r>
        <w:rPr>
          <w:rFonts w:hint="eastAsia" w:ascii="宋体" w:hAnsi="宋体" w:cs="宋体"/>
          <w:sz w:val="24"/>
        </w:rPr>
        <w:t>6、因设计变更或非乙方原因造成的停电、停水及不可抗力因素影响，导致停工8小时以上（一周内累计计算），工期相应顺延。</w:t>
      </w:r>
    </w:p>
    <w:p>
      <w:pPr>
        <w:snapToGrid w:val="0"/>
        <w:spacing w:line="420" w:lineRule="exact"/>
        <w:ind w:firstLine="482" w:firstLineChars="200"/>
        <w:rPr>
          <w:rFonts w:ascii="宋体" w:hAnsi="宋体" w:cs="宋体"/>
          <w:b/>
          <w:sz w:val="24"/>
        </w:rPr>
      </w:pPr>
      <w:r>
        <w:rPr>
          <w:rFonts w:hint="eastAsia" w:ascii="宋体" w:hAnsi="宋体" w:cs="宋体"/>
          <w:b/>
          <w:sz w:val="24"/>
        </w:rPr>
        <w:t>第六条  工程质量和验收</w:t>
      </w:r>
    </w:p>
    <w:p>
      <w:pPr>
        <w:snapToGrid w:val="0"/>
        <w:spacing w:line="420" w:lineRule="exact"/>
        <w:ind w:firstLine="720" w:firstLineChars="300"/>
        <w:rPr>
          <w:rFonts w:ascii="宋体" w:hAnsi="宋体" w:cs="宋体"/>
          <w:sz w:val="24"/>
          <w:u w:val="single"/>
        </w:rPr>
      </w:pPr>
      <w:r>
        <w:rPr>
          <w:rFonts w:hint="eastAsia" w:ascii="宋体" w:hAnsi="宋体" w:cs="宋体"/>
          <w:sz w:val="24"/>
        </w:rPr>
        <w:t>1、乙方必须保证本工程质量，并按相关规定，办理工程质量检测手续，向甲方提交工程质量报告。</w:t>
      </w:r>
    </w:p>
    <w:p>
      <w:pPr>
        <w:snapToGrid w:val="0"/>
        <w:spacing w:line="420" w:lineRule="exact"/>
        <w:rPr>
          <w:rFonts w:ascii="宋体" w:hAnsi="宋体" w:cs="宋体"/>
          <w:sz w:val="24"/>
        </w:rPr>
      </w:pPr>
      <w:r>
        <w:rPr>
          <w:rFonts w:hint="eastAsia" w:ascii="宋体" w:hAnsi="宋体" w:cs="宋体"/>
          <w:sz w:val="24"/>
        </w:rPr>
        <w:t xml:space="preserve">    2、本工程以施工图纸、作法说明、设计变更和《建筑装饰装修工程质量验收规范》（GB50210—2001）、《建筑工程施工质量验收统一标准》（GB50300—2001）等国家制订的施工及验收规范为本工程质量评定验收标准。</w:t>
      </w:r>
    </w:p>
    <w:p>
      <w:pPr>
        <w:snapToGrid w:val="0"/>
        <w:spacing w:line="420" w:lineRule="exact"/>
        <w:rPr>
          <w:rFonts w:ascii="宋体" w:hAnsi="宋体" w:cs="宋体"/>
          <w:sz w:val="24"/>
        </w:rPr>
      </w:pPr>
      <w:r>
        <w:rPr>
          <w:rFonts w:hint="eastAsia" w:ascii="宋体" w:hAnsi="宋体" w:cs="宋体"/>
          <w:sz w:val="24"/>
        </w:rPr>
        <w:t xml:space="preserve">    3、乙方应及时通知甲方对施工过程中的隐蔽工程进行检查和验收，并做好验收记录。如不及时参加验收，乙方可自行验收，甲方应予承认。</w:t>
      </w:r>
    </w:p>
    <w:p>
      <w:pPr>
        <w:snapToGrid w:val="0"/>
        <w:spacing w:line="420" w:lineRule="exact"/>
        <w:ind w:firstLine="480" w:firstLineChars="200"/>
        <w:rPr>
          <w:rFonts w:ascii="宋体" w:hAnsi="宋体" w:cs="宋体"/>
          <w:sz w:val="24"/>
        </w:rPr>
      </w:pPr>
      <w:r>
        <w:rPr>
          <w:rFonts w:hint="eastAsia" w:ascii="宋体" w:hAnsi="宋体" w:cs="宋体"/>
          <w:sz w:val="24"/>
        </w:rPr>
        <w:t>4、工程竣工前，乙方向甲方提交工程验收申请，约请甲方和有关部门对本工程进行验收。甲方应自接到验收通知</w:t>
      </w:r>
      <w:r>
        <w:rPr>
          <w:rFonts w:hint="eastAsia" w:ascii="宋体" w:hAnsi="宋体" w:cs="宋体"/>
          <w:sz w:val="24"/>
          <w:u w:val="single"/>
        </w:rPr>
        <w:t xml:space="preserve">    </w:t>
      </w:r>
      <w:r>
        <w:rPr>
          <w:rFonts w:hint="eastAsia" w:ascii="宋体" w:hAnsi="宋体" w:cs="宋体"/>
          <w:sz w:val="24"/>
        </w:rPr>
        <w:t>日内，可采取全面验收和抽检验收方法组织验收，并办理验收、移交手续。如甲方不能在规定时间内组织验收，需及时通知乙方，另定验收日期。但甲方应承认竣工日期，看管费用和相关费用由：</w:t>
      </w:r>
      <w:r>
        <w:rPr>
          <w:rFonts w:hint="eastAsia" w:ascii="宋体" w:hAnsi="宋体" w:cs="宋体"/>
          <w:sz w:val="24"/>
          <w:u w:val="single"/>
        </w:rPr>
        <w:t xml:space="preserve">                 </w:t>
      </w:r>
      <w:r>
        <w:rPr>
          <w:rFonts w:hint="eastAsia" w:ascii="宋体" w:hAnsi="宋体" w:cs="宋体"/>
          <w:sz w:val="24"/>
        </w:rPr>
        <w:t xml:space="preserve"> 。如甲方在验收过程中发现存在质量问题，应在验收后五日内以书面形式向乙方提出，乙方应自收到甲方书面异议后</w:t>
      </w:r>
      <w:r>
        <w:rPr>
          <w:rFonts w:hint="eastAsia" w:ascii="宋体" w:hAnsi="宋体" w:cs="宋体"/>
          <w:sz w:val="24"/>
          <w:u w:val="single"/>
        </w:rPr>
        <w:t xml:space="preserve">    </w:t>
      </w:r>
      <w:r>
        <w:rPr>
          <w:rFonts w:hint="eastAsia" w:ascii="宋体" w:hAnsi="宋体" w:cs="宋体"/>
          <w:sz w:val="24"/>
        </w:rPr>
        <w:t>日内及时予以解决。造成工程顺延由乙方承担责任。</w:t>
      </w:r>
    </w:p>
    <w:p>
      <w:pPr>
        <w:snapToGrid w:val="0"/>
        <w:spacing w:line="420" w:lineRule="exact"/>
        <w:ind w:firstLine="480" w:firstLineChars="200"/>
        <w:rPr>
          <w:rFonts w:ascii="宋体" w:hAnsi="宋体" w:cs="宋体"/>
          <w:sz w:val="24"/>
        </w:rPr>
      </w:pPr>
      <w:r>
        <w:rPr>
          <w:rFonts w:hint="eastAsia" w:ascii="宋体" w:hAnsi="宋体" w:cs="宋体"/>
          <w:sz w:val="24"/>
        </w:rPr>
        <w:t>5、乙方提供竣工资料和验收报告的时间为：</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日前；提供竣工图纸时间和份数为：</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w:t>
      </w:r>
      <w:r>
        <w:rPr>
          <w:rFonts w:hint="eastAsia" w:ascii="宋体" w:hAnsi="宋体" w:cs="宋体"/>
          <w:sz w:val="24"/>
          <w:u w:val="single"/>
        </w:rPr>
        <w:t xml:space="preserve">   份。</w:t>
      </w:r>
    </w:p>
    <w:p>
      <w:pPr>
        <w:snapToGrid w:val="0"/>
        <w:spacing w:line="420" w:lineRule="exact"/>
        <w:ind w:firstLine="480" w:firstLineChars="200"/>
        <w:rPr>
          <w:rFonts w:ascii="宋体" w:hAnsi="宋体" w:cs="宋体"/>
          <w:sz w:val="24"/>
        </w:rPr>
      </w:pPr>
      <w:r>
        <w:rPr>
          <w:rFonts w:hint="eastAsia" w:ascii="宋体" w:hAnsi="宋体" w:cs="宋体"/>
          <w:sz w:val="24"/>
        </w:rPr>
        <w:t>6、政府采购中心参与组织的工程验收项目，其验收时间以该项目验收方案确定的验收时间为准，验收结果以该项目验收报告结论为准。在验收过程中发现乙方有违约问题，应向财政部门建议暂缓资金结算，待违约问题解决后，方可办理资金结算事宜。</w:t>
      </w:r>
    </w:p>
    <w:p>
      <w:pPr>
        <w:snapToGrid w:val="0"/>
        <w:spacing w:line="420" w:lineRule="exact"/>
        <w:ind w:firstLine="482" w:firstLineChars="200"/>
        <w:rPr>
          <w:rFonts w:ascii="宋体" w:hAnsi="宋体" w:cs="宋体"/>
          <w:b/>
          <w:sz w:val="24"/>
        </w:rPr>
      </w:pPr>
      <w:r>
        <w:rPr>
          <w:rFonts w:hint="eastAsia" w:ascii="宋体" w:hAnsi="宋体" w:cs="宋体"/>
          <w:b/>
          <w:sz w:val="24"/>
        </w:rPr>
        <w:t>第七条  付款方式和结算</w:t>
      </w:r>
    </w:p>
    <w:p>
      <w:pPr>
        <w:snapToGrid w:val="0"/>
        <w:spacing w:line="420" w:lineRule="exact"/>
        <w:ind w:firstLine="480" w:firstLineChars="200"/>
        <w:rPr>
          <w:rFonts w:ascii="宋体" w:hAnsi="宋体" w:cs="宋体"/>
          <w:sz w:val="24"/>
          <w:u w:val="single"/>
        </w:rPr>
      </w:pPr>
      <w:r>
        <w:rPr>
          <w:rFonts w:hint="eastAsia" w:ascii="宋体" w:hAnsi="宋体" w:cs="宋体"/>
          <w:sz w:val="24"/>
        </w:rPr>
        <w:t>1、资金性质：</w:t>
      </w:r>
      <w:r>
        <w:rPr>
          <w:rFonts w:hint="eastAsia" w:ascii="宋体" w:hAnsi="宋体" w:cs="宋体"/>
          <w:sz w:val="24"/>
          <w:u w:val="single"/>
        </w:rPr>
        <w:t xml:space="preserve">          </w:t>
      </w:r>
    </w:p>
    <w:p>
      <w:pPr>
        <w:snapToGrid w:val="0"/>
        <w:spacing w:line="420" w:lineRule="exact"/>
        <w:ind w:firstLine="482"/>
        <w:jc w:val="both"/>
        <w:rPr>
          <w:rFonts w:ascii="宋体" w:hAnsi="宋体" w:cs="宋体"/>
          <w:sz w:val="24"/>
        </w:rPr>
      </w:pPr>
      <w:r>
        <w:rPr>
          <w:rFonts w:hint="eastAsia" w:ascii="宋体" w:hAnsi="宋体" w:cs="宋体"/>
          <w:sz w:val="24"/>
        </w:rPr>
        <w:t>2、付款方式：财政性资金按财政国库集中支付规定程序办理；自筹资金：</w:t>
      </w:r>
      <w:r>
        <w:rPr>
          <w:rFonts w:hint="eastAsia" w:ascii="宋体" w:hAnsi="宋体" w:cs="宋体"/>
          <w:sz w:val="24"/>
          <w:u w:val="single"/>
        </w:rPr>
        <w:t>                  。</w:t>
      </w:r>
      <w:r>
        <w:rPr>
          <w:rFonts w:hint="eastAsia" w:ascii="宋体" w:hAnsi="宋体" w:cs="宋体"/>
          <w:sz w:val="24"/>
        </w:rPr>
        <w:t>付款金额和时间为：本项目竣工验收合格后，凭合同全额增值税发票，采购人向成交供应商支付合同价100%的款项。</w:t>
      </w:r>
    </w:p>
    <w:p>
      <w:pPr>
        <w:spacing w:line="420" w:lineRule="exact"/>
        <w:ind w:firstLine="480"/>
        <w:rPr>
          <w:rFonts w:ascii="宋体" w:hAnsi="宋体" w:cs="宋体"/>
          <w:sz w:val="24"/>
        </w:rPr>
      </w:pPr>
      <w:r>
        <w:rPr>
          <w:rFonts w:hint="eastAsia" w:ascii="宋体" w:hAnsi="宋体" w:cs="宋体"/>
          <w:sz w:val="24"/>
        </w:rPr>
        <w:t>3、工程结算形式。固定单价价格形式竣工结算，按决算评审金额结算。如乙方在施工过程中出现特殊情况，在征求甲方同意的情况下，工程内容或工程量可以调整，工程结算时不能超出中标价格的10%。</w:t>
      </w:r>
    </w:p>
    <w:p>
      <w:pPr>
        <w:snapToGrid w:val="0"/>
        <w:spacing w:line="420" w:lineRule="exact"/>
        <w:ind w:firstLine="480"/>
        <w:rPr>
          <w:rFonts w:ascii="宋体" w:hAnsi="宋体" w:cs="宋体"/>
          <w:sz w:val="24"/>
        </w:rPr>
      </w:pPr>
      <w:r>
        <w:rPr>
          <w:rFonts w:hint="eastAsia" w:ascii="宋体" w:hAnsi="宋体" w:cs="宋体"/>
          <w:sz w:val="24"/>
        </w:rPr>
        <w:t>4、工程竣工结算：工程竣工验收后乙方向甲方提交工程结算书和其他有关工程资料，并将有关资料送交甲方。甲方自接到上述资料20个工作日内提出审计意见，甲乙双方在不超出中标价格并共同认可的审计额为本工程项目的结算总额。</w:t>
      </w:r>
    </w:p>
    <w:p>
      <w:pPr>
        <w:snapToGrid w:val="0"/>
        <w:spacing w:line="420" w:lineRule="exact"/>
        <w:ind w:left="-61" w:leftChars="-29" w:firstLine="590" w:firstLineChars="245"/>
        <w:rPr>
          <w:rFonts w:ascii="宋体" w:hAnsi="宋体" w:cs="宋体"/>
          <w:b/>
          <w:sz w:val="24"/>
        </w:rPr>
      </w:pPr>
      <w:r>
        <w:rPr>
          <w:rFonts w:hint="eastAsia" w:ascii="宋体" w:hAnsi="宋体" w:cs="宋体"/>
          <w:b/>
          <w:sz w:val="24"/>
        </w:rPr>
        <w:t>第八条　质量保证金</w:t>
      </w:r>
    </w:p>
    <w:p>
      <w:pPr>
        <w:snapToGrid w:val="0"/>
        <w:spacing w:line="420" w:lineRule="exact"/>
        <w:ind w:left="-61" w:leftChars="-29" w:firstLine="720" w:firstLineChars="300"/>
        <w:rPr>
          <w:rFonts w:ascii="宋体" w:hAnsi="宋体" w:cs="宋体"/>
          <w:sz w:val="24"/>
        </w:rPr>
      </w:pPr>
      <w:r>
        <w:rPr>
          <w:rFonts w:hint="eastAsia" w:ascii="宋体" w:hAnsi="宋体" w:cs="宋体"/>
          <w:sz w:val="24"/>
        </w:rPr>
        <w:t>甲方应在工程验收合格无异议后5个工作日内，在预付尾款中按本合同合计金额</w:t>
      </w:r>
      <w:r>
        <w:rPr>
          <w:rFonts w:hint="eastAsia" w:ascii="宋体" w:hAnsi="宋体" w:cs="宋体"/>
          <w:sz w:val="24"/>
          <w:u w:val="single"/>
        </w:rPr>
        <w:t xml:space="preserve">   </w:t>
      </w:r>
      <w:r>
        <w:rPr>
          <w:rFonts w:hint="eastAsia" w:ascii="宋体" w:hAnsi="宋体" w:cs="宋体"/>
          <w:sz w:val="24"/>
        </w:rPr>
        <w:t>%比例预留质量保证金，质量保证期过后5个工作日内无息返还。</w:t>
      </w:r>
    </w:p>
    <w:p>
      <w:pPr>
        <w:snapToGrid w:val="0"/>
        <w:spacing w:line="420" w:lineRule="exact"/>
        <w:ind w:firstLine="480"/>
        <w:rPr>
          <w:rFonts w:ascii="宋体" w:hAnsi="宋体" w:cs="宋体"/>
          <w:b/>
          <w:sz w:val="24"/>
        </w:rPr>
      </w:pPr>
      <w:r>
        <w:rPr>
          <w:rFonts w:hint="eastAsia" w:ascii="宋体" w:hAnsi="宋体" w:cs="宋体"/>
          <w:b/>
          <w:sz w:val="24"/>
        </w:rPr>
        <w:t>第九条  安全生产和防火</w:t>
      </w:r>
    </w:p>
    <w:p>
      <w:pPr>
        <w:snapToGrid w:val="0"/>
        <w:spacing w:line="420" w:lineRule="exact"/>
        <w:ind w:firstLine="480"/>
        <w:rPr>
          <w:rFonts w:ascii="宋体" w:hAnsi="宋体" w:cs="宋体"/>
          <w:sz w:val="24"/>
        </w:rPr>
      </w:pPr>
      <w:r>
        <w:rPr>
          <w:rFonts w:hint="eastAsia" w:ascii="宋体" w:hAnsi="宋体" w:cs="宋体"/>
          <w:sz w:val="24"/>
        </w:rPr>
        <w:t>1、乙方在施工期间应严格遵守《建筑工程施工安全技术操作规程》、《建筑工人安全技术操作规程》和其他相关的法规、规范。</w:t>
      </w:r>
    </w:p>
    <w:p>
      <w:pPr>
        <w:snapToGrid w:val="0"/>
        <w:spacing w:line="420" w:lineRule="exact"/>
        <w:ind w:firstLine="480" w:firstLineChars="200"/>
        <w:rPr>
          <w:rFonts w:ascii="宋体" w:hAnsi="宋体" w:cs="宋体"/>
          <w:sz w:val="24"/>
        </w:rPr>
      </w:pPr>
      <w:r>
        <w:rPr>
          <w:rFonts w:hint="eastAsia" w:ascii="宋体" w:hAnsi="宋体" w:cs="宋体"/>
          <w:sz w:val="24"/>
        </w:rPr>
        <w:t>2、甲方提供的施工图纸或作法说明，应符合《中华人民共和国消防法》和有关防火设计规范。</w:t>
      </w:r>
    </w:p>
    <w:p>
      <w:pPr>
        <w:snapToGrid w:val="0"/>
        <w:spacing w:line="420" w:lineRule="exact"/>
        <w:ind w:firstLine="480"/>
        <w:rPr>
          <w:rFonts w:ascii="宋体" w:hAnsi="宋体" w:cs="宋体"/>
          <w:b/>
          <w:sz w:val="24"/>
        </w:rPr>
      </w:pPr>
      <w:r>
        <w:rPr>
          <w:rFonts w:hint="eastAsia" w:ascii="宋体" w:hAnsi="宋体" w:cs="宋体"/>
          <w:b/>
          <w:sz w:val="24"/>
        </w:rPr>
        <w:t>第十条 工程保修</w:t>
      </w:r>
    </w:p>
    <w:p>
      <w:pPr>
        <w:spacing w:line="420" w:lineRule="exact"/>
        <w:ind w:firstLine="600" w:firstLineChars="250"/>
        <w:rPr>
          <w:rFonts w:ascii="宋体" w:hAnsi="宋体" w:cs="宋体"/>
          <w:sz w:val="24"/>
        </w:rPr>
      </w:pPr>
      <w:r>
        <w:rPr>
          <w:rFonts w:hint="eastAsia" w:ascii="宋体" w:hAnsi="宋体" w:cs="宋体"/>
          <w:sz w:val="24"/>
        </w:rPr>
        <w:t>1、本工程质量保修期为</w:t>
      </w:r>
      <w:r>
        <w:rPr>
          <w:rFonts w:hint="eastAsia" w:ascii="宋体" w:hAnsi="宋体" w:cs="宋体"/>
          <w:sz w:val="24"/>
          <w:u w:val="single"/>
        </w:rPr>
        <w:t xml:space="preserve">                  </w:t>
      </w:r>
      <w:r>
        <w:rPr>
          <w:rFonts w:hint="eastAsia" w:ascii="宋体" w:hAnsi="宋体" w:cs="宋体"/>
          <w:sz w:val="24"/>
        </w:rPr>
        <w:t>。</w:t>
      </w:r>
    </w:p>
    <w:p>
      <w:pPr>
        <w:spacing w:line="420" w:lineRule="exact"/>
        <w:rPr>
          <w:rFonts w:ascii="宋体" w:hAnsi="宋体" w:cs="宋体"/>
          <w:sz w:val="24"/>
        </w:rPr>
      </w:pPr>
      <w:r>
        <w:rPr>
          <w:rFonts w:ascii="宋体" w:hAnsi="宋体" w:cs="宋体"/>
          <w:sz w:val="24"/>
        </w:rPr>
        <w:pict>
          <v:line id="_x0000_s1027" o:spid="_x0000_s1027" o:spt="20" style="position:absolute;left:0pt;margin-left:514.5pt;margin-top:24.55pt;height:0pt;width:36pt;z-index:251663360;mso-width-relative:page;mso-height-relative:page;" coordsize="21600,21600">
            <v:path arrowok="t"/>
            <v:fill focussize="0,0"/>
            <v:stroke/>
            <v:imagedata o:title=""/>
            <o:lock v:ext="edit"/>
          </v:line>
        </w:pict>
      </w:r>
      <w:r>
        <w:rPr>
          <w:rFonts w:hint="eastAsia" w:ascii="宋体" w:hAnsi="宋体" w:cs="宋体"/>
          <w:sz w:val="24"/>
        </w:rPr>
        <w:t xml:space="preserve">     2、质量保修期间，由于施工质量等发生的问题，需要维修时，乙方无偿负责保修。乙方收到甲方保修通知</w:t>
      </w:r>
      <w:r>
        <w:rPr>
          <w:rFonts w:hint="eastAsia" w:ascii="宋体" w:hAnsi="宋体" w:cs="宋体"/>
          <w:sz w:val="24"/>
          <w:u w:val="single"/>
        </w:rPr>
        <w:t xml:space="preserve">    </w:t>
      </w:r>
      <w:r>
        <w:rPr>
          <w:rFonts w:hint="eastAsia" w:ascii="宋体" w:hAnsi="宋体" w:cs="宋体"/>
          <w:sz w:val="24"/>
        </w:rPr>
        <w:t>日内，进行保修。</w:t>
      </w:r>
    </w:p>
    <w:p>
      <w:pPr>
        <w:tabs>
          <w:tab w:val="left" w:pos="105"/>
        </w:tabs>
        <w:spacing w:line="420" w:lineRule="exact"/>
        <w:ind w:firstLine="600" w:firstLineChars="250"/>
        <w:rPr>
          <w:rFonts w:ascii="宋体" w:hAnsi="宋体" w:cs="宋体"/>
          <w:sz w:val="24"/>
        </w:rPr>
      </w:pPr>
      <w:r>
        <w:rPr>
          <w:rFonts w:hint="eastAsia" w:ascii="宋体" w:hAnsi="宋体" w:cs="宋体"/>
          <w:sz w:val="24"/>
        </w:rPr>
        <w:t>3、质量保修期间，由于甲方使用不当造成的问题，乙方负责维修，甲方负责支付人工和材料费用。乙方收到甲方维修通知</w:t>
      </w:r>
      <w:r>
        <w:rPr>
          <w:rFonts w:hint="eastAsia" w:ascii="宋体" w:hAnsi="宋体" w:cs="宋体"/>
          <w:sz w:val="24"/>
          <w:u w:val="single"/>
        </w:rPr>
        <w:t xml:space="preserve">    </w:t>
      </w:r>
      <w:r>
        <w:rPr>
          <w:rFonts w:hint="eastAsia" w:ascii="宋体" w:hAnsi="宋体" w:cs="宋体"/>
          <w:sz w:val="24"/>
        </w:rPr>
        <w:t>日内，进行维修。</w:t>
      </w:r>
    </w:p>
    <w:p>
      <w:pPr>
        <w:spacing w:line="420" w:lineRule="exact"/>
        <w:ind w:firstLine="600" w:firstLineChars="250"/>
        <w:rPr>
          <w:rFonts w:ascii="宋体" w:hAnsi="宋体" w:cs="宋体"/>
          <w:sz w:val="24"/>
        </w:rPr>
      </w:pPr>
      <w:r>
        <w:rPr>
          <w:rFonts w:hint="eastAsia" w:ascii="宋体" w:hAnsi="宋体" w:cs="宋体"/>
          <w:sz w:val="24"/>
        </w:rPr>
        <w:t>4、乙方提供的服务承诺和保修期责任等其它具体约定事项。（见合同附件）</w:t>
      </w:r>
    </w:p>
    <w:p>
      <w:pPr>
        <w:snapToGrid w:val="0"/>
        <w:spacing w:line="420" w:lineRule="exact"/>
        <w:ind w:firstLine="482" w:firstLineChars="200"/>
        <w:rPr>
          <w:rFonts w:ascii="宋体" w:hAnsi="宋体" w:cs="宋体"/>
          <w:b/>
          <w:sz w:val="24"/>
        </w:rPr>
      </w:pPr>
      <w:r>
        <w:rPr>
          <w:rFonts w:hint="eastAsia" w:ascii="宋体" w:hAnsi="宋体" w:cs="宋体"/>
          <w:b/>
          <w:sz w:val="24"/>
        </w:rPr>
        <w:t>第十一条  合同的变更、终止与转让</w:t>
      </w:r>
    </w:p>
    <w:p>
      <w:pPr>
        <w:snapToGrid w:val="0"/>
        <w:spacing w:line="420" w:lineRule="exact"/>
        <w:ind w:firstLine="480" w:firstLineChars="200"/>
        <w:rPr>
          <w:rFonts w:ascii="宋体" w:hAnsi="宋体" w:cs="宋体"/>
          <w:sz w:val="24"/>
        </w:rPr>
      </w:pPr>
      <w:r>
        <w:rPr>
          <w:rFonts w:hint="eastAsia" w:ascii="宋体" w:hAnsi="宋体" w:cs="宋体"/>
          <w:sz w:val="24"/>
        </w:rPr>
        <w:t>1、除《中华人民共和国政府采购法》第50条规定的情形外，本合同一经签定，甲乙双方不得擅自变更、中止或终止合同。</w:t>
      </w:r>
    </w:p>
    <w:p>
      <w:pPr>
        <w:snapToGrid w:val="0"/>
        <w:spacing w:line="420" w:lineRule="exact"/>
        <w:ind w:left="560"/>
        <w:rPr>
          <w:rFonts w:ascii="宋体" w:hAnsi="宋体" w:cs="宋体"/>
          <w:sz w:val="24"/>
        </w:rPr>
      </w:pPr>
      <w:r>
        <w:rPr>
          <w:rFonts w:hint="eastAsia" w:ascii="宋体" w:hAnsi="宋体" w:cs="宋体"/>
          <w:sz w:val="24"/>
        </w:rPr>
        <w:t>2、乙方不得擅自转让其应履行的合同义务。</w:t>
      </w:r>
    </w:p>
    <w:p>
      <w:pPr>
        <w:snapToGrid w:val="0"/>
        <w:spacing w:line="420" w:lineRule="exact"/>
        <w:ind w:firstLine="480"/>
        <w:rPr>
          <w:rFonts w:ascii="宋体" w:hAnsi="宋体" w:cs="宋体"/>
          <w:b/>
          <w:sz w:val="24"/>
        </w:rPr>
      </w:pPr>
      <w:r>
        <w:rPr>
          <w:rFonts w:hint="eastAsia" w:ascii="宋体" w:hAnsi="宋体" w:cs="宋体"/>
          <w:b/>
          <w:sz w:val="24"/>
        </w:rPr>
        <w:t>第十二条  违约责任</w:t>
      </w:r>
    </w:p>
    <w:p>
      <w:pPr>
        <w:snapToGrid w:val="0"/>
        <w:spacing w:line="420" w:lineRule="exact"/>
        <w:ind w:firstLine="480"/>
        <w:rPr>
          <w:rFonts w:ascii="宋体" w:hAnsi="宋体" w:cs="宋体"/>
          <w:sz w:val="24"/>
        </w:rPr>
      </w:pPr>
      <w:r>
        <w:rPr>
          <w:rFonts w:hint="eastAsia" w:ascii="宋体" w:hAnsi="宋体" w:cs="宋体"/>
          <w:sz w:val="24"/>
        </w:rPr>
        <w:t>1、由于甲方原因导致延期开工或中途停工，甲方应补偿乙方因延期开工或停工所造成的损失，每停工一天，甲方支付乙方</w:t>
      </w:r>
      <w:r>
        <w:rPr>
          <w:rFonts w:hint="eastAsia" w:ascii="宋体" w:hAnsi="宋体" w:cs="宋体"/>
          <w:sz w:val="24"/>
          <w:u w:val="single"/>
        </w:rPr>
        <w:t xml:space="preserve">        </w:t>
      </w:r>
      <w:r>
        <w:rPr>
          <w:rFonts w:hint="eastAsia" w:ascii="宋体" w:hAnsi="宋体" w:cs="宋体"/>
          <w:sz w:val="24"/>
        </w:rPr>
        <w:t>元违约金。</w:t>
      </w:r>
    </w:p>
    <w:p>
      <w:pPr>
        <w:snapToGrid w:val="0"/>
        <w:ind w:firstLine="590" w:firstLineChars="246"/>
        <w:rPr>
          <w:rFonts w:ascii="宋体" w:hAnsi="宋体" w:cs="宋体"/>
          <w:sz w:val="24"/>
        </w:rPr>
      </w:pPr>
      <w:r>
        <w:rPr>
          <w:rFonts w:hint="eastAsia" w:ascii="宋体" w:hAnsi="宋体" w:cs="宋体"/>
          <w:sz w:val="24"/>
        </w:rPr>
        <w:t>2、甲方不按合同约定时间拨付款，每逾期一天，按应付款额的3 ‰向乙方支付滞纳金。</w:t>
      </w:r>
    </w:p>
    <w:p>
      <w:pPr>
        <w:snapToGrid w:val="0"/>
        <w:spacing w:line="420" w:lineRule="exact"/>
        <w:ind w:firstLine="480"/>
        <w:rPr>
          <w:rFonts w:ascii="宋体" w:hAnsi="宋体" w:cs="宋体"/>
          <w:sz w:val="24"/>
        </w:rPr>
      </w:pPr>
      <w:r>
        <w:rPr>
          <w:rFonts w:hint="eastAsia" w:ascii="宋体" w:hAnsi="宋体" w:cs="宋体"/>
          <w:sz w:val="24"/>
        </w:rPr>
        <w:t>3、由于甲方提供或确定的材料、设备质量不合格而影响本工程质量，其返工费用由甲方承担，工期顺延。</w:t>
      </w:r>
    </w:p>
    <w:p>
      <w:pPr>
        <w:snapToGrid w:val="0"/>
        <w:spacing w:line="420" w:lineRule="exact"/>
        <w:ind w:firstLine="480" w:firstLineChars="200"/>
        <w:rPr>
          <w:rFonts w:ascii="宋体" w:hAnsi="宋体" w:cs="宋体"/>
          <w:sz w:val="24"/>
        </w:rPr>
      </w:pPr>
      <w:r>
        <w:rPr>
          <w:rFonts w:hint="eastAsia" w:ascii="宋体" w:hAnsi="宋体" w:cs="宋体"/>
          <w:sz w:val="24"/>
        </w:rPr>
        <w:t>4、甲方未办理任何手续，擅自同意拆改原有建筑物结构或设备、管线，由此发生的损失或事故（包括罚款），由甲方负责并承担损失。</w:t>
      </w:r>
    </w:p>
    <w:p>
      <w:pPr>
        <w:snapToGrid w:val="0"/>
        <w:spacing w:line="420" w:lineRule="exact"/>
        <w:ind w:firstLine="480" w:firstLineChars="200"/>
        <w:rPr>
          <w:rFonts w:ascii="宋体" w:hAnsi="宋体" w:cs="宋体"/>
          <w:sz w:val="24"/>
        </w:rPr>
      </w:pPr>
      <w:r>
        <w:rPr>
          <w:rFonts w:hint="eastAsia" w:ascii="宋体" w:hAnsi="宋体" w:cs="宋体"/>
          <w:sz w:val="24"/>
        </w:rPr>
        <w:t>5、甲方未办理验收手续，提前使用或擅自动用，造成损失由甲方负责。</w:t>
      </w:r>
    </w:p>
    <w:p>
      <w:pPr>
        <w:snapToGrid w:val="0"/>
        <w:spacing w:line="420" w:lineRule="exact"/>
        <w:ind w:firstLine="480" w:firstLineChars="200"/>
        <w:rPr>
          <w:rFonts w:ascii="宋体" w:hAnsi="宋体" w:cs="宋体"/>
          <w:sz w:val="24"/>
        </w:rPr>
      </w:pPr>
      <w:r>
        <w:rPr>
          <w:rFonts w:hint="eastAsia" w:ascii="宋体" w:hAnsi="宋体" w:cs="宋体"/>
          <w:sz w:val="24"/>
        </w:rPr>
        <w:t>6、由于乙方原因逾期竣工，乙方应补偿甲方因逾期竣工所造成的损失。每逾期一天，乙方支付甲方</w:t>
      </w:r>
      <w:r>
        <w:rPr>
          <w:rFonts w:hint="eastAsia" w:ascii="宋体" w:hAnsi="宋体" w:cs="宋体"/>
          <w:sz w:val="24"/>
          <w:u w:val="single"/>
        </w:rPr>
        <w:t xml:space="preserve">       </w:t>
      </w:r>
      <w:r>
        <w:rPr>
          <w:rFonts w:hint="eastAsia" w:ascii="宋体" w:hAnsi="宋体" w:cs="宋体"/>
          <w:sz w:val="24"/>
        </w:rPr>
        <w:t>元违约金。</w:t>
      </w:r>
    </w:p>
    <w:p>
      <w:pPr>
        <w:snapToGrid w:val="0"/>
        <w:spacing w:line="420" w:lineRule="exact"/>
        <w:ind w:firstLine="480" w:firstLineChars="200"/>
        <w:rPr>
          <w:rFonts w:ascii="宋体" w:hAnsi="宋体" w:cs="宋体"/>
          <w:sz w:val="24"/>
        </w:rPr>
      </w:pPr>
      <w:r>
        <w:rPr>
          <w:rFonts w:hint="eastAsia" w:ascii="宋体" w:hAnsi="宋体" w:cs="宋体"/>
          <w:sz w:val="24"/>
        </w:rPr>
        <w:t>7、由于乙方原因造成本工程质量事故，其返工费用由乙方承担，工期不顺延，并负责因此造成的全部损失。</w:t>
      </w:r>
    </w:p>
    <w:p>
      <w:pPr>
        <w:snapToGrid w:val="0"/>
        <w:spacing w:line="420" w:lineRule="exact"/>
        <w:ind w:firstLine="480"/>
        <w:rPr>
          <w:rFonts w:ascii="宋体" w:hAnsi="宋体" w:cs="宋体"/>
          <w:sz w:val="24"/>
        </w:rPr>
      </w:pPr>
      <w:r>
        <w:rPr>
          <w:rFonts w:hint="eastAsia" w:ascii="宋体" w:hAnsi="宋体" w:cs="宋体"/>
          <w:sz w:val="24"/>
        </w:rPr>
        <w:t>8、乙方应妥善保管甲方提供的材料、设备和现场堆放的物品及工程成品，如保管不当造成损失，乙方应照价赔偿。</w:t>
      </w:r>
    </w:p>
    <w:p>
      <w:pPr>
        <w:snapToGrid w:val="0"/>
        <w:spacing w:line="420" w:lineRule="exact"/>
        <w:ind w:firstLine="480" w:firstLineChars="200"/>
        <w:rPr>
          <w:rFonts w:ascii="宋体" w:hAnsi="宋体" w:cs="宋体"/>
          <w:sz w:val="24"/>
        </w:rPr>
      </w:pPr>
      <w:r>
        <w:rPr>
          <w:rFonts w:hint="eastAsia" w:ascii="宋体" w:hAnsi="宋体" w:cs="宋体"/>
          <w:sz w:val="24"/>
        </w:rPr>
        <w:t>9、未经甲方同意，乙方擅自拆改原建筑物结构或设备、管线，由此发生的损失或事故（包括罚款），由乙方负责并承担损失。</w:t>
      </w:r>
    </w:p>
    <w:p>
      <w:pPr>
        <w:snapToGrid w:val="0"/>
        <w:spacing w:line="420" w:lineRule="exact"/>
        <w:ind w:firstLine="480"/>
        <w:rPr>
          <w:rFonts w:ascii="宋体" w:hAnsi="宋体" w:cs="宋体"/>
          <w:sz w:val="24"/>
        </w:rPr>
      </w:pPr>
      <w:r>
        <w:rPr>
          <w:rFonts w:hint="eastAsia" w:ascii="宋体" w:hAnsi="宋体" w:cs="宋体"/>
          <w:sz w:val="24"/>
        </w:rPr>
        <w:t>10、由于乙方在施工生产过程中违反有关安全操作规程、消防法，导致发生安全事故或火灾事故，乙方应承担由此引发的一切责任。</w:t>
      </w:r>
    </w:p>
    <w:p>
      <w:pPr>
        <w:tabs>
          <w:tab w:val="left" w:pos="105"/>
        </w:tabs>
        <w:spacing w:line="420" w:lineRule="exact"/>
        <w:ind w:firstLine="480" w:firstLineChars="200"/>
        <w:rPr>
          <w:rFonts w:ascii="宋体" w:hAnsi="宋体" w:cs="宋体"/>
          <w:sz w:val="24"/>
        </w:rPr>
      </w:pPr>
      <w:r>
        <w:rPr>
          <w:rFonts w:hint="eastAsia" w:ascii="宋体" w:hAnsi="宋体" w:cs="宋体"/>
          <w:sz w:val="24"/>
        </w:rPr>
        <w:t>11、乙方拒不执行保修期责任和服务承诺，甲方有权扣除全部质量保证金，并追究乙方违约责任。</w:t>
      </w:r>
    </w:p>
    <w:p>
      <w:pPr>
        <w:tabs>
          <w:tab w:val="left" w:pos="105"/>
        </w:tabs>
        <w:spacing w:line="420" w:lineRule="exact"/>
        <w:ind w:firstLine="480" w:firstLineChars="200"/>
        <w:rPr>
          <w:rFonts w:ascii="宋体" w:hAnsi="宋体" w:cs="宋体"/>
          <w:sz w:val="24"/>
        </w:rPr>
      </w:pPr>
      <w:r>
        <w:rPr>
          <w:rFonts w:hint="eastAsia" w:ascii="宋体" w:hAnsi="宋体" w:cs="宋体"/>
          <w:sz w:val="24"/>
        </w:rPr>
        <w:t>12、因一方原因，合同无法继续履行时，应通知对方，按规定程序办理合同终止协议，并由责任方赔偿对方由此造成的全部经济损失。</w:t>
      </w:r>
    </w:p>
    <w:p>
      <w:pPr>
        <w:snapToGrid w:val="0"/>
        <w:spacing w:line="420" w:lineRule="exact"/>
        <w:ind w:firstLine="480" w:firstLineChars="200"/>
        <w:rPr>
          <w:rFonts w:ascii="宋体" w:hAnsi="宋体" w:cs="宋体"/>
          <w:sz w:val="24"/>
        </w:rPr>
      </w:pPr>
      <w:r>
        <w:rPr>
          <w:rFonts w:hint="eastAsia" w:ascii="宋体" w:hAnsi="宋体" w:cs="宋体"/>
          <w:sz w:val="24"/>
        </w:rPr>
        <w:t>13、其他违约行为按违约额5%收取违约金并赔偿经济损失。</w:t>
      </w:r>
    </w:p>
    <w:p>
      <w:pPr>
        <w:snapToGrid w:val="0"/>
        <w:spacing w:line="420" w:lineRule="exact"/>
        <w:ind w:firstLine="482" w:firstLineChars="200"/>
        <w:rPr>
          <w:rFonts w:ascii="宋体" w:hAnsi="宋体" w:cs="宋体"/>
          <w:sz w:val="24"/>
        </w:rPr>
      </w:pPr>
      <w:r>
        <w:rPr>
          <w:rFonts w:hint="eastAsia" w:ascii="宋体" w:hAnsi="宋体" w:cs="宋体"/>
          <w:b/>
          <w:sz w:val="24"/>
        </w:rPr>
        <w:t>第十三条、合同争议解决</w:t>
      </w:r>
    </w:p>
    <w:p>
      <w:pPr>
        <w:snapToGrid w:val="0"/>
        <w:spacing w:line="420" w:lineRule="exact"/>
        <w:ind w:firstLine="480" w:firstLineChars="200"/>
        <w:rPr>
          <w:rFonts w:ascii="宋体" w:hAnsi="宋体" w:cs="宋体"/>
          <w:sz w:val="24"/>
        </w:rPr>
      </w:pPr>
      <w:r>
        <w:rPr>
          <w:rFonts w:hint="eastAsia" w:ascii="宋体" w:hAnsi="宋体" w:cs="宋体"/>
          <w:sz w:val="24"/>
        </w:rPr>
        <w:t>1、因履行本合同引起的或与本合同有关的争议，甲乙双方应首先通过友好协商解决，如果协商不能解决，可采取以下（ ）种方法解决，</w:t>
      </w:r>
    </w:p>
    <w:p>
      <w:pPr>
        <w:snapToGrid w:val="0"/>
        <w:spacing w:line="420" w:lineRule="exact"/>
        <w:ind w:firstLine="480" w:firstLineChars="200"/>
        <w:rPr>
          <w:rFonts w:ascii="宋体" w:hAnsi="宋体" w:cs="宋体"/>
          <w:b/>
          <w:sz w:val="24"/>
        </w:rPr>
      </w:pPr>
      <w:r>
        <w:rPr>
          <w:rFonts w:hint="eastAsia" w:ascii="宋体" w:hAnsi="宋体" w:cs="宋体"/>
          <w:sz w:val="24"/>
        </w:rPr>
        <w:t>A向仲裁委员会申请仲裁。B向人民法院诉讼。</w:t>
      </w:r>
    </w:p>
    <w:p>
      <w:pPr>
        <w:widowControl/>
        <w:snapToGrid w:val="0"/>
        <w:spacing w:line="420" w:lineRule="exact"/>
        <w:ind w:firstLine="482" w:firstLineChars="200"/>
        <w:rPr>
          <w:rFonts w:ascii="宋体" w:hAnsi="宋体" w:cs="宋体"/>
          <w:b/>
          <w:sz w:val="24"/>
        </w:rPr>
      </w:pPr>
      <w:r>
        <w:rPr>
          <w:rFonts w:hint="eastAsia" w:ascii="宋体" w:hAnsi="宋体" w:cs="宋体"/>
          <w:b/>
          <w:sz w:val="24"/>
        </w:rPr>
        <w:t>第十四条　合同文件组成</w:t>
      </w:r>
    </w:p>
    <w:p>
      <w:pPr>
        <w:widowControl/>
        <w:snapToGrid w:val="0"/>
        <w:spacing w:line="420" w:lineRule="exact"/>
        <w:ind w:firstLine="480" w:firstLineChars="200"/>
        <w:rPr>
          <w:rFonts w:ascii="宋体" w:hAnsi="宋体" w:cs="宋体"/>
          <w:sz w:val="24"/>
          <w:u w:val="single"/>
        </w:rPr>
      </w:pPr>
      <w:r>
        <w:rPr>
          <w:rFonts w:hint="eastAsia" w:ascii="宋体" w:hAnsi="宋体" w:cs="宋体"/>
          <w:sz w:val="24"/>
        </w:rPr>
        <w:t>1、政府采购文件；2、乙方提供的响应文件；3、甲方提供工程清单；4、供应商承诺书：5、评审记录；6、成交通知书。</w:t>
      </w:r>
    </w:p>
    <w:p>
      <w:pPr>
        <w:widowControl/>
        <w:snapToGrid w:val="0"/>
        <w:spacing w:line="420" w:lineRule="exact"/>
        <w:ind w:firstLine="482" w:firstLineChars="200"/>
        <w:rPr>
          <w:rFonts w:ascii="宋体" w:hAnsi="宋体" w:cs="宋体"/>
          <w:sz w:val="24"/>
        </w:rPr>
      </w:pPr>
      <w:r>
        <w:rPr>
          <w:rFonts w:hint="eastAsia" w:ascii="宋体" w:hAnsi="宋体" w:cs="宋体"/>
          <w:b/>
          <w:sz w:val="24"/>
        </w:rPr>
        <w:t>第十五条　</w:t>
      </w:r>
      <w:r>
        <w:rPr>
          <w:rFonts w:hint="eastAsia" w:ascii="宋体" w:hAnsi="宋体" w:cs="宋体"/>
          <w:sz w:val="24"/>
        </w:rPr>
        <w:t>本合同一式二份，甲方、乙方各一份（可根据需要另增加）。</w:t>
      </w:r>
    </w:p>
    <w:p>
      <w:pPr>
        <w:widowControl/>
        <w:snapToGrid w:val="0"/>
        <w:spacing w:line="420" w:lineRule="exact"/>
        <w:ind w:firstLine="480" w:firstLineChars="200"/>
        <w:rPr>
          <w:rFonts w:ascii="宋体" w:hAnsi="宋体" w:cs="宋体"/>
          <w:sz w:val="24"/>
        </w:rPr>
      </w:pPr>
      <w:r>
        <w:rPr>
          <w:rFonts w:hint="eastAsia" w:ascii="宋体" w:hAnsi="宋体" w:cs="宋体"/>
          <w:sz w:val="24"/>
        </w:rPr>
        <w:t>本合同甲乙双方签字盖章后生效，自签订之日起7个工作日内，采购人应当将合同副本报同级政府采购监督管理部门备案。</w:t>
      </w:r>
    </w:p>
    <w:p>
      <w:pPr>
        <w:adjustRightInd w:val="0"/>
        <w:snapToGrid w:val="0"/>
        <w:rPr>
          <w:rFonts w:ascii="宋体" w:hAnsi="宋体" w:cs="宋体"/>
        </w:rPr>
      </w:pPr>
    </w:p>
    <w:p>
      <w:pPr>
        <w:adjustRightInd w:val="0"/>
        <w:snapToGrid w:val="0"/>
        <w:rPr>
          <w:rFonts w:ascii="宋体" w:hAnsi="宋体" w:cs="宋体"/>
        </w:rPr>
        <w:sectPr>
          <w:footerReference r:id="rId9" w:type="default"/>
          <w:footerReference r:id="rId10" w:type="even"/>
          <w:pgSz w:w="11906" w:h="16838"/>
          <w:pgMar w:top="1417" w:right="1701" w:bottom="1417" w:left="1701" w:header="851" w:footer="992" w:gutter="0"/>
          <w:cols w:space="720" w:num="1"/>
          <w:titlePg/>
          <w:docGrid w:type="lines" w:linePitch="312" w:charSpace="0"/>
        </w:sectPr>
      </w:pPr>
    </w:p>
    <w:tbl>
      <w:tblPr>
        <w:tblStyle w:val="48"/>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7"/>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1" w:hRule="atLeast"/>
        </w:trPr>
        <w:tc>
          <w:tcPr>
            <w:tcW w:w="4357" w:type="dxa"/>
            <w:vAlign w:val="center"/>
          </w:tcPr>
          <w:p>
            <w:pPr>
              <w:snapToGrid w:val="0"/>
              <w:rPr>
                <w:rFonts w:ascii="宋体" w:hAnsi="宋体" w:cs="宋体"/>
                <w:sz w:val="24"/>
              </w:rPr>
            </w:pPr>
            <w:r>
              <w:rPr>
                <w:rFonts w:hint="eastAsia" w:ascii="宋体" w:hAnsi="宋体" w:cs="宋体"/>
                <w:sz w:val="24"/>
              </w:rPr>
              <w:t>甲方（章）</w:t>
            </w: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ind w:firstLine="1080" w:firstLineChars="450"/>
              <w:jc w:val="right"/>
              <w:rPr>
                <w:rFonts w:ascii="宋体" w:hAnsi="宋体" w:cs="宋体"/>
                <w:sz w:val="24"/>
              </w:rPr>
            </w:pPr>
            <w:r>
              <w:rPr>
                <w:rFonts w:hint="eastAsia" w:ascii="宋体" w:hAnsi="宋体" w:cs="宋体"/>
                <w:sz w:val="24"/>
              </w:rPr>
              <w:t>年   月   日</w:t>
            </w:r>
          </w:p>
        </w:tc>
        <w:tc>
          <w:tcPr>
            <w:tcW w:w="4360" w:type="dxa"/>
            <w:vAlign w:val="center"/>
          </w:tcPr>
          <w:p>
            <w:pPr>
              <w:snapToGrid w:val="0"/>
              <w:rPr>
                <w:rFonts w:ascii="宋体" w:hAnsi="宋体" w:cs="宋体"/>
                <w:sz w:val="24"/>
              </w:rPr>
            </w:pPr>
            <w:r>
              <w:rPr>
                <w:rFonts w:hint="eastAsia" w:ascii="宋体" w:hAnsi="宋体" w:cs="宋体"/>
                <w:sz w:val="24"/>
              </w:rPr>
              <w:t>乙方（章）</w:t>
            </w: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jc w:val="right"/>
              <w:rPr>
                <w:rFonts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357" w:type="dxa"/>
            <w:vAlign w:val="center"/>
          </w:tcPr>
          <w:p>
            <w:pPr>
              <w:snapToGrid w:val="0"/>
              <w:rPr>
                <w:rFonts w:ascii="宋体" w:hAnsi="宋体" w:cs="宋体"/>
                <w:sz w:val="24"/>
              </w:rPr>
            </w:pPr>
            <w:r>
              <w:rPr>
                <w:rFonts w:hint="eastAsia" w:ascii="宋体" w:hAnsi="宋体" w:cs="宋体"/>
                <w:sz w:val="24"/>
              </w:rPr>
              <w:t>单位地址：</w:t>
            </w:r>
          </w:p>
        </w:tc>
        <w:tc>
          <w:tcPr>
            <w:tcW w:w="4360" w:type="dxa"/>
            <w:vAlign w:val="center"/>
          </w:tcPr>
          <w:p>
            <w:pPr>
              <w:snapToGrid w:val="0"/>
              <w:rPr>
                <w:rFonts w:ascii="宋体" w:hAnsi="宋体" w:cs="宋体"/>
                <w:sz w:val="24"/>
              </w:rPr>
            </w:pPr>
            <w:r>
              <w:rPr>
                <w:rFonts w:hint="eastAsia" w:ascii="宋体" w:hAnsi="宋体" w:cs="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357" w:type="dxa"/>
            <w:vAlign w:val="center"/>
          </w:tcPr>
          <w:p>
            <w:pPr>
              <w:snapToGrid w:val="0"/>
              <w:rPr>
                <w:rFonts w:ascii="宋体" w:hAnsi="宋体" w:cs="宋体"/>
                <w:sz w:val="24"/>
              </w:rPr>
            </w:pPr>
            <w:r>
              <w:rPr>
                <w:rFonts w:hint="eastAsia" w:ascii="宋体" w:hAnsi="宋体" w:cs="宋体"/>
                <w:sz w:val="24"/>
              </w:rPr>
              <w:t>法定代表人：</w:t>
            </w:r>
          </w:p>
        </w:tc>
        <w:tc>
          <w:tcPr>
            <w:tcW w:w="4360" w:type="dxa"/>
            <w:vAlign w:val="center"/>
          </w:tcPr>
          <w:p>
            <w:pPr>
              <w:snapToGrid w:val="0"/>
              <w:rPr>
                <w:rFonts w:ascii="宋体" w:hAnsi="宋体" w:cs="宋体"/>
                <w:sz w:val="24"/>
              </w:rPr>
            </w:pPr>
            <w:r>
              <w:rPr>
                <w:rFonts w:hint="eastAsia" w:ascii="宋体" w:hAnsi="宋体" w:cs="宋体"/>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357" w:type="dxa"/>
            <w:vAlign w:val="center"/>
          </w:tcPr>
          <w:p>
            <w:pPr>
              <w:snapToGrid w:val="0"/>
              <w:rPr>
                <w:rFonts w:ascii="宋体" w:hAnsi="宋体" w:cs="宋体"/>
                <w:sz w:val="24"/>
              </w:rPr>
            </w:pPr>
            <w:r>
              <w:rPr>
                <w:rFonts w:hint="eastAsia" w:ascii="宋体" w:hAnsi="宋体" w:cs="宋体"/>
                <w:sz w:val="24"/>
              </w:rPr>
              <w:t>委托代理人：</w:t>
            </w:r>
          </w:p>
        </w:tc>
        <w:tc>
          <w:tcPr>
            <w:tcW w:w="4360" w:type="dxa"/>
            <w:vAlign w:val="center"/>
          </w:tcPr>
          <w:p>
            <w:pPr>
              <w:snapToGrid w:val="0"/>
              <w:rPr>
                <w:rFonts w:ascii="宋体" w:hAnsi="宋体" w:cs="宋体"/>
                <w:sz w:val="24"/>
              </w:rPr>
            </w:pPr>
            <w:r>
              <w:rPr>
                <w:rFonts w:hint="eastAsia" w:ascii="宋体" w:hAnsi="宋体" w:cs="宋体"/>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357" w:type="dxa"/>
            <w:vAlign w:val="center"/>
          </w:tcPr>
          <w:p>
            <w:pPr>
              <w:snapToGrid w:val="0"/>
              <w:rPr>
                <w:rFonts w:ascii="宋体" w:hAnsi="宋体" w:cs="宋体"/>
                <w:sz w:val="24"/>
              </w:rPr>
            </w:pPr>
            <w:r>
              <w:rPr>
                <w:rFonts w:hint="eastAsia" w:ascii="宋体" w:hAnsi="宋体" w:cs="宋体"/>
                <w:sz w:val="24"/>
              </w:rPr>
              <w:t>电话：</w:t>
            </w:r>
          </w:p>
        </w:tc>
        <w:tc>
          <w:tcPr>
            <w:tcW w:w="4360" w:type="dxa"/>
            <w:vAlign w:val="center"/>
          </w:tcPr>
          <w:p>
            <w:pPr>
              <w:snapToGrid w:val="0"/>
              <w:rPr>
                <w:rFonts w:ascii="宋体" w:hAnsi="宋体" w:cs="宋体"/>
                <w:sz w:val="24"/>
              </w:rPr>
            </w:pPr>
            <w:r>
              <w:rPr>
                <w:rFonts w:hint="eastAsia" w:ascii="宋体" w:hAnsi="宋体" w:cs="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357" w:type="dxa"/>
            <w:vAlign w:val="center"/>
          </w:tcPr>
          <w:p>
            <w:pPr>
              <w:snapToGrid w:val="0"/>
              <w:rPr>
                <w:rFonts w:ascii="宋体" w:hAnsi="宋体" w:cs="宋体"/>
                <w:sz w:val="24"/>
              </w:rPr>
            </w:pPr>
            <w:r>
              <w:rPr>
                <w:rFonts w:hint="eastAsia" w:ascii="宋体" w:hAnsi="宋体" w:cs="宋体"/>
                <w:sz w:val="24"/>
              </w:rPr>
              <w:t>电子邮箱：</w:t>
            </w:r>
          </w:p>
        </w:tc>
        <w:tc>
          <w:tcPr>
            <w:tcW w:w="4360" w:type="dxa"/>
            <w:vAlign w:val="center"/>
          </w:tcPr>
          <w:p>
            <w:pPr>
              <w:snapToGrid w:val="0"/>
              <w:rPr>
                <w:rFonts w:ascii="宋体" w:hAnsi="宋体" w:cs="宋体"/>
                <w:sz w:val="24"/>
              </w:rPr>
            </w:pPr>
            <w:r>
              <w:rPr>
                <w:rFonts w:hint="eastAsia" w:ascii="宋体" w:hAnsi="宋体" w:cs="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357" w:type="dxa"/>
            <w:vAlign w:val="center"/>
          </w:tcPr>
          <w:p>
            <w:pPr>
              <w:snapToGrid w:val="0"/>
              <w:rPr>
                <w:rFonts w:ascii="宋体" w:hAnsi="宋体" w:cs="宋体"/>
                <w:sz w:val="24"/>
              </w:rPr>
            </w:pPr>
            <w:r>
              <w:rPr>
                <w:rFonts w:hint="eastAsia" w:ascii="宋体" w:hAnsi="宋体" w:cs="宋体"/>
                <w:sz w:val="24"/>
              </w:rPr>
              <w:t>开户银行：</w:t>
            </w:r>
          </w:p>
        </w:tc>
        <w:tc>
          <w:tcPr>
            <w:tcW w:w="4360" w:type="dxa"/>
            <w:vAlign w:val="center"/>
          </w:tcPr>
          <w:p>
            <w:pPr>
              <w:snapToGrid w:val="0"/>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357" w:type="dxa"/>
            <w:vAlign w:val="center"/>
          </w:tcPr>
          <w:p>
            <w:pPr>
              <w:snapToGrid w:val="0"/>
              <w:rPr>
                <w:rFonts w:ascii="宋体" w:hAnsi="宋体" w:cs="宋体"/>
                <w:sz w:val="24"/>
              </w:rPr>
            </w:pPr>
            <w:r>
              <w:rPr>
                <w:rFonts w:hint="eastAsia" w:ascii="宋体" w:hAnsi="宋体" w:cs="宋体"/>
                <w:sz w:val="24"/>
              </w:rPr>
              <w:t>账号：</w:t>
            </w:r>
          </w:p>
        </w:tc>
        <w:tc>
          <w:tcPr>
            <w:tcW w:w="4360" w:type="dxa"/>
            <w:vAlign w:val="center"/>
          </w:tcPr>
          <w:p>
            <w:pPr>
              <w:snapToGrid w:val="0"/>
              <w:rPr>
                <w:rFonts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357" w:type="dxa"/>
            <w:vAlign w:val="center"/>
          </w:tcPr>
          <w:p>
            <w:pPr>
              <w:snapToGrid w:val="0"/>
              <w:rPr>
                <w:rFonts w:ascii="宋体" w:hAnsi="宋体" w:cs="宋体"/>
                <w:sz w:val="24"/>
              </w:rPr>
            </w:pPr>
            <w:r>
              <w:rPr>
                <w:rFonts w:hint="eastAsia" w:ascii="宋体" w:hAnsi="宋体" w:cs="宋体"/>
                <w:sz w:val="24"/>
              </w:rPr>
              <w:t>邮政编码：</w:t>
            </w:r>
          </w:p>
        </w:tc>
        <w:tc>
          <w:tcPr>
            <w:tcW w:w="4360" w:type="dxa"/>
            <w:vAlign w:val="center"/>
          </w:tcPr>
          <w:p>
            <w:pPr>
              <w:snapToGrid w:val="0"/>
              <w:rPr>
                <w:rFonts w:ascii="宋体" w:hAnsi="宋体" w:cs="宋体"/>
                <w:sz w:val="24"/>
              </w:rPr>
            </w:pPr>
            <w:r>
              <w:rPr>
                <w:rFonts w:hint="eastAsia" w:ascii="宋体" w:hAnsi="宋体" w:cs="宋体"/>
                <w:sz w:val="24"/>
              </w:rPr>
              <w:t>邮政编码：</w:t>
            </w:r>
          </w:p>
        </w:tc>
      </w:tr>
    </w:tbl>
    <w:p>
      <w:pPr>
        <w:adjustRightInd w:val="0"/>
        <w:snapToGrid w:val="0"/>
        <w:jc w:val="center"/>
        <w:rPr>
          <w:rFonts w:ascii="宋体" w:hAnsi="宋体" w:cs="宋体"/>
          <w:b/>
          <w:bCs/>
          <w:kern w:val="0"/>
          <w:sz w:val="36"/>
          <w:szCs w:val="36"/>
        </w:rPr>
        <w:sectPr>
          <w:footerReference r:id="rId11" w:type="default"/>
          <w:pgSz w:w="11906" w:h="16838"/>
          <w:pgMar w:top="1417" w:right="1701" w:bottom="1417" w:left="1701" w:header="851" w:footer="992" w:gutter="0"/>
          <w:cols w:space="720" w:num="1"/>
          <w:titlePg/>
          <w:docGrid w:type="lines" w:linePitch="312" w:charSpace="0"/>
        </w:sectPr>
      </w:pPr>
    </w:p>
    <w:p>
      <w:pPr>
        <w:adjustRightInd w:val="0"/>
        <w:snapToGrid w:val="0"/>
        <w:jc w:val="center"/>
        <w:rPr>
          <w:rFonts w:ascii="宋体" w:hAnsi="宋体" w:cs="宋体"/>
        </w:rPr>
      </w:pPr>
      <w:r>
        <w:rPr>
          <w:rFonts w:hint="eastAsia" w:ascii="宋体" w:hAnsi="宋体" w:cs="宋体"/>
          <w:b/>
          <w:bCs/>
          <w:kern w:val="0"/>
          <w:sz w:val="36"/>
          <w:szCs w:val="36"/>
        </w:rPr>
        <w:t>合 同 附 件</w:t>
      </w:r>
    </w:p>
    <w:p>
      <w:pPr>
        <w:snapToGrid w:val="0"/>
        <w:jc w:val="center"/>
        <w:rPr>
          <w:rFonts w:ascii="宋体" w:hAnsi="宋体" w:cs="宋体"/>
          <w:szCs w:val="21"/>
        </w:rPr>
      </w:pPr>
      <w:r>
        <w:rPr>
          <w:rFonts w:hint="eastAsia" w:ascii="宋体" w:hAnsi="宋体" w:cs="宋体"/>
          <w:szCs w:val="21"/>
        </w:rPr>
        <w:t>工程类</w:t>
      </w:r>
    </w:p>
    <w:tbl>
      <w:tblPr>
        <w:tblStyle w:val="48"/>
        <w:tblW w:w="8720" w:type="dxa"/>
        <w:jc w:val="center"/>
        <w:tblInd w:w="0" w:type="dxa"/>
        <w:tblLayout w:type="fixed"/>
        <w:tblCellMar>
          <w:top w:w="0" w:type="dxa"/>
          <w:left w:w="108" w:type="dxa"/>
          <w:bottom w:w="0" w:type="dxa"/>
          <w:right w:w="108" w:type="dxa"/>
        </w:tblCellMar>
      </w:tblPr>
      <w:tblGrid>
        <w:gridCol w:w="4411"/>
        <w:gridCol w:w="4309"/>
      </w:tblGrid>
      <w:tr>
        <w:tblPrEx>
          <w:tblLayout w:type="fixed"/>
          <w:tblCellMar>
            <w:top w:w="0" w:type="dxa"/>
            <w:left w:w="108" w:type="dxa"/>
            <w:bottom w:w="0" w:type="dxa"/>
            <w:right w:w="108" w:type="dxa"/>
          </w:tblCellMar>
        </w:tblPrEx>
        <w:trPr>
          <w:trHeight w:val="454" w:hRule="exact"/>
          <w:jc w:val="center"/>
        </w:trPr>
        <w:tc>
          <w:tcPr>
            <w:tcW w:w="8720" w:type="dxa"/>
            <w:gridSpan w:val="2"/>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 xml:space="preserve">1、供应商承诺具体事项：   </w:t>
            </w: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 xml:space="preserve">                          </w:t>
            </w: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bottom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2、售后服务具体事项：</w:t>
            </w: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 xml:space="preserve">                        </w:t>
            </w: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bottom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 xml:space="preserve">3、保修期责任： </w:t>
            </w: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 xml:space="preserve">                          </w:t>
            </w: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bottom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 xml:space="preserve">4、其他具体事项： </w:t>
            </w:r>
          </w:p>
        </w:tc>
      </w:tr>
      <w:tr>
        <w:tblPrEx>
          <w:tblLayout w:type="fixed"/>
          <w:tblCellMar>
            <w:top w:w="0" w:type="dxa"/>
            <w:left w:w="108" w:type="dxa"/>
            <w:bottom w:w="0" w:type="dxa"/>
            <w:right w:w="108" w:type="dxa"/>
          </w:tblCellMar>
        </w:tblPrEx>
        <w:trPr>
          <w:trHeight w:val="1344" w:hRule="exact"/>
          <w:jc w:val="center"/>
        </w:trPr>
        <w:tc>
          <w:tcPr>
            <w:tcW w:w="8720" w:type="dxa"/>
            <w:gridSpan w:val="2"/>
            <w:tcBorders>
              <w:left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454" w:hRule="exact"/>
          <w:jc w:val="center"/>
        </w:trPr>
        <w:tc>
          <w:tcPr>
            <w:tcW w:w="8720" w:type="dxa"/>
            <w:gridSpan w:val="2"/>
            <w:tcBorders>
              <w:left w:val="single" w:color="auto" w:sz="4" w:space="0"/>
              <w:bottom w:val="single" w:color="auto" w:sz="4" w:space="0"/>
              <w:right w:val="single" w:color="auto" w:sz="4" w:space="0"/>
            </w:tcBorders>
            <w:vAlign w:val="center"/>
          </w:tcPr>
          <w:p>
            <w:pPr>
              <w:snapToGrid w:val="0"/>
              <w:rPr>
                <w:rFonts w:ascii="宋体" w:hAnsi="宋体" w:cs="宋体"/>
                <w:szCs w:val="21"/>
              </w:rPr>
            </w:pPr>
          </w:p>
        </w:tc>
      </w:tr>
      <w:tr>
        <w:tblPrEx>
          <w:tblLayout w:type="fixed"/>
          <w:tblCellMar>
            <w:top w:w="0" w:type="dxa"/>
            <w:left w:w="108" w:type="dxa"/>
            <w:bottom w:w="0" w:type="dxa"/>
            <w:right w:w="108" w:type="dxa"/>
          </w:tblCellMar>
        </w:tblPrEx>
        <w:trPr>
          <w:trHeight w:val="2577" w:hRule="atLeast"/>
          <w:jc w:val="center"/>
        </w:trPr>
        <w:tc>
          <w:tcPr>
            <w:tcW w:w="441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甲方（章）</w:t>
            </w: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r>
              <w:rPr>
                <w:rFonts w:hint="eastAsia" w:ascii="宋体" w:hAnsi="宋体" w:cs="宋体"/>
                <w:szCs w:val="21"/>
              </w:rPr>
              <w:t xml:space="preserve">                    年   月   日 </w:t>
            </w:r>
          </w:p>
        </w:tc>
        <w:tc>
          <w:tcPr>
            <w:tcW w:w="43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乙方（章）</w:t>
            </w: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r>
              <w:rPr>
                <w:rFonts w:hint="eastAsia" w:ascii="宋体" w:hAnsi="宋体" w:cs="宋体"/>
                <w:szCs w:val="21"/>
              </w:rPr>
              <w:t xml:space="preserve">                    年   月   日</w:t>
            </w:r>
          </w:p>
        </w:tc>
      </w:tr>
    </w:tbl>
    <w:p>
      <w:pPr>
        <w:snapToGrid w:val="0"/>
        <w:rPr>
          <w:rFonts w:ascii="宋体" w:hAnsi="宋体" w:cs="宋体"/>
          <w:szCs w:val="21"/>
        </w:rPr>
      </w:pPr>
      <w:r>
        <w:rPr>
          <w:rFonts w:hint="eastAsia" w:ascii="宋体" w:hAnsi="宋体" w:cs="宋体"/>
          <w:szCs w:val="21"/>
        </w:rPr>
        <w:t xml:space="preserve">                             注：售后服务事项填不下时可另加附页</w:t>
      </w:r>
    </w:p>
    <w:p>
      <w:pPr>
        <w:rPr>
          <w:rFonts w:ascii="宋体" w:hAnsi="宋体" w:cs="宋体"/>
        </w:rPr>
      </w:pPr>
    </w:p>
    <w:p>
      <w:pPr>
        <w:rPr>
          <w:rFonts w:ascii="宋体" w:hAnsi="宋体" w:cs="宋体"/>
        </w:rPr>
        <w:sectPr>
          <w:pgSz w:w="11906" w:h="16838"/>
          <w:pgMar w:top="1417" w:right="1701" w:bottom="1417" w:left="1701" w:header="851" w:footer="992" w:gutter="0"/>
          <w:cols w:space="720" w:num="1"/>
          <w:titlePg/>
          <w:docGrid w:type="lines" w:linePitch="312" w:charSpace="0"/>
        </w:sectPr>
      </w:pPr>
    </w:p>
    <w:p>
      <w:pPr>
        <w:pStyle w:val="3"/>
        <w:numPr>
          <w:ilvl w:val="0"/>
          <w:numId w:val="0"/>
        </w:numPr>
        <w:jc w:val="center"/>
        <w:rPr>
          <w:rFonts w:ascii="宋体" w:hAnsi="宋体" w:eastAsia="宋体" w:cs="宋体"/>
          <w:sz w:val="44"/>
          <w:szCs w:val="44"/>
        </w:rPr>
      </w:pPr>
      <w:bookmarkStart w:id="1394" w:name="_Toc12049304"/>
    </w:p>
    <w:p>
      <w:pPr>
        <w:pStyle w:val="3"/>
        <w:numPr>
          <w:ilvl w:val="0"/>
          <w:numId w:val="0"/>
        </w:numPr>
        <w:jc w:val="center"/>
        <w:rPr>
          <w:rFonts w:ascii="宋体" w:hAnsi="宋体" w:eastAsia="宋体" w:cs="宋体"/>
          <w:sz w:val="44"/>
          <w:szCs w:val="44"/>
        </w:rPr>
      </w:pPr>
    </w:p>
    <w:p>
      <w:pPr>
        <w:pStyle w:val="3"/>
        <w:numPr>
          <w:ilvl w:val="0"/>
          <w:numId w:val="0"/>
        </w:numPr>
        <w:jc w:val="center"/>
        <w:rPr>
          <w:rFonts w:ascii="宋体" w:hAnsi="宋体" w:eastAsia="宋体" w:cs="宋体"/>
          <w:sz w:val="44"/>
          <w:szCs w:val="44"/>
        </w:rPr>
      </w:pPr>
    </w:p>
    <w:p>
      <w:pPr>
        <w:pStyle w:val="3"/>
        <w:numPr>
          <w:ilvl w:val="0"/>
          <w:numId w:val="0"/>
        </w:numPr>
        <w:jc w:val="center"/>
        <w:rPr>
          <w:rFonts w:ascii="宋体" w:hAnsi="宋体" w:eastAsia="宋体" w:cs="宋体"/>
          <w:sz w:val="44"/>
          <w:szCs w:val="44"/>
        </w:rPr>
      </w:pPr>
    </w:p>
    <w:p>
      <w:pPr>
        <w:pStyle w:val="3"/>
        <w:numPr>
          <w:ilvl w:val="0"/>
          <w:numId w:val="0"/>
        </w:numPr>
        <w:jc w:val="center"/>
        <w:rPr>
          <w:rFonts w:ascii="宋体" w:hAnsi="宋体" w:eastAsia="宋体" w:cs="宋体"/>
          <w:sz w:val="44"/>
          <w:szCs w:val="44"/>
        </w:rPr>
        <w:sectPr>
          <w:pgSz w:w="11906" w:h="16838"/>
          <w:pgMar w:top="1417" w:right="1701" w:bottom="1417" w:left="1701" w:header="851" w:footer="992" w:gutter="0"/>
          <w:cols w:space="720" w:num="1"/>
          <w:titlePg/>
          <w:docGrid w:type="lines" w:linePitch="312" w:charSpace="0"/>
        </w:sectPr>
      </w:pPr>
      <w:bookmarkStart w:id="1395" w:name="_Toc10566"/>
      <w:bookmarkStart w:id="1396" w:name="_Toc17917"/>
      <w:bookmarkStart w:id="1397" w:name="_Toc3784"/>
      <w:bookmarkStart w:id="1398" w:name="_Toc15942"/>
      <w:bookmarkStart w:id="1399" w:name="_Toc25854"/>
      <w:bookmarkStart w:id="1400" w:name="_Toc16395"/>
      <w:bookmarkStart w:id="1401" w:name="_Toc28788"/>
      <w:bookmarkStart w:id="1402" w:name="_Toc19351"/>
      <w:bookmarkStart w:id="1403" w:name="_Toc3250"/>
      <w:bookmarkStart w:id="1404" w:name="_Toc19909"/>
      <w:bookmarkStart w:id="1405" w:name="_Toc9402"/>
      <w:bookmarkStart w:id="1406" w:name="_Toc29021"/>
      <w:bookmarkStart w:id="1407" w:name="_Toc28786"/>
      <w:bookmarkStart w:id="1408" w:name="_Toc12376"/>
      <w:bookmarkStart w:id="1409" w:name="_Toc26257"/>
      <w:bookmarkStart w:id="1410" w:name="_Toc278"/>
      <w:bookmarkStart w:id="1411" w:name="_Toc15212"/>
      <w:bookmarkStart w:id="1412" w:name="_Toc18797"/>
      <w:bookmarkStart w:id="1413" w:name="_Toc3644"/>
      <w:bookmarkStart w:id="1414" w:name="_Toc26722"/>
      <w:bookmarkStart w:id="1415" w:name="_Toc18062"/>
      <w:bookmarkStart w:id="1416" w:name="_Toc27407"/>
      <w:bookmarkStart w:id="1417" w:name="_Toc2612"/>
      <w:bookmarkStart w:id="1418" w:name="_Toc29660"/>
      <w:bookmarkStart w:id="1419" w:name="_Toc9577"/>
      <w:bookmarkStart w:id="1420" w:name="_Toc4465"/>
      <w:bookmarkStart w:id="1421" w:name="_Toc30945"/>
      <w:bookmarkStart w:id="1422" w:name="_Toc19191"/>
      <w:bookmarkStart w:id="1423" w:name="_Toc31392"/>
      <w:bookmarkStart w:id="1424" w:name="_Toc5803"/>
      <w:bookmarkStart w:id="1425" w:name="_Toc15545"/>
      <w:bookmarkStart w:id="1426" w:name="_Toc9175"/>
      <w:bookmarkStart w:id="1427" w:name="_Toc17055"/>
      <w:bookmarkStart w:id="1428" w:name="_Toc29042"/>
      <w:bookmarkStart w:id="1429" w:name="_Toc151"/>
      <w:bookmarkStart w:id="1430" w:name="_Toc2946"/>
      <w:bookmarkStart w:id="1431" w:name="_Toc20840"/>
      <w:bookmarkStart w:id="1432" w:name="_Toc8591"/>
      <w:bookmarkStart w:id="1433" w:name="_Toc13231"/>
      <w:bookmarkStart w:id="1434" w:name="_Toc26468"/>
      <w:bookmarkStart w:id="1435" w:name="_Toc26753"/>
      <w:bookmarkStart w:id="1436" w:name="_Toc19680"/>
      <w:bookmarkStart w:id="1437" w:name="_Toc15065"/>
      <w:bookmarkStart w:id="1438" w:name="_Toc15382"/>
      <w:bookmarkStart w:id="1439" w:name="_Toc27486"/>
      <w:r>
        <w:rPr>
          <w:rFonts w:hint="eastAsia" w:ascii="宋体" w:hAnsi="宋体" w:eastAsia="宋体" w:cs="宋体"/>
          <w:sz w:val="44"/>
          <w:szCs w:val="44"/>
        </w:rPr>
        <w:t>第四部分 工程范围及技术要求</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ind w:firstLine="482" w:firstLineChars="200"/>
        <w:rPr>
          <w:rFonts w:ascii="宋体" w:hAnsi="宋体" w:cs="宋体"/>
          <w:b/>
          <w:sz w:val="24"/>
        </w:rPr>
      </w:pPr>
      <w:r>
        <w:rPr>
          <w:rFonts w:hint="eastAsia" w:ascii="宋体" w:hAnsi="宋体" w:cs="宋体"/>
          <w:b/>
          <w:sz w:val="24"/>
        </w:rPr>
        <w:t>一、工程概况</w:t>
      </w:r>
    </w:p>
    <w:p>
      <w:pPr>
        <w:ind w:firstLine="480" w:firstLineChars="200"/>
        <w:rPr>
          <w:rFonts w:ascii="宋体" w:hAnsi="宋体" w:cs="宋体"/>
          <w:b/>
          <w:sz w:val="24"/>
        </w:rPr>
      </w:pPr>
      <w:r>
        <w:rPr>
          <w:rFonts w:hint="eastAsia" w:ascii="宋体" w:hAnsi="宋体" w:cs="宋体"/>
          <w:sz w:val="24"/>
          <w:lang w:eastAsia="zh-CN"/>
        </w:rPr>
        <w:t>2个教学班级更换防火窗</w:t>
      </w:r>
      <w:r>
        <w:rPr>
          <w:rFonts w:hint="eastAsia" w:ascii="宋体" w:hAnsi="宋体" w:cs="宋体"/>
          <w:sz w:val="24"/>
        </w:rPr>
        <w:t>，详见竞争性磋商文件及工程量清单。</w:t>
      </w:r>
    </w:p>
    <w:p>
      <w:pPr>
        <w:ind w:firstLine="482" w:firstLineChars="200"/>
        <w:rPr>
          <w:rFonts w:ascii="宋体" w:hAnsi="宋体" w:cs="宋体"/>
          <w:b/>
          <w:sz w:val="24"/>
        </w:rPr>
      </w:pPr>
      <w:r>
        <w:rPr>
          <w:rFonts w:hint="eastAsia" w:ascii="宋体" w:hAnsi="宋体" w:cs="宋体"/>
          <w:b/>
          <w:sz w:val="24"/>
        </w:rPr>
        <w:t>二、具体施工要求</w:t>
      </w:r>
    </w:p>
    <w:p>
      <w:pPr>
        <w:ind w:firstLine="480" w:firstLineChars="200"/>
        <w:rPr>
          <w:rFonts w:ascii="宋体" w:hAnsi="宋体" w:cs="宋体"/>
          <w:sz w:val="24"/>
        </w:rPr>
      </w:pPr>
      <w:r>
        <w:rPr>
          <w:rFonts w:hint="eastAsia" w:ascii="宋体" w:hAnsi="宋体" w:cs="宋体"/>
          <w:sz w:val="24"/>
        </w:rPr>
        <w:t>根据国家相关规定执行。</w:t>
      </w:r>
    </w:p>
    <w:p>
      <w:pPr>
        <w:ind w:firstLine="482" w:firstLineChars="200"/>
        <w:rPr>
          <w:rFonts w:ascii="宋体" w:hAnsi="宋体" w:cs="宋体"/>
          <w:b/>
          <w:sz w:val="24"/>
        </w:rPr>
      </w:pPr>
      <w:r>
        <w:rPr>
          <w:rFonts w:hint="eastAsia" w:ascii="宋体" w:hAnsi="宋体" w:cs="宋体"/>
          <w:b/>
          <w:sz w:val="24"/>
        </w:rPr>
        <w:t>三、编制响应文件的依据及要求</w:t>
      </w:r>
    </w:p>
    <w:p>
      <w:pPr>
        <w:ind w:firstLine="482" w:firstLineChars="200"/>
        <w:rPr>
          <w:rFonts w:ascii="宋体" w:hAnsi="宋体" w:cs="宋体"/>
          <w:b/>
          <w:sz w:val="24"/>
        </w:rPr>
      </w:pPr>
      <w:r>
        <w:rPr>
          <w:rFonts w:hint="eastAsia" w:ascii="宋体" w:hAnsi="宋体" w:cs="宋体"/>
          <w:b/>
          <w:sz w:val="24"/>
        </w:rPr>
        <w:t>报价依据</w:t>
      </w:r>
    </w:p>
    <w:p>
      <w:pPr>
        <w:ind w:firstLine="480" w:firstLineChars="200"/>
        <w:jc w:val="both"/>
        <w:rPr>
          <w:rFonts w:ascii="宋体" w:hAnsi="宋体" w:cs="宋体"/>
          <w:sz w:val="24"/>
        </w:rPr>
      </w:pPr>
      <w:r>
        <w:rPr>
          <w:rFonts w:hint="eastAsia" w:ascii="宋体" w:hAnsi="宋体" w:cs="宋体"/>
          <w:sz w:val="24"/>
        </w:rPr>
        <w:t>1.供应商应按第四部分第六项“详细工程量清单”的要求填写相应表格。参照工程量清单计价规范编制响应报价。具体依据依照但不限于下例文件：</w:t>
      </w:r>
    </w:p>
    <w:p>
      <w:pPr>
        <w:ind w:firstLine="480" w:firstLineChars="200"/>
        <w:jc w:val="both"/>
        <w:rPr>
          <w:rFonts w:ascii="宋体" w:hAnsi="宋体" w:cs="宋体"/>
          <w:sz w:val="24"/>
        </w:rPr>
      </w:pPr>
      <w:r>
        <w:rPr>
          <w:rFonts w:hint="eastAsia" w:ascii="宋体" w:hAnsi="宋体" w:cs="宋体"/>
          <w:sz w:val="24"/>
        </w:rPr>
        <w:t>1.1依据采购人提供的磋商文件、补充文件（如果有）、工程量清单、施工设计图纸、施工组织设计及相关技术文件；</w:t>
      </w:r>
    </w:p>
    <w:p>
      <w:pPr>
        <w:ind w:firstLine="480" w:firstLineChars="200"/>
        <w:jc w:val="both"/>
        <w:rPr>
          <w:rFonts w:ascii="宋体" w:hAnsi="宋体" w:cs="宋体"/>
          <w:sz w:val="24"/>
        </w:rPr>
      </w:pPr>
      <w:r>
        <w:rPr>
          <w:rFonts w:hint="eastAsia" w:ascii="宋体" w:hAnsi="宋体" w:cs="宋体"/>
          <w:sz w:val="24"/>
        </w:rPr>
        <w:t>2.执行2016年“营改增”后修订的《建设工程工程量清单计价规范》（GB50500-2013）（下同）；</w:t>
      </w:r>
    </w:p>
    <w:p>
      <w:pPr>
        <w:ind w:firstLine="480" w:firstLineChars="200"/>
        <w:jc w:val="both"/>
        <w:rPr>
          <w:rFonts w:ascii="宋体" w:hAnsi="宋体" w:cs="宋体"/>
          <w:sz w:val="24"/>
        </w:rPr>
      </w:pPr>
      <w:r>
        <w:rPr>
          <w:rFonts w:hint="eastAsia" w:ascii="宋体" w:hAnsi="宋体" w:cs="宋体"/>
          <w:sz w:val="24"/>
        </w:rPr>
        <w:t>3.2019年12月1日起执行的《黑龙江省建设工程计价依据（建筑与装饰、通用安装、市政工程消耗量定额及施工机械台班、仪器仪表、建筑安装工程费用定额）》；</w:t>
      </w:r>
    </w:p>
    <w:p>
      <w:pPr>
        <w:ind w:firstLine="480" w:firstLineChars="200"/>
        <w:jc w:val="both"/>
        <w:rPr>
          <w:rFonts w:ascii="宋体" w:hAnsi="宋体" w:cs="宋体"/>
          <w:sz w:val="24"/>
        </w:rPr>
      </w:pPr>
      <w:r>
        <w:rPr>
          <w:rFonts w:hint="eastAsia" w:ascii="宋体" w:hAnsi="宋体" w:cs="宋体"/>
          <w:sz w:val="24"/>
        </w:rPr>
        <w:t>4.黑建造价〔2014〕1号文件《黑龙江省执行2013清单计价计量规范相关规定》；</w:t>
      </w:r>
    </w:p>
    <w:p>
      <w:pPr>
        <w:ind w:firstLine="480" w:firstLineChars="200"/>
        <w:jc w:val="both"/>
        <w:rPr>
          <w:rFonts w:ascii="宋体" w:hAnsi="宋体" w:cs="宋体"/>
          <w:sz w:val="24"/>
        </w:rPr>
      </w:pPr>
      <w:r>
        <w:rPr>
          <w:rFonts w:hint="eastAsia" w:ascii="宋体" w:hAnsi="宋体" w:cs="宋体"/>
          <w:sz w:val="24"/>
        </w:rPr>
        <w:t>5.黑建招[2006]1号文件《黑龙江省房屋建筑和市政基础设施工程量清单招标投标实施办法》；</w:t>
      </w:r>
    </w:p>
    <w:p>
      <w:pPr>
        <w:ind w:firstLine="480" w:firstLineChars="200"/>
        <w:jc w:val="both"/>
        <w:rPr>
          <w:rFonts w:ascii="宋体" w:hAnsi="宋体" w:cs="宋体"/>
          <w:sz w:val="24"/>
        </w:rPr>
      </w:pPr>
      <w:r>
        <w:rPr>
          <w:rFonts w:hint="eastAsia" w:ascii="宋体" w:hAnsi="宋体" w:cs="宋体"/>
          <w:sz w:val="24"/>
        </w:rPr>
        <w:t>6.黑龙江省住房和城乡建设厅2020年6月10日发布的2019《建筑安装工程费用定额》解读之一。</w:t>
      </w:r>
    </w:p>
    <w:p>
      <w:pPr>
        <w:ind w:firstLine="480" w:firstLineChars="200"/>
        <w:jc w:val="both"/>
        <w:rPr>
          <w:rFonts w:ascii="宋体" w:hAnsi="宋体" w:cs="宋体"/>
          <w:sz w:val="24"/>
        </w:rPr>
      </w:pPr>
      <w:r>
        <w:rPr>
          <w:rFonts w:hint="eastAsia" w:ascii="宋体" w:hAnsi="宋体" w:cs="宋体"/>
          <w:sz w:val="24"/>
        </w:rPr>
        <w:t>7.安全文明施工费、规费、税金不得做为最后报价竞争和让利条件，企业管理费不得低于规定下限，否则商务标不得参与磋商；</w:t>
      </w:r>
    </w:p>
    <w:p>
      <w:pPr>
        <w:ind w:firstLine="480" w:firstLineChars="200"/>
        <w:jc w:val="both"/>
        <w:rPr>
          <w:rFonts w:ascii="宋体" w:hAnsi="宋体" w:cs="宋体"/>
          <w:sz w:val="24"/>
        </w:rPr>
      </w:pPr>
      <w:r>
        <w:rPr>
          <w:rFonts w:hint="eastAsia" w:ascii="宋体" w:hAnsi="宋体" w:cs="宋体"/>
          <w:sz w:val="24"/>
        </w:rPr>
        <w:t>8.本次磋商采用工程量清单报价方式。供应商按照《建设工程工程量清单计价规范》GB50500-2013的要求，根据磋商文件中的工程量清单、施工图纸、相应规范要求、施工现场实际情况、拟定的施工方案和施工组织设计、消耗量定额、企业定额和市场价格信息，结合企业能力自主确定综合单价进行工程量清单报价；</w:t>
      </w:r>
    </w:p>
    <w:p>
      <w:pPr>
        <w:ind w:firstLine="480" w:firstLineChars="200"/>
        <w:jc w:val="both"/>
        <w:rPr>
          <w:rFonts w:ascii="宋体" w:hAnsi="宋体" w:cs="宋体"/>
          <w:sz w:val="24"/>
        </w:rPr>
      </w:pPr>
      <w:r>
        <w:rPr>
          <w:rFonts w:hint="eastAsia" w:ascii="宋体" w:hAnsi="宋体" w:cs="宋体"/>
          <w:sz w:val="24"/>
        </w:rPr>
        <w:t>9.供应商依照《关于黑龙江省建筑业营业税改征增值税调整建设工程计价依据和招投标有关事项的通知》黑建造价〔2016〕2号和《关于调整增值税税率的通知》（财税[2018]32号）；</w:t>
      </w:r>
    </w:p>
    <w:p>
      <w:pPr>
        <w:ind w:firstLine="480" w:firstLineChars="200"/>
        <w:jc w:val="both"/>
        <w:rPr>
          <w:rFonts w:ascii="宋体" w:hAnsi="宋体" w:cs="宋体"/>
          <w:sz w:val="24"/>
        </w:rPr>
      </w:pPr>
      <w:r>
        <w:rPr>
          <w:rFonts w:hint="eastAsia" w:ascii="宋体" w:hAnsi="宋体" w:cs="宋体"/>
          <w:sz w:val="24"/>
        </w:rPr>
        <w:t>10.供应商依照《黑龙江省住房和城乡建设厅关于重新调整建设工程计价依据增值税税率的通知》（黑建规范〔2019〕4号）的相关要求进行报价和取费；</w:t>
      </w:r>
    </w:p>
    <w:p>
      <w:pPr>
        <w:ind w:firstLine="480" w:firstLineChars="200"/>
        <w:jc w:val="both"/>
        <w:rPr>
          <w:rFonts w:ascii="宋体" w:hAnsi="宋体" w:cs="宋体"/>
          <w:sz w:val="24"/>
        </w:rPr>
      </w:pPr>
      <w:r>
        <w:rPr>
          <w:rFonts w:hint="eastAsia" w:ascii="宋体" w:hAnsi="宋体" w:cs="宋体"/>
          <w:sz w:val="24"/>
        </w:rPr>
        <w:t>11.供应商依照黑建监〔2019〕1号《黑龙江省住房和城乡建设厅关于调整建设工程计价依据养老保险、失业保险费率的通知》；</w:t>
      </w:r>
    </w:p>
    <w:p>
      <w:pPr>
        <w:ind w:firstLine="480" w:firstLineChars="200"/>
        <w:jc w:val="both"/>
        <w:rPr>
          <w:rFonts w:ascii="宋体" w:hAnsi="宋体" w:cs="宋体"/>
          <w:sz w:val="24"/>
        </w:rPr>
      </w:pPr>
      <w:r>
        <w:rPr>
          <w:rFonts w:hint="eastAsia" w:ascii="宋体" w:hAnsi="宋体" w:cs="宋体"/>
          <w:sz w:val="24"/>
        </w:rPr>
        <w:t>12.以上关于最后报价的各项规定，如遇国家、省出台最新规定，按最新规定执行。</w:t>
      </w:r>
    </w:p>
    <w:p>
      <w:pPr>
        <w:ind w:firstLine="480" w:firstLineChars="200"/>
        <w:jc w:val="both"/>
        <w:rPr>
          <w:rFonts w:ascii="宋体" w:hAnsi="宋体" w:cs="宋体"/>
          <w:sz w:val="24"/>
        </w:rPr>
      </w:pPr>
      <w:r>
        <w:rPr>
          <w:rFonts w:hint="eastAsia" w:ascii="宋体" w:hAnsi="宋体" w:cs="宋体"/>
          <w:sz w:val="24"/>
        </w:rPr>
        <w:t>13.供应商在磋商截止时间前修改响应书中的磋商总报价，应同时修改“工程量清单”中的相应报价。</w:t>
      </w:r>
    </w:p>
    <w:p>
      <w:pPr>
        <w:ind w:firstLine="482" w:firstLineChars="200"/>
        <w:rPr>
          <w:rFonts w:ascii="宋体" w:hAnsi="宋体" w:cs="宋体"/>
          <w:b/>
          <w:sz w:val="24"/>
        </w:rPr>
      </w:pPr>
      <w:r>
        <w:rPr>
          <w:rFonts w:hint="eastAsia" w:ascii="宋体" w:hAnsi="宋体" w:cs="宋体"/>
          <w:b/>
          <w:sz w:val="24"/>
        </w:rPr>
        <w:t>四、验收标准</w:t>
      </w:r>
    </w:p>
    <w:p>
      <w:pPr>
        <w:ind w:firstLine="480" w:firstLineChars="200"/>
        <w:rPr>
          <w:rFonts w:ascii="宋体" w:hAnsi="宋体" w:cs="宋体"/>
          <w:sz w:val="24"/>
        </w:rPr>
      </w:pPr>
      <w:r>
        <w:rPr>
          <w:rFonts w:hint="eastAsia" w:ascii="宋体" w:hAnsi="宋体" w:cs="宋体"/>
          <w:sz w:val="24"/>
        </w:rPr>
        <w:t>项目实施过程中严格执行现行国家、黑龙江省质量验收规范。</w:t>
      </w:r>
    </w:p>
    <w:p>
      <w:pPr>
        <w:ind w:firstLine="482" w:firstLineChars="200"/>
        <w:rPr>
          <w:rFonts w:ascii="宋体" w:hAnsi="宋体" w:cs="宋体"/>
          <w:b/>
          <w:bCs/>
          <w:sz w:val="24"/>
        </w:rPr>
      </w:pPr>
      <w:r>
        <w:rPr>
          <w:rFonts w:hint="eastAsia" w:ascii="宋体" w:hAnsi="宋体" w:cs="宋体"/>
          <w:b/>
          <w:sz w:val="24"/>
        </w:rPr>
        <w:t>五、合同履行期限</w:t>
      </w:r>
    </w:p>
    <w:p>
      <w:pPr>
        <w:ind w:firstLine="480" w:firstLineChars="200"/>
        <w:rPr>
          <w:rFonts w:ascii="宋体" w:hAnsi="宋体" w:cs="宋体"/>
          <w:bCs/>
          <w:sz w:val="24"/>
        </w:rPr>
      </w:pPr>
      <w:r>
        <w:rPr>
          <w:rFonts w:hint="eastAsia" w:ascii="宋体" w:hAnsi="宋体" w:cs="宋体"/>
          <w:sz w:val="24"/>
        </w:rPr>
        <w:t>签订合同后30日历天内竣工并验收合格。</w:t>
      </w:r>
    </w:p>
    <w:p>
      <w:pPr>
        <w:numPr>
          <w:ilvl w:val="0"/>
          <w:numId w:val="9"/>
        </w:numPr>
        <w:ind w:firstLine="482" w:firstLineChars="200"/>
        <w:jc w:val="both"/>
        <w:rPr>
          <w:rFonts w:ascii="宋体" w:hAnsi="宋体" w:cs="宋体"/>
          <w:b/>
          <w:bCs/>
          <w:sz w:val="24"/>
        </w:rPr>
      </w:pPr>
      <w:r>
        <w:rPr>
          <w:rFonts w:hint="eastAsia" w:ascii="宋体" w:hAnsi="宋体" w:cs="宋体"/>
          <w:b/>
          <w:bCs/>
          <w:sz w:val="24"/>
        </w:rPr>
        <w:t>采购预算</w:t>
      </w:r>
    </w:p>
    <w:p>
      <w:pPr>
        <w:widowControl/>
        <w:snapToGrid w:val="0"/>
        <w:ind w:firstLine="480" w:firstLineChars="200"/>
        <w:jc w:val="both"/>
        <w:rPr>
          <w:rFonts w:ascii="宋体" w:hAnsi="宋体" w:cs="宋体"/>
          <w:bCs/>
          <w:kern w:val="0"/>
          <w:sz w:val="24"/>
        </w:rPr>
      </w:pPr>
      <w:r>
        <w:rPr>
          <w:rFonts w:hint="eastAsia" w:ascii="宋体" w:hAnsi="宋体" w:cs="宋体"/>
          <w:bCs/>
          <w:kern w:val="0"/>
          <w:sz w:val="24"/>
        </w:rPr>
        <w:t>预算金额：</w:t>
      </w:r>
      <w:r>
        <w:rPr>
          <w:rFonts w:hint="eastAsia" w:ascii="宋体" w:hAnsi="宋体" w:cs="宋体"/>
          <w:sz w:val="24"/>
        </w:rPr>
        <w:t>预算资金</w:t>
      </w:r>
      <w:r>
        <w:rPr>
          <w:rFonts w:hint="eastAsia" w:ascii="宋体" w:hAnsi="宋体" w:cs="宋体"/>
          <w:sz w:val="24"/>
          <w:lang w:eastAsia="zh-CN"/>
        </w:rPr>
        <w:t>49,467.00</w:t>
      </w:r>
      <w:r>
        <w:rPr>
          <w:rFonts w:hint="eastAsia" w:ascii="宋体" w:hAnsi="宋体" w:cs="宋体"/>
          <w:sz w:val="24"/>
        </w:rPr>
        <w:t>元。</w:t>
      </w:r>
    </w:p>
    <w:p>
      <w:pPr>
        <w:widowControl/>
        <w:numPr>
          <w:ilvl w:val="0"/>
          <w:numId w:val="9"/>
        </w:numPr>
        <w:snapToGrid w:val="0"/>
        <w:ind w:firstLine="482" w:firstLineChars="200"/>
        <w:rPr>
          <w:rFonts w:ascii="宋体" w:hAnsi="宋体" w:cs="宋体"/>
          <w:b/>
          <w:bCs/>
          <w:sz w:val="24"/>
        </w:rPr>
      </w:pPr>
      <w:r>
        <w:rPr>
          <w:rFonts w:hint="eastAsia" w:ascii="宋体" w:hAnsi="宋体" w:cs="宋体"/>
          <w:b/>
          <w:bCs/>
          <w:sz w:val="24"/>
        </w:rPr>
        <w:t>详细工程量清单：详见附件</w:t>
      </w:r>
    </w:p>
    <w:p>
      <w:pPr>
        <w:pStyle w:val="15"/>
        <w:jc w:val="center"/>
      </w:pPr>
      <w:r>
        <w:rPr>
          <w:rFonts w:hint="eastAsia"/>
        </w:rPr>
        <w:object>
          <v:shape id="_x0000_i1025" o:spt="75" type="#_x0000_t75" style="height:66pt;width:72.75pt;" o:ole="t" filled="f" o:preferrelative="t" stroked="f" coordsize="21600,21600">
            <v:path/>
            <v:fill on="f" focussize="0,0"/>
            <v:stroke on="f"/>
            <v:imagedata r:id="rId20" o:title=""/>
            <o:lock v:ext="edit" aspectratio="t"/>
            <w10:wrap type="none"/>
            <w10:anchorlock/>
          </v:shape>
          <o:OLEObject Type="Embed" ProgID="Office12.Excel.Template" ShapeID="_x0000_i1025" DrawAspect="Icon" ObjectID="_1468075725" r:id="rId19">
            <o:LockedField>false</o:LockedField>
          </o:OLEObject>
        </w:object>
      </w:r>
    </w:p>
    <w:p>
      <w:pPr>
        <w:pStyle w:val="15"/>
        <w:jc w:val="center"/>
      </w:pPr>
    </w:p>
    <w:p>
      <w:pPr>
        <w:pStyle w:val="15"/>
        <w:jc w:val="center"/>
      </w:pPr>
    </w:p>
    <w:p>
      <w:pPr>
        <w:pStyle w:val="15"/>
        <w:jc w:val="center"/>
      </w:pPr>
    </w:p>
    <w:p>
      <w:pPr>
        <w:widowControl/>
        <w:snapToGrid w:val="0"/>
        <w:ind w:firstLine="482" w:firstLineChars="200"/>
        <w:jc w:val="both"/>
        <w:rPr>
          <w:rFonts w:ascii="宋体" w:hAnsi="宋体" w:cs="宋体"/>
          <w:b/>
          <w:bCs/>
          <w:sz w:val="24"/>
        </w:rPr>
      </w:pPr>
      <w:r>
        <w:rPr>
          <w:rFonts w:hint="eastAsia" w:ascii="宋体" w:hAnsi="宋体" w:cs="宋体"/>
          <w:b/>
          <w:bCs/>
          <w:sz w:val="24"/>
        </w:rPr>
        <w:t>八、图纸</w:t>
      </w:r>
    </w:p>
    <w:p>
      <w:pPr>
        <w:widowControl/>
        <w:snapToGrid w:val="0"/>
        <w:ind w:firstLine="482" w:firstLineChars="200"/>
        <w:jc w:val="both"/>
        <w:rPr>
          <w:rFonts w:ascii="宋体" w:hAnsi="宋体" w:cs="宋体"/>
          <w:b/>
          <w:bCs/>
          <w:sz w:val="24"/>
        </w:rPr>
      </w:pPr>
      <w:r>
        <w:rPr>
          <w:rFonts w:hint="eastAsia" w:ascii="宋体" w:hAnsi="宋体" w:cs="宋体"/>
          <w:b/>
          <w:bCs/>
          <w:sz w:val="24"/>
        </w:rPr>
        <w:t>无。</w:t>
      </w:r>
    </w:p>
    <w:p>
      <w:pPr>
        <w:rPr>
          <w:rFonts w:ascii="宋体" w:hAnsi="宋体" w:cs="宋体"/>
          <w:sz w:val="33"/>
          <w:szCs w:val="33"/>
        </w:rPr>
      </w:pPr>
      <w:r>
        <w:rPr>
          <w:rFonts w:hint="eastAsia" w:ascii="宋体" w:hAnsi="宋体" w:cs="宋体"/>
        </w:rPr>
        <w:br w:type="page"/>
      </w:r>
      <w:bookmarkEnd w:id="0"/>
    </w:p>
    <w:p>
      <w:pPr>
        <w:rPr>
          <w:rFonts w:ascii="宋体" w:hAnsi="宋体" w:cs="宋体"/>
        </w:rPr>
      </w:pPr>
    </w:p>
    <w:p>
      <w:pPr>
        <w:pStyle w:val="15"/>
        <w:rPr>
          <w:rFonts w:ascii="宋体" w:hAnsi="宋体" w:cs="宋体"/>
        </w:rPr>
      </w:pPr>
    </w:p>
    <w:p>
      <w:pPr>
        <w:pStyle w:val="16"/>
        <w:ind w:left="5250"/>
        <w:rPr>
          <w:rFonts w:cs="宋体"/>
        </w:rPr>
      </w:pPr>
    </w:p>
    <w:p>
      <w:pPr>
        <w:rPr>
          <w:rFonts w:ascii="宋体" w:hAnsi="宋体" w:cs="宋体"/>
        </w:rPr>
      </w:pPr>
    </w:p>
    <w:p>
      <w:pPr>
        <w:rPr>
          <w:rFonts w:ascii="宋体" w:hAnsi="宋体" w:cs="宋体"/>
        </w:rPr>
      </w:pPr>
    </w:p>
    <w:p>
      <w:pPr>
        <w:pStyle w:val="3"/>
        <w:numPr>
          <w:ilvl w:val="0"/>
          <w:numId w:val="0"/>
        </w:numPr>
        <w:jc w:val="center"/>
        <w:rPr>
          <w:rFonts w:ascii="宋体" w:hAnsi="宋体" w:eastAsia="宋体" w:cs="宋体"/>
          <w:sz w:val="44"/>
          <w:szCs w:val="44"/>
        </w:rPr>
      </w:pPr>
      <w:bookmarkStart w:id="1440" w:name="_Toc12215"/>
      <w:bookmarkStart w:id="1441" w:name="_Toc20487"/>
      <w:bookmarkStart w:id="1442" w:name="_Toc14481"/>
      <w:bookmarkStart w:id="1443" w:name="_Toc15966"/>
      <w:bookmarkStart w:id="1444" w:name="_Toc18967"/>
      <w:bookmarkStart w:id="1445" w:name="_Toc32410"/>
      <w:bookmarkStart w:id="1446" w:name="_Toc7197"/>
      <w:bookmarkStart w:id="1447" w:name="_Toc31024"/>
      <w:bookmarkStart w:id="1448" w:name="_Toc24504"/>
      <w:bookmarkStart w:id="1449" w:name="_Toc12049305"/>
      <w:bookmarkStart w:id="1450" w:name="_Toc29230"/>
      <w:bookmarkStart w:id="1451" w:name="_Toc25774"/>
    </w:p>
    <w:p>
      <w:pPr>
        <w:pStyle w:val="3"/>
        <w:numPr>
          <w:ilvl w:val="0"/>
          <w:numId w:val="10"/>
        </w:numPr>
        <w:jc w:val="center"/>
        <w:rPr>
          <w:rFonts w:ascii="宋体" w:hAnsi="宋体" w:eastAsia="宋体" w:cs="宋体"/>
          <w:sz w:val="44"/>
          <w:szCs w:val="44"/>
        </w:rPr>
      </w:pPr>
      <w:bookmarkStart w:id="1452" w:name="_Toc2223"/>
      <w:bookmarkStart w:id="1453" w:name="_Toc21161"/>
      <w:bookmarkStart w:id="1454" w:name="_Toc3417"/>
      <w:r>
        <w:rPr>
          <w:rFonts w:hint="eastAsia" w:ascii="宋体" w:hAnsi="宋体" w:eastAsia="宋体" w:cs="宋体"/>
          <w:sz w:val="44"/>
          <w:szCs w:val="44"/>
        </w:rPr>
        <w:t xml:space="preserve"> </w:t>
      </w:r>
      <w:bookmarkStart w:id="1455" w:name="_Toc29798"/>
      <w:bookmarkStart w:id="1456" w:name="_Toc15214"/>
      <w:bookmarkStart w:id="1457" w:name="_Toc3017"/>
      <w:bookmarkStart w:id="1458" w:name="_Toc13812"/>
      <w:bookmarkStart w:id="1459" w:name="_Toc22137"/>
      <w:bookmarkStart w:id="1460" w:name="_Toc17752"/>
      <w:bookmarkStart w:id="1461" w:name="_Toc27100"/>
      <w:bookmarkStart w:id="1462" w:name="_Toc30061"/>
      <w:bookmarkStart w:id="1463" w:name="_Toc7244"/>
      <w:bookmarkStart w:id="1464" w:name="_Toc26269"/>
      <w:bookmarkStart w:id="1465" w:name="_Toc22351"/>
      <w:bookmarkStart w:id="1466" w:name="_Toc18410"/>
      <w:bookmarkStart w:id="1467" w:name="_Toc28655"/>
      <w:bookmarkStart w:id="1468" w:name="_Toc28028"/>
      <w:bookmarkStart w:id="1469" w:name="_Toc1426"/>
      <w:bookmarkStart w:id="1470" w:name="_Toc15637"/>
      <w:bookmarkStart w:id="1471" w:name="_Toc12925"/>
      <w:bookmarkStart w:id="1472" w:name="_Toc22176"/>
      <w:bookmarkStart w:id="1473" w:name="_Toc14191"/>
      <w:bookmarkStart w:id="1474" w:name="_Toc30418"/>
      <w:bookmarkStart w:id="1475" w:name="_Toc14252"/>
      <w:bookmarkStart w:id="1476" w:name="_Toc4818"/>
      <w:bookmarkStart w:id="1477" w:name="_Toc17930"/>
      <w:bookmarkStart w:id="1478" w:name="_Toc7902"/>
      <w:bookmarkStart w:id="1479" w:name="_Toc18661"/>
      <w:bookmarkStart w:id="1480" w:name="_Toc10721"/>
      <w:bookmarkStart w:id="1481" w:name="_Toc25967"/>
      <w:bookmarkStart w:id="1482" w:name="_Toc3069"/>
      <w:bookmarkStart w:id="1483" w:name="_Toc999"/>
      <w:bookmarkStart w:id="1484" w:name="_Toc77"/>
      <w:bookmarkStart w:id="1485" w:name="_Toc5012"/>
      <w:r>
        <w:rPr>
          <w:rFonts w:hint="eastAsia" w:ascii="宋体" w:hAnsi="宋体" w:eastAsia="宋体" w:cs="宋体"/>
          <w:sz w:val="44"/>
          <w:szCs w:val="44"/>
        </w:rPr>
        <w:t>响应文件格式及附件</w:t>
      </w:r>
      <w:bookmarkEnd w:id="1440"/>
      <w:bookmarkEnd w:id="1441"/>
      <w:bookmarkEnd w:id="1442"/>
      <w:bookmarkEnd w:id="1443"/>
      <w:bookmarkEnd w:id="1444"/>
      <w:bookmarkEnd w:id="1445"/>
      <w:bookmarkEnd w:id="1446"/>
      <w:bookmarkEnd w:id="1447"/>
      <w:bookmarkEnd w:id="1448"/>
      <w:bookmarkEnd w:id="1449"/>
      <w:bookmarkEnd w:id="1450"/>
      <w:bookmarkEnd w:id="1451"/>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tabs>
          <w:tab w:val="left" w:pos="432"/>
        </w:tabs>
        <w:rPr>
          <w:rFonts w:ascii="宋体" w:hAnsi="宋体" w:cs="宋体"/>
        </w:rPr>
      </w:pPr>
      <w:r>
        <w:rPr>
          <w:rFonts w:hint="eastAsia" w:ascii="宋体" w:hAnsi="宋体" w:cs="宋体"/>
        </w:rPr>
        <w:br w:type="page"/>
      </w:r>
      <w:bookmarkEnd w:id="1452"/>
      <w:bookmarkEnd w:id="1453"/>
      <w:bookmarkEnd w:id="1454"/>
      <w:bookmarkStart w:id="1486" w:name="_Toc13347"/>
      <w:bookmarkStart w:id="1487" w:name="_Toc31824"/>
      <w:bookmarkStart w:id="1488" w:name="_Toc5925"/>
      <w:bookmarkStart w:id="1489" w:name="_Toc27836"/>
      <w:bookmarkStart w:id="1490" w:name="_Toc10506"/>
      <w:bookmarkStart w:id="1491" w:name="_Toc10366"/>
      <w:bookmarkStart w:id="1492" w:name="_Toc31874"/>
      <w:bookmarkStart w:id="1493" w:name="_Toc24101"/>
      <w:r>
        <w:rPr>
          <w:rFonts w:hint="eastAsia" w:ascii="宋体" w:hAnsi="宋体" w:cs="宋体"/>
        </w:rPr>
        <w:t>附件一</w:t>
      </w:r>
    </w:p>
    <w:p>
      <w:pPr>
        <w:pStyle w:val="3"/>
        <w:numPr>
          <w:ilvl w:val="0"/>
          <w:numId w:val="0"/>
        </w:numPr>
        <w:ind w:firstLine="2570" w:firstLineChars="800"/>
        <w:rPr>
          <w:rFonts w:ascii="宋体" w:hAnsi="宋体" w:eastAsia="宋体" w:cs="宋体"/>
        </w:rPr>
      </w:pPr>
      <w:bookmarkStart w:id="1494" w:name="_Toc18667"/>
      <w:bookmarkStart w:id="1495" w:name="_Toc11917"/>
      <w:bookmarkStart w:id="1496" w:name="_Toc26004"/>
      <w:bookmarkStart w:id="1497" w:name="_Toc19261"/>
      <w:bookmarkStart w:id="1498" w:name="_Toc3493"/>
      <w:bookmarkStart w:id="1499" w:name="_Toc29062"/>
      <w:bookmarkStart w:id="1500" w:name="_Toc29133"/>
      <w:bookmarkStart w:id="1501" w:name="_Toc13830"/>
      <w:bookmarkStart w:id="1502" w:name="_Toc25737"/>
      <w:bookmarkStart w:id="1503" w:name="_Toc11611"/>
      <w:bookmarkStart w:id="1504" w:name="_Toc1398"/>
      <w:bookmarkStart w:id="1505" w:name="_Toc13924"/>
      <w:bookmarkStart w:id="1506" w:name="_Toc4687"/>
      <w:bookmarkStart w:id="1507" w:name="_Toc14024"/>
      <w:bookmarkStart w:id="1508" w:name="_Toc978"/>
      <w:bookmarkStart w:id="1509" w:name="_Toc31461"/>
      <w:bookmarkStart w:id="1510" w:name="_Toc23678"/>
      <w:bookmarkStart w:id="1511" w:name="_Toc24512"/>
      <w:bookmarkStart w:id="1512" w:name="_Toc25566"/>
      <w:bookmarkStart w:id="1513" w:name="_Toc11902"/>
      <w:bookmarkStart w:id="1514" w:name="_Toc7616"/>
      <w:bookmarkStart w:id="1515" w:name="_Toc30043"/>
      <w:bookmarkStart w:id="1516" w:name="_Toc5685"/>
      <w:bookmarkStart w:id="1517" w:name="_Toc6909"/>
      <w:bookmarkStart w:id="1518" w:name="_Toc14094"/>
      <w:bookmarkStart w:id="1519" w:name="_Toc11096"/>
      <w:bookmarkStart w:id="1520" w:name="_Toc24636"/>
      <w:bookmarkStart w:id="1521" w:name="_Toc2959"/>
      <w:r>
        <w:rPr>
          <w:rFonts w:hint="eastAsia" w:ascii="宋体" w:hAnsi="宋体" w:eastAsia="宋体" w:cs="宋体"/>
        </w:rPr>
        <w:t>A、响应文件封面格式</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15"/>
        <w:rPr>
          <w:rFonts w:ascii="宋体" w:hAnsi="宋体" w:cs="宋体"/>
        </w:rPr>
      </w:pPr>
    </w:p>
    <w:p>
      <w:pPr>
        <w:widowControl/>
        <w:jc w:val="center"/>
        <w:rPr>
          <w:rFonts w:ascii="宋体" w:hAnsi="宋体" w:cs="宋体"/>
          <w:b/>
          <w:sz w:val="84"/>
          <w:szCs w:val="84"/>
        </w:rPr>
      </w:pPr>
      <w:r>
        <w:rPr>
          <w:rFonts w:hint="eastAsia" w:ascii="宋体" w:hAnsi="宋体" w:cs="宋体"/>
          <w:b/>
          <w:sz w:val="84"/>
          <w:szCs w:val="84"/>
        </w:rPr>
        <w:t>政府采购竞争性磋商</w:t>
      </w:r>
    </w:p>
    <w:p>
      <w:pPr>
        <w:widowControl/>
        <w:jc w:val="center"/>
        <w:rPr>
          <w:rFonts w:ascii="宋体" w:hAnsi="宋体" w:cs="宋体"/>
          <w:b/>
          <w:sz w:val="84"/>
          <w:szCs w:val="84"/>
        </w:rPr>
      </w:pPr>
      <w:r>
        <w:rPr>
          <w:rFonts w:hint="eastAsia" w:ascii="宋体" w:hAnsi="宋体" w:cs="宋体"/>
          <w:b/>
          <w:sz w:val="84"/>
          <w:szCs w:val="84"/>
        </w:rPr>
        <w:t>响 应 文 件</w:t>
      </w:r>
    </w:p>
    <w:p>
      <w:pPr>
        <w:widowControl/>
        <w:jc w:val="center"/>
        <w:rPr>
          <w:rFonts w:ascii="宋体" w:hAnsi="宋体" w:cs="宋体"/>
          <w:sz w:val="36"/>
          <w:szCs w:val="36"/>
        </w:rPr>
      </w:pPr>
    </w:p>
    <w:p>
      <w:pPr>
        <w:widowControl/>
        <w:ind w:firstLine="1792" w:firstLineChars="850"/>
        <w:rPr>
          <w:rFonts w:ascii="宋体" w:hAnsi="宋体" w:cs="宋体"/>
          <w:b/>
          <w:szCs w:val="30"/>
        </w:rPr>
      </w:pPr>
    </w:p>
    <w:p>
      <w:pPr>
        <w:widowControl/>
        <w:ind w:firstLine="1792" w:firstLineChars="850"/>
        <w:rPr>
          <w:rFonts w:ascii="宋体" w:hAnsi="宋体" w:cs="宋体"/>
          <w:b/>
          <w:szCs w:val="30"/>
        </w:rPr>
      </w:pPr>
      <w:r>
        <w:rPr>
          <w:rFonts w:hint="eastAsia" w:ascii="宋体" w:hAnsi="宋体" w:cs="宋体"/>
          <w:b/>
          <w:szCs w:val="30"/>
        </w:rPr>
        <w:t xml:space="preserve">项目名称：  </w:t>
      </w:r>
    </w:p>
    <w:p>
      <w:pPr>
        <w:widowControl/>
        <w:ind w:firstLine="1792" w:firstLineChars="850"/>
        <w:rPr>
          <w:rFonts w:ascii="宋体" w:hAnsi="宋体" w:cs="宋体"/>
          <w:b/>
          <w:szCs w:val="30"/>
        </w:rPr>
      </w:pPr>
    </w:p>
    <w:p>
      <w:pPr>
        <w:widowControl/>
        <w:ind w:firstLine="1792" w:firstLineChars="850"/>
        <w:rPr>
          <w:rFonts w:ascii="宋体" w:hAnsi="宋体" w:cs="宋体"/>
          <w:b/>
          <w:szCs w:val="30"/>
        </w:rPr>
      </w:pPr>
      <w:r>
        <w:rPr>
          <w:rFonts w:hint="eastAsia" w:ascii="宋体" w:hAnsi="宋体" w:cs="宋体"/>
          <w:b/>
          <w:szCs w:val="30"/>
        </w:rPr>
        <w:t>项目编号</w:t>
      </w:r>
      <w:r>
        <w:rPr>
          <w:rFonts w:hint="eastAsia" w:ascii="宋体" w:hAnsi="宋体" w:cs="宋体"/>
          <w:b/>
          <w:szCs w:val="30"/>
        </w:rPr>
        <w:tab/>
      </w:r>
      <w:r>
        <w:rPr>
          <w:rFonts w:hint="eastAsia" w:ascii="宋体" w:hAnsi="宋体" w:cs="宋体"/>
          <w:b/>
          <w:szCs w:val="30"/>
        </w:rPr>
        <w:t xml:space="preserve">：  </w:t>
      </w:r>
    </w:p>
    <w:p>
      <w:pPr>
        <w:widowControl/>
        <w:jc w:val="center"/>
        <w:rPr>
          <w:rFonts w:ascii="宋体" w:hAnsi="宋体" w:cs="宋体"/>
          <w:sz w:val="36"/>
          <w:szCs w:val="36"/>
        </w:rPr>
      </w:pPr>
    </w:p>
    <w:p>
      <w:pPr>
        <w:widowControl/>
        <w:rPr>
          <w:rFonts w:ascii="宋体" w:hAnsi="宋体" w:cs="宋体"/>
          <w:sz w:val="36"/>
          <w:szCs w:val="36"/>
        </w:rPr>
      </w:pPr>
    </w:p>
    <w:p>
      <w:pPr>
        <w:widowControl/>
        <w:jc w:val="center"/>
        <w:rPr>
          <w:rFonts w:ascii="宋体" w:hAnsi="宋体" w:cs="宋体"/>
          <w:sz w:val="36"/>
          <w:szCs w:val="36"/>
        </w:rPr>
      </w:pPr>
    </w:p>
    <w:p>
      <w:pPr>
        <w:widowControl/>
        <w:spacing w:line="480" w:lineRule="auto"/>
        <w:ind w:firstLine="361" w:firstLineChars="150"/>
        <w:rPr>
          <w:rFonts w:ascii="宋体" w:hAnsi="宋体" w:cs="宋体"/>
          <w:b/>
          <w:sz w:val="28"/>
          <w:szCs w:val="28"/>
        </w:rPr>
      </w:pPr>
      <w:r>
        <w:rPr>
          <w:rFonts w:hint="eastAsia" w:ascii="宋体" w:hAnsi="宋体" w:cs="宋体"/>
          <w:b/>
          <w:sz w:val="24"/>
        </w:rPr>
        <w:t xml:space="preserve">  </w:t>
      </w:r>
      <w:r>
        <w:rPr>
          <w:rFonts w:hint="eastAsia" w:ascii="宋体" w:hAnsi="宋体" w:cs="宋体"/>
          <w:b/>
          <w:sz w:val="28"/>
          <w:szCs w:val="28"/>
        </w:rPr>
        <w:t xml:space="preserve">    供应商全称：（公章）</w:t>
      </w:r>
    </w:p>
    <w:p>
      <w:pPr>
        <w:widowControl/>
        <w:spacing w:line="480" w:lineRule="auto"/>
        <w:ind w:firstLine="422" w:firstLineChars="150"/>
        <w:rPr>
          <w:rFonts w:ascii="宋体" w:hAnsi="宋体" w:cs="宋体"/>
          <w:b/>
          <w:sz w:val="28"/>
          <w:szCs w:val="28"/>
        </w:rPr>
      </w:pPr>
      <w:r>
        <w:rPr>
          <w:rFonts w:hint="eastAsia" w:ascii="宋体" w:hAnsi="宋体" w:cs="宋体"/>
          <w:b/>
          <w:sz w:val="28"/>
          <w:szCs w:val="28"/>
        </w:rPr>
        <w:t xml:space="preserve">     全权代表：                 </w:t>
      </w:r>
    </w:p>
    <w:p>
      <w:pPr>
        <w:widowControl/>
        <w:spacing w:line="480" w:lineRule="auto"/>
        <w:ind w:firstLine="422" w:firstLineChars="150"/>
        <w:rPr>
          <w:rFonts w:ascii="宋体" w:hAnsi="宋体" w:cs="宋体"/>
          <w:b/>
          <w:sz w:val="28"/>
          <w:szCs w:val="28"/>
        </w:rPr>
      </w:pPr>
      <w:r>
        <w:rPr>
          <w:rFonts w:hint="eastAsia" w:ascii="宋体" w:hAnsi="宋体" w:cs="宋体"/>
          <w:b/>
          <w:sz w:val="28"/>
          <w:szCs w:val="28"/>
        </w:rPr>
        <w:t xml:space="preserve">     电    话：</w:t>
      </w:r>
    </w:p>
    <w:p>
      <w:pPr>
        <w:widowControl/>
        <w:spacing w:line="480" w:lineRule="auto"/>
        <w:ind w:firstLine="422" w:firstLineChars="150"/>
        <w:rPr>
          <w:rFonts w:ascii="宋体" w:hAnsi="宋体" w:cs="宋体"/>
          <w:b/>
          <w:sz w:val="28"/>
          <w:szCs w:val="28"/>
        </w:rPr>
      </w:pPr>
      <w:r>
        <w:rPr>
          <w:rFonts w:hint="eastAsia" w:ascii="宋体" w:hAnsi="宋体" w:cs="宋体"/>
          <w:b/>
          <w:sz w:val="28"/>
          <w:szCs w:val="28"/>
        </w:rPr>
        <w:t xml:space="preserve">     磋商日期：</w:t>
      </w:r>
    </w:p>
    <w:p>
      <w:pPr>
        <w:snapToGrid w:val="0"/>
        <w:ind w:left="450"/>
        <w:jc w:val="center"/>
        <w:rPr>
          <w:rFonts w:ascii="宋体" w:hAnsi="宋体" w:cs="宋体"/>
          <w:sz w:val="36"/>
          <w:szCs w:val="36"/>
        </w:rPr>
      </w:pPr>
    </w:p>
    <w:p>
      <w:pPr>
        <w:rPr>
          <w:rFonts w:ascii="宋体" w:hAnsi="宋体" w:cs="宋体"/>
          <w:b/>
          <w:bCs/>
          <w:sz w:val="44"/>
          <w:szCs w:val="44"/>
        </w:rPr>
      </w:pPr>
    </w:p>
    <w:p>
      <w:pPr>
        <w:rPr>
          <w:rFonts w:ascii="宋体" w:hAnsi="宋体" w:cs="宋体"/>
          <w:b/>
          <w:sz w:val="19"/>
          <w:szCs w:val="19"/>
        </w:rPr>
      </w:pPr>
      <w:r>
        <w:rPr>
          <w:rFonts w:hint="eastAsia" w:ascii="宋体" w:hAnsi="宋体" w:cs="宋体"/>
          <w:b/>
          <w:sz w:val="19"/>
          <w:szCs w:val="19"/>
        </w:rPr>
        <w:t>附件二</w:t>
      </w:r>
    </w:p>
    <w:p>
      <w:pPr>
        <w:pStyle w:val="3"/>
        <w:numPr>
          <w:ilvl w:val="0"/>
          <w:numId w:val="0"/>
        </w:numPr>
        <w:jc w:val="center"/>
        <w:rPr>
          <w:rFonts w:ascii="宋体" w:hAnsi="宋体" w:eastAsia="宋体" w:cs="宋体"/>
        </w:rPr>
      </w:pPr>
      <w:r>
        <w:rPr>
          <w:rFonts w:hint="eastAsia" w:ascii="宋体" w:hAnsi="宋体" w:eastAsia="宋体" w:cs="宋体"/>
        </w:rPr>
        <w:t xml:space="preserve">    </w:t>
      </w:r>
      <w:bookmarkStart w:id="1522" w:name="_Toc326"/>
      <w:bookmarkStart w:id="1523" w:name="_Toc28202"/>
      <w:bookmarkStart w:id="1524" w:name="_Toc685"/>
      <w:bookmarkStart w:id="1525" w:name="_Toc14253"/>
      <w:bookmarkStart w:id="1526" w:name="_Toc7404"/>
      <w:bookmarkStart w:id="1527" w:name="_Toc12737"/>
      <w:bookmarkStart w:id="1528" w:name="_Toc3228"/>
      <w:bookmarkStart w:id="1529" w:name="_Toc28984"/>
      <w:bookmarkStart w:id="1530" w:name="_Toc3930"/>
      <w:bookmarkStart w:id="1531" w:name="_Toc14323"/>
      <w:bookmarkStart w:id="1532" w:name="_Toc15058"/>
      <w:bookmarkStart w:id="1533" w:name="_Toc19889"/>
      <w:bookmarkStart w:id="1534" w:name="_Toc29544"/>
      <w:bookmarkStart w:id="1535" w:name="_Toc21645"/>
      <w:bookmarkStart w:id="1536" w:name="_Toc11520"/>
      <w:bookmarkStart w:id="1537" w:name="_Toc12049307"/>
      <w:bookmarkStart w:id="1538" w:name="_Toc19902"/>
      <w:bookmarkStart w:id="1539" w:name="_Toc31569"/>
      <w:bookmarkStart w:id="1540" w:name="_Toc29880"/>
      <w:bookmarkStart w:id="1541" w:name="_Toc23711"/>
      <w:bookmarkStart w:id="1542" w:name="_Toc16961"/>
      <w:bookmarkStart w:id="1543" w:name="_Toc31597"/>
      <w:bookmarkStart w:id="1544" w:name="_Toc7795"/>
      <w:bookmarkStart w:id="1545" w:name="_Toc18914"/>
      <w:bookmarkStart w:id="1546" w:name="_Toc16201"/>
      <w:bookmarkStart w:id="1547" w:name="_Toc27648"/>
      <w:bookmarkStart w:id="1548" w:name="_Toc27436"/>
      <w:bookmarkStart w:id="1549" w:name="_Toc29321"/>
      <w:bookmarkStart w:id="1550" w:name="_Toc22282"/>
      <w:bookmarkStart w:id="1551" w:name="_Toc29875"/>
      <w:bookmarkStart w:id="1552" w:name="_Toc19344"/>
      <w:bookmarkStart w:id="1553" w:name="_Toc304"/>
      <w:bookmarkStart w:id="1554" w:name="_Toc16390"/>
      <w:bookmarkStart w:id="1555" w:name="_Toc21423"/>
      <w:bookmarkStart w:id="1556" w:name="_Toc2249"/>
      <w:bookmarkStart w:id="1557" w:name="_Toc9247"/>
      <w:bookmarkStart w:id="1558" w:name="_Toc24509"/>
      <w:bookmarkStart w:id="1559" w:name="_Toc11395"/>
      <w:bookmarkStart w:id="1560" w:name="_Toc29637"/>
      <w:bookmarkStart w:id="1561" w:name="_Toc30621"/>
      <w:bookmarkStart w:id="1562" w:name="_Toc27844"/>
      <w:bookmarkStart w:id="1563" w:name="_Toc8679"/>
      <w:bookmarkStart w:id="1564" w:name="_Toc7611"/>
      <w:bookmarkStart w:id="1565" w:name="_Toc20133"/>
      <w:bookmarkStart w:id="1566" w:name="_Toc26659"/>
      <w:bookmarkStart w:id="1567" w:name="_Toc3276"/>
      <w:r>
        <w:rPr>
          <w:rFonts w:hint="eastAsia" w:ascii="宋体" w:hAnsi="宋体" w:eastAsia="宋体" w:cs="宋体"/>
        </w:rPr>
        <w:t>B、法定代表人授权书</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rPr>
          <w:rFonts w:ascii="宋体" w:hAnsi="宋体" w:cs="宋体"/>
          <w:sz w:val="28"/>
          <w:szCs w:val="28"/>
          <w:u w:val="single"/>
        </w:rPr>
      </w:pPr>
    </w:p>
    <w:p>
      <w:pPr>
        <w:rPr>
          <w:rFonts w:ascii="宋体" w:hAnsi="宋体" w:cs="宋体"/>
          <w:sz w:val="24"/>
        </w:rPr>
      </w:pPr>
      <w:r>
        <w:rPr>
          <w:rFonts w:hint="eastAsia" w:ascii="宋体" w:hAnsi="宋体" w:cs="宋体"/>
          <w:sz w:val="24"/>
          <w:u w:val="single"/>
        </w:rPr>
        <w:t xml:space="preserve"> 黑龙江省北通建筑工程管理咨询有限公司</w:t>
      </w:r>
      <w:r>
        <w:rPr>
          <w:rFonts w:hint="eastAsia" w:ascii="宋体" w:hAnsi="宋体" w:cs="宋体"/>
          <w:sz w:val="24"/>
        </w:rPr>
        <w:t>：</w:t>
      </w:r>
    </w:p>
    <w:p>
      <w:pPr>
        <w:ind w:firstLine="720" w:firstLineChars="300"/>
        <w:rPr>
          <w:rFonts w:ascii="宋体" w:hAnsi="宋体" w:cs="宋体"/>
          <w:sz w:val="24"/>
          <w:u w:val="single"/>
        </w:rPr>
      </w:pPr>
    </w:p>
    <w:p>
      <w:pPr>
        <w:ind w:firstLine="720" w:firstLineChars="300"/>
        <w:rPr>
          <w:rFonts w:ascii="宋体" w:hAnsi="宋体" w:cs="宋体"/>
          <w:sz w:val="24"/>
        </w:rPr>
      </w:pPr>
      <w:r>
        <w:rPr>
          <w:rFonts w:hint="eastAsia" w:ascii="宋体" w:hAnsi="宋体" w:cs="宋体"/>
          <w:sz w:val="24"/>
          <w:u w:val="single"/>
        </w:rPr>
        <w:t xml:space="preserve">              </w:t>
      </w:r>
      <w:r>
        <w:rPr>
          <w:rFonts w:hint="eastAsia" w:ascii="宋体" w:hAnsi="宋体" w:cs="宋体"/>
          <w:sz w:val="24"/>
        </w:rPr>
        <w:t>（供应商全称）法定代表人</w:t>
      </w:r>
      <w:r>
        <w:rPr>
          <w:rFonts w:hint="eastAsia" w:ascii="宋体" w:hAnsi="宋体" w:cs="宋体"/>
          <w:sz w:val="24"/>
          <w:u w:val="single"/>
        </w:rPr>
        <w:t xml:space="preserve">         </w:t>
      </w:r>
      <w:r>
        <w:rPr>
          <w:rFonts w:hint="eastAsia" w:ascii="宋体" w:hAnsi="宋体" w:cs="宋体"/>
          <w:sz w:val="24"/>
        </w:rPr>
        <w:t>授权</w:t>
      </w:r>
      <w:r>
        <w:rPr>
          <w:rFonts w:hint="eastAsia" w:ascii="宋体" w:hAnsi="宋体" w:cs="宋体"/>
          <w:sz w:val="24"/>
          <w:u w:val="single"/>
        </w:rPr>
        <w:t xml:space="preserve">         </w:t>
      </w:r>
      <w:r>
        <w:rPr>
          <w:rFonts w:hint="eastAsia" w:ascii="宋体" w:hAnsi="宋体" w:cs="宋体"/>
          <w:sz w:val="24"/>
        </w:rPr>
        <w:t>（授权代表姓名）为授权代表，参加贵处组织的</w:t>
      </w:r>
      <w:r>
        <w:rPr>
          <w:rFonts w:hint="eastAsia" w:ascii="宋体" w:hAnsi="宋体" w:cs="宋体"/>
          <w:sz w:val="24"/>
          <w:u w:val="single"/>
        </w:rPr>
        <w:t xml:space="preserve">                    </w:t>
      </w:r>
      <w:r>
        <w:rPr>
          <w:rFonts w:hint="eastAsia" w:ascii="宋体" w:hAnsi="宋体" w:cs="宋体"/>
          <w:sz w:val="24"/>
        </w:rPr>
        <w:t>项目（项目编号/包号：</w:t>
      </w:r>
      <w:r>
        <w:rPr>
          <w:rFonts w:hint="eastAsia" w:ascii="宋体" w:hAnsi="宋体" w:cs="宋体"/>
          <w:sz w:val="24"/>
          <w:u w:val="single"/>
        </w:rPr>
        <w:t xml:space="preserve">     </w:t>
      </w:r>
      <w:r>
        <w:rPr>
          <w:rFonts w:hint="eastAsia" w:ascii="宋体" w:hAnsi="宋体" w:cs="宋体"/>
          <w:sz w:val="24"/>
        </w:rPr>
        <w:t>）磋商活动，全权处理本活动中的一切事宜。</w:t>
      </w:r>
    </w:p>
    <w:p>
      <w:pPr>
        <w:ind w:firstLine="600"/>
        <w:rPr>
          <w:rFonts w:ascii="宋体" w:hAnsi="宋体" w:cs="宋体"/>
          <w:sz w:val="24"/>
        </w:rPr>
      </w:pPr>
    </w:p>
    <w:p>
      <w:pPr>
        <w:ind w:firstLine="600"/>
        <w:rPr>
          <w:rFonts w:ascii="宋体" w:hAnsi="宋体" w:cs="宋体"/>
          <w:sz w:val="24"/>
        </w:rPr>
      </w:pPr>
    </w:p>
    <w:p>
      <w:pPr>
        <w:ind w:firstLine="600"/>
        <w:rPr>
          <w:rFonts w:ascii="宋体" w:hAnsi="宋体" w:cs="宋体"/>
          <w:sz w:val="24"/>
        </w:rPr>
      </w:pPr>
    </w:p>
    <w:p>
      <w:pPr>
        <w:ind w:firstLine="600"/>
        <w:rPr>
          <w:rFonts w:ascii="宋体" w:hAnsi="宋体" w:cs="宋体"/>
          <w:sz w:val="24"/>
        </w:rPr>
      </w:pPr>
    </w:p>
    <w:p>
      <w:pPr>
        <w:ind w:firstLine="600"/>
        <w:rPr>
          <w:rFonts w:ascii="宋体" w:hAnsi="宋体" w:cs="宋体"/>
          <w:sz w:val="24"/>
        </w:rPr>
      </w:pPr>
      <w:r>
        <w:rPr>
          <w:rFonts w:hint="eastAsia" w:ascii="宋体" w:hAnsi="宋体" w:cs="宋体"/>
          <w:sz w:val="24"/>
        </w:rPr>
        <w:t>法定代表人签字：</w:t>
      </w:r>
      <w:r>
        <w:rPr>
          <w:rFonts w:hint="eastAsia" w:ascii="宋体" w:hAnsi="宋体" w:cs="宋体"/>
          <w:sz w:val="24"/>
          <w:u w:val="single"/>
        </w:rPr>
        <w:t xml:space="preserve">                    </w:t>
      </w:r>
    </w:p>
    <w:p>
      <w:pPr>
        <w:ind w:firstLine="600"/>
        <w:rPr>
          <w:rFonts w:ascii="宋体" w:hAnsi="宋体" w:cs="宋体"/>
          <w:sz w:val="24"/>
        </w:rPr>
      </w:pPr>
    </w:p>
    <w:p>
      <w:pPr>
        <w:ind w:firstLine="600"/>
        <w:rPr>
          <w:rFonts w:ascii="宋体" w:hAnsi="宋体" w:cs="宋体"/>
          <w:sz w:val="24"/>
        </w:rPr>
      </w:pPr>
      <w:r>
        <w:rPr>
          <w:rFonts w:hint="eastAsia" w:ascii="宋体" w:hAnsi="宋体" w:cs="宋体"/>
          <w:sz w:val="24"/>
        </w:rPr>
        <w:t>供应商全称（加盖公章）：</w:t>
      </w:r>
      <w:r>
        <w:rPr>
          <w:rFonts w:hint="eastAsia" w:ascii="宋体" w:hAnsi="宋体" w:cs="宋体"/>
          <w:sz w:val="24"/>
          <w:u w:val="single"/>
        </w:rPr>
        <w:t xml:space="preserve">                    </w:t>
      </w:r>
    </w:p>
    <w:p>
      <w:pPr>
        <w:ind w:firstLine="600"/>
        <w:rPr>
          <w:rFonts w:ascii="宋体" w:hAnsi="宋体" w:cs="宋体"/>
          <w:sz w:val="24"/>
        </w:rPr>
      </w:pPr>
    </w:p>
    <w:p>
      <w:pPr>
        <w:ind w:firstLine="600"/>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u w:val="single"/>
        </w:rPr>
      </w:pPr>
      <w:r>
        <w:rPr>
          <w:rFonts w:hint="eastAsia" w:ascii="宋体" w:hAnsi="宋体" w:cs="宋体"/>
          <w:sz w:val="24"/>
        </w:rPr>
        <w:t>附：授权代表（签字）：</w:t>
      </w:r>
      <w:r>
        <w:rPr>
          <w:rFonts w:hint="eastAsia" w:ascii="宋体" w:hAnsi="宋体" w:cs="宋体"/>
          <w:sz w:val="24"/>
          <w:u w:val="single"/>
        </w:rPr>
        <w:t xml:space="preserve">                       </w:t>
      </w:r>
    </w:p>
    <w:p>
      <w:pPr>
        <w:ind w:firstLine="523" w:firstLineChars="218"/>
        <w:rPr>
          <w:rFonts w:ascii="宋体" w:hAnsi="宋体" w:cs="宋体"/>
          <w:sz w:val="24"/>
          <w:u w:val="single"/>
        </w:rPr>
      </w:pPr>
      <w:r>
        <w:rPr>
          <w:rFonts w:hint="eastAsia" w:ascii="宋体" w:hAnsi="宋体" w:cs="宋体"/>
          <w:sz w:val="24"/>
        </w:rPr>
        <w:t>职    务：</w:t>
      </w:r>
      <w:r>
        <w:rPr>
          <w:rFonts w:hint="eastAsia" w:ascii="宋体" w:hAnsi="宋体" w:cs="宋体"/>
          <w:sz w:val="24"/>
          <w:u w:val="single"/>
        </w:rPr>
        <w:t xml:space="preserve">                             </w:t>
      </w:r>
    </w:p>
    <w:p>
      <w:pPr>
        <w:ind w:firstLine="523" w:firstLineChars="218"/>
        <w:rPr>
          <w:rFonts w:ascii="宋体" w:hAnsi="宋体" w:cs="宋体"/>
          <w:sz w:val="24"/>
        </w:rPr>
      </w:pPr>
      <w:r>
        <w:rPr>
          <w:rFonts w:hint="eastAsia" w:ascii="宋体" w:hAnsi="宋体" w:cs="宋体"/>
          <w:sz w:val="24"/>
        </w:rPr>
        <w:t>详细通讯地址：</w:t>
      </w:r>
      <w:r>
        <w:rPr>
          <w:rFonts w:hint="eastAsia" w:ascii="宋体" w:hAnsi="宋体" w:cs="宋体"/>
          <w:sz w:val="24"/>
          <w:u w:val="single"/>
        </w:rPr>
        <w:t xml:space="preserve">                         </w:t>
      </w:r>
    </w:p>
    <w:p>
      <w:pPr>
        <w:ind w:firstLine="523" w:firstLineChars="218"/>
        <w:rPr>
          <w:rFonts w:ascii="宋体" w:hAnsi="宋体" w:cs="宋体"/>
          <w:sz w:val="24"/>
          <w:u w:val="single"/>
        </w:rPr>
      </w:pPr>
      <w:r>
        <w:rPr>
          <w:rFonts w:hint="eastAsia" w:ascii="宋体" w:hAnsi="宋体" w:cs="宋体"/>
          <w:sz w:val="24"/>
        </w:rPr>
        <w:t>邮政编码：</w:t>
      </w:r>
      <w:r>
        <w:rPr>
          <w:rFonts w:hint="eastAsia" w:ascii="宋体" w:hAnsi="宋体" w:cs="宋体"/>
          <w:sz w:val="24"/>
          <w:u w:val="single"/>
        </w:rPr>
        <w:t xml:space="preserve">                             </w:t>
      </w:r>
    </w:p>
    <w:p>
      <w:pPr>
        <w:ind w:firstLine="523" w:firstLineChars="218"/>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w:t>
      </w:r>
    </w:p>
    <w:p>
      <w:pPr>
        <w:ind w:firstLine="523" w:firstLineChars="218"/>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 xml:space="preserve">                             </w:t>
      </w:r>
    </w:p>
    <w:p>
      <w:pPr>
        <w:rPr>
          <w:rFonts w:ascii="宋体" w:hAnsi="宋体" w:cs="宋体"/>
          <w:b/>
          <w:sz w:val="19"/>
          <w:szCs w:val="19"/>
        </w:rPr>
      </w:pPr>
      <w:r>
        <w:rPr>
          <w:rFonts w:hint="eastAsia" w:ascii="宋体" w:hAnsi="宋体" w:cs="宋体"/>
          <w:sz w:val="29"/>
          <w:szCs w:val="29"/>
        </w:rPr>
        <w:br w:type="page"/>
      </w:r>
      <w:r>
        <w:rPr>
          <w:rFonts w:hint="eastAsia" w:ascii="宋体" w:hAnsi="宋体" w:cs="宋体"/>
          <w:b/>
          <w:sz w:val="19"/>
          <w:szCs w:val="19"/>
        </w:rPr>
        <w:t>附件三</w:t>
      </w:r>
    </w:p>
    <w:p>
      <w:pPr>
        <w:pStyle w:val="2"/>
        <w:numPr>
          <w:ilvl w:val="1"/>
          <w:numId w:val="0"/>
        </w:numPr>
        <w:spacing w:before="0"/>
        <w:jc w:val="center"/>
        <w:rPr>
          <w:rFonts w:ascii="宋体" w:hAnsi="宋体" w:eastAsia="宋体" w:cs="宋体"/>
          <w:sz w:val="32"/>
          <w:szCs w:val="32"/>
        </w:rPr>
      </w:pPr>
    </w:p>
    <w:p>
      <w:pPr>
        <w:pStyle w:val="3"/>
        <w:numPr>
          <w:ilvl w:val="0"/>
          <w:numId w:val="0"/>
        </w:numPr>
        <w:jc w:val="center"/>
        <w:rPr>
          <w:rFonts w:ascii="宋体" w:hAnsi="宋体" w:eastAsia="宋体" w:cs="宋体"/>
        </w:rPr>
      </w:pPr>
      <w:bookmarkStart w:id="1568" w:name="_Toc30611"/>
      <w:bookmarkStart w:id="1569" w:name="_Toc29232"/>
      <w:bookmarkStart w:id="1570" w:name="_Toc19574"/>
      <w:bookmarkStart w:id="1571" w:name="_Toc2186"/>
      <w:bookmarkStart w:id="1572" w:name="_Toc10014"/>
      <w:bookmarkStart w:id="1573" w:name="_Toc72"/>
      <w:bookmarkStart w:id="1574" w:name="_Toc12425"/>
      <w:bookmarkStart w:id="1575" w:name="_Toc26459"/>
      <w:bookmarkStart w:id="1576" w:name="_Toc6270"/>
      <w:bookmarkStart w:id="1577" w:name="_Toc7332"/>
      <w:bookmarkStart w:id="1578" w:name="_Toc12049308"/>
      <w:bookmarkStart w:id="1579" w:name="_Toc7294"/>
      <w:bookmarkStart w:id="1580" w:name="_Toc21636"/>
      <w:bookmarkStart w:id="1581" w:name="_Toc24483"/>
      <w:bookmarkStart w:id="1582" w:name="_Toc26763"/>
      <w:bookmarkStart w:id="1583" w:name="_Toc10712"/>
      <w:bookmarkStart w:id="1584" w:name="_Toc2117"/>
      <w:bookmarkStart w:id="1585" w:name="_Toc20199"/>
      <w:bookmarkStart w:id="1586" w:name="_Toc31833"/>
      <w:bookmarkStart w:id="1587" w:name="_Toc32520"/>
      <w:bookmarkStart w:id="1588" w:name="_Toc15673"/>
      <w:bookmarkStart w:id="1589" w:name="_Toc29558"/>
      <w:bookmarkStart w:id="1590" w:name="_Toc19997"/>
      <w:bookmarkStart w:id="1591" w:name="_Toc5015"/>
      <w:bookmarkStart w:id="1592" w:name="_Toc17101"/>
      <w:bookmarkStart w:id="1593" w:name="_Toc21643"/>
      <w:bookmarkStart w:id="1594" w:name="_Toc6181"/>
      <w:bookmarkStart w:id="1595" w:name="_Toc29368"/>
      <w:bookmarkStart w:id="1596" w:name="_Toc19395"/>
      <w:bookmarkStart w:id="1597" w:name="_Toc8597"/>
      <w:bookmarkStart w:id="1598" w:name="_Toc29302"/>
      <w:bookmarkStart w:id="1599" w:name="_Toc1722"/>
      <w:bookmarkStart w:id="1600" w:name="_Toc5535"/>
      <w:bookmarkStart w:id="1601" w:name="_Toc18350"/>
      <w:bookmarkStart w:id="1602" w:name="_Toc10197"/>
      <w:bookmarkStart w:id="1603" w:name="_Toc8524"/>
      <w:bookmarkStart w:id="1604" w:name="_Toc14389"/>
      <w:bookmarkStart w:id="1605" w:name="_Toc31338"/>
      <w:bookmarkStart w:id="1606" w:name="_Toc17730"/>
      <w:bookmarkStart w:id="1607" w:name="_Toc7132"/>
      <w:bookmarkStart w:id="1608" w:name="_Toc30826"/>
      <w:bookmarkStart w:id="1609" w:name="_Toc26101"/>
      <w:bookmarkStart w:id="1610" w:name="_Toc19476"/>
      <w:bookmarkStart w:id="1611" w:name="_Toc32014"/>
      <w:bookmarkStart w:id="1612" w:name="_Toc12294"/>
      <w:bookmarkStart w:id="1613" w:name="_Toc23109"/>
      <w:r>
        <w:rPr>
          <w:rFonts w:hint="eastAsia" w:ascii="宋体" w:hAnsi="宋体" w:eastAsia="宋体" w:cs="宋体"/>
        </w:rPr>
        <w:t>C、响   应  书</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rPr>
          <w:rFonts w:ascii="宋体" w:hAnsi="宋体" w:cs="宋体"/>
          <w:sz w:val="24"/>
        </w:rPr>
      </w:pPr>
    </w:p>
    <w:p>
      <w:pPr>
        <w:rPr>
          <w:rFonts w:ascii="宋体" w:hAnsi="宋体" w:cs="宋体"/>
          <w:sz w:val="24"/>
        </w:rPr>
      </w:pPr>
      <w:r>
        <w:rPr>
          <w:rFonts w:hint="eastAsia" w:ascii="宋体" w:hAnsi="宋体" w:cs="宋体"/>
          <w:sz w:val="24"/>
          <w:u w:val="single"/>
        </w:rPr>
        <w:t>黑龙江省北通建筑工程管理咨询有限公司</w:t>
      </w:r>
      <w:r>
        <w:rPr>
          <w:rFonts w:hint="eastAsia" w:ascii="宋体" w:hAnsi="宋体" w:cs="宋体"/>
          <w:sz w:val="24"/>
        </w:rPr>
        <w:t>（采购代理机构）：</w:t>
      </w:r>
    </w:p>
    <w:p>
      <w:pPr>
        <w:tabs>
          <w:tab w:val="left" w:pos="1830"/>
        </w:tabs>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（供应商全称）授权</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（全权代表姓名）</w:t>
      </w:r>
      <w:r>
        <w:rPr>
          <w:rFonts w:hint="eastAsia" w:ascii="宋体" w:hAnsi="宋体" w:cs="宋体"/>
          <w:sz w:val="24"/>
          <w:u w:val="single"/>
        </w:rPr>
        <w:t xml:space="preserve">          </w:t>
      </w:r>
      <w:r>
        <w:rPr>
          <w:rFonts w:hint="eastAsia" w:ascii="宋体" w:hAnsi="宋体" w:cs="宋体"/>
          <w:sz w:val="24"/>
        </w:rPr>
        <w:t>（职务、职称）为全权代表，参加贵方组织的</w:t>
      </w:r>
      <w:r>
        <w:rPr>
          <w:rFonts w:hint="eastAsia" w:ascii="宋体" w:hAnsi="宋体" w:cs="宋体"/>
          <w:sz w:val="24"/>
          <w:u w:val="single"/>
        </w:rPr>
        <w:t xml:space="preserve">        </w:t>
      </w:r>
      <w:r>
        <w:rPr>
          <w:rFonts w:hint="eastAsia" w:ascii="宋体" w:hAnsi="宋体" w:cs="宋体"/>
          <w:sz w:val="24"/>
        </w:rPr>
        <w:t>（项目编号、项目名称）磋商的有关活动，并对该项目进行报价。为此：</w:t>
      </w:r>
    </w:p>
    <w:p>
      <w:pPr>
        <w:rPr>
          <w:rFonts w:ascii="宋体" w:hAnsi="宋体" w:cs="宋体"/>
          <w:sz w:val="24"/>
        </w:rPr>
      </w:pPr>
      <w:r>
        <w:rPr>
          <w:rFonts w:hint="eastAsia" w:ascii="宋体" w:hAnsi="宋体" w:cs="宋体"/>
          <w:sz w:val="24"/>
        </w:rPr>
        <w:t xml:space="preserve">    1、提供供应商须知规定的全部响应文件：</w:t>
      </w:r>
    </w:p>
    <w:p>
      <w:pPr>
        <w:rPr>
          <w:rFonts w:ascii="宋体" w:hAnsi="宋体" w:cs="宋体"/>
          <w:sz w:val="24"/>
        </w:rPr>
      </w:pPr>
      <w:r>
        <w:rPr>
          <w:rFonts w:hint="eastAsia" w:ascii="宋体" w:hAnsi="宋体" w:cs="宋体"/>
          <w:sz w:val="24"/>
        </w:rPr>
        <w:t xml:space="preserve">        响应文件（含资格证明文件）正本壹份，副本贰份，电子版U盘壹份。</w:t>
      </w:r>
    </w:p>
    <w:p>
      <w:pPr>
        <w:tabs>
          <w:tab w:val="left" w:pos="4320"/>
        </w:tabs>
        <w:ind w:firstLine="480" w:firstLineChars="200"/>
        <w:rPr>
          <w:rFonts w:ascii="宋体" w:hAnsi="宋体" w:cs="宋体"/>
          <w:sz w:val="24"/>
        </w:rPr>
      </w:pPr>
      <w:r>
        <w:rPr>
          <w:rFonts w:hint="eastAsia" w:ascii="宋体" w:hAnsi="宋体" w:cs="宋体"/>
          <w:sz w:val="24"/>
        </w:rPr>
        <w:t>2、所报工程的合计报价为（大写）</w:t>
      </w:r>
      <w:r>
        <w:rPr>
          <w:rFonts w:hint="eastAsia" w:ascii="宋体" w:hAnsi="宋体" w:cs="宋体"/>
          <w:sz w:val="24"/>
          <w:u w:val="single"/>
        </w:rPr>
        <w:t xml:space="preserve">              </w:t>
      </w:r>
      <w:r>
        <w:rPr>
          <w:rFonts w:hint="eastAsia" w:ascii="宋体" w:hAnsi="宋体" w:cs="宋体"/>
          <w:sz w:val="24"/>
        </w:rPr>
        <w:t>元人民币，小写</w:t>
      </w:r>
      <w:r>
        <w:rPr>
          <w:rFonts w:hint="eastAsia" w:ascii="宋体" w:hAnsi="宋体" w:cs="宋体"/>
          <w:sz w:val="24"/>
          <w:u w:val="single"/>
        </w:rPr>
        <w:t xml:space="preserve">              </w:t>
      </w:r>
      <w:r>
        <w:rPr>
          <w:rFonts w:hint="eastAsia" w:ascii="宋体" w:hAnsi="宋体" w:cs="宋体"/>
          <w:sz w:val="24"/>
        </w:rPr>
        <w:t>元人民币，合同履行期限：</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Cs w:val="21"/>
        </w:rPr>
        <w:t>，</w:t>
      </w:r>
      <w:r>
        <w:rPr>
          <w:rFonts w:hint="eastAsia" w:ascii="宋体" w:hAnsi="宋体" w:cs="宋体"/>
          <w:sz w:val="24"/>
        </w:rPr>
        <w:t>按合同约定实施和完成承包工程。</w:t>
      </w:r>
    </w:p>
    <w:p>
      <w:pPr>
        <w:ind w:firstLine="480"/>
        <w:rPr>
          <w:rFonts w:ascii="宋体" w:hAnsi="宋体" w:cs="宋体"/>
          <w:sz w:val="24"/>
        </w:rPr>
      </w:pPr>
      <w:r>
        <w:rPr>
          <w:rFonts w:hint="eastAsia" w:ascii="宋体" w:hAnsi="宋体" w:cs="宋体"/>
          <w:sz w:val="24"/>
        </w:rPr>
        <w:t>3、保证遵守竞争性磋商文件中的有关规定。</w:t>
      </w:r>
    </w:p>
    <w:p>
      <w:pPr>
        <w:ind w:firstLine="480"/>
        <w:rPr>
          <w:rFonts w:ascii="宋体" w:hAnsi="宋体" w:cs="宋体"/>
          <w:sz w:val="24"/>
        </w:rPr>
      </w:pPr>
      <w:r>
        <w:rPr>
          <w:rFonts w:hint="eastAsia" w:ascii="宋体" w:hAnsi="宋体" w:cs="宋体"/>
          <w:sz w:val="24"/>
        </w:rPr>
        <w:t>4、报价有效期</w:t>
      </w:r>
      <w:r>
        <w:rPr>
          <w:rFonts w:hint="eastAsia" w:ascii="宋体" w:hAnsi="宋体" w:cs="宋体"/>
          <w:sz w:val="24"/>
          <w:u w:val="single"/>
        </w:rPr>
        <w:t xml:space="preserve">   </w:t>
      </w:r>
      <w:r>
        <w:rPr>
          <w:rFonts w:hint="eastAsia" w:ascii="宋体" w:hAnsi="宋体" w:cs="宋体"/>
          <w:sz w:val="24"/>
        </w:rPr>
        <w:t>天。</w:t>
      </w:r>
    </w:p>
    <w:p>
      <w:pPr>
        <w:rPr>
          <w:rFonts w:ascii="宋体" w:hAnsi="宋体" w:cs="宋体"/>
          <w:sz w:val="24"/>
        </w:rPr>
      </w:pPr>
      <w:r>
        <w:rPr>
          <w:rFonts w:hint="eastAsia" w:ascii="宋体" w:hAnsi="宋体" w:cs="宋体"/>
          <w:sz w:val="24"/>
        </w:rPr>
        <w:t xml:space="preserve">    5、保证忠实地执行买卖双方所签的《政府采购合同》，并承担《政府采购合同》规定的责任义务。</w:t>
      </w:r>
    </w:p>
    <w:p>
      <w:pPr>
        <w:rPr>
          <w:rFonts w:ascii="宋体" w:hAnsi="宋体" w:cs="宋体"/>
          <w:sz w:val="24"/>
        </w:rPr>
      </w:pPr>
      <w:r>
        <w:rPr>
          <w:rFonts w:hint="eastAsia" w:ascii="宋体" w:hAnsi="宋体" w:cs="宋体"/>
          <w:sz w:val="24"/>
        </w:rPr>
        <w:t xml:space="preserve">    6、愿意向贵方提供任何与该项活动有关的数据、情况和技术资料。</w:t>
      </w:r>
    </w:p>
    <w:p>
      <w:pPr>
        <w:rPr>
          <w:rFonts w:ascii="宋体" w:hAnsi="宋体" w:cs="宋体"/>
          <w:sz w:val="24"/>
        </w:rPr>
      </w:pPr>
      <w:r>
        <w:rPr>
          <w:rFonts w:hint="eastAsia" w:ascii="宋体" w:hAnsi="宋体" w:cs="宋体"/>
          <w:sz w:val="24"/>
        </w:rPr>
        <w:t xml:space="preserve">    7、与本次磋商活动有关的一切往来通讯请寄：</w:t>
      </w:r>
    </w:p>
    <w:p>
      <w:pPr>
        <w:rPr>
          <w:rFonts w:ascii="宋体" w:hAnsi="宋体" w:cs="宋体"/>
          <w:sz w:val="24"/>
        </w:rPr>
      </w:pPr>
      <w:r>
        <w:rPr>
          <w:rFonts w:hint="eastAsia" w:ascii="宋体" w:hAnsi="宋体" w:cs="宋体"/>
          <w:sz w:val="24"/>
        </w:rPr>
        <w:t xml:space="preserve">    地址：</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    邮编：</w:t>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传真：</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r>
        <w:rPr>
          <w:rFonts w:hint="eastAsia" w:ascii="宋体" w:hAnsi="宋体" w:cs="宋体"/>
          <w:sz w:val="24"/>
        </w:rPr>
        <w:t>供应商单位（盖公章）：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r>
        <w:rPr>
          <w:rFonts w:hint="eastAsia" w:ascii="宋体" w:hAnsi="宋体" w:cs="宋体"/>
          <w:sz w:val="24"/>
        </w:rPr>
        <w:t>法定代表人或授权代表（签字）：</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p>
    <w:p>
      <w:pPr>
        <w:rPr>
          <w:rFonts w:ascii="宋体" w:hAnsi="宋体" w:cs="宋体"/>
          <w:b/>
          <w:sz w:val="19"/>
          <w:szCs w:val="19"/>
        </w:rPr>
      </w:pPr>
      <w:r>
        <w:rPr>
          <w:rFonts w:hint="eastAsia" w:ascii="宋体" w:hAnsi="宋体" w:cs="宋体"/>
          <w:sz w:val="19"/>
          <w:szCs w:val="19"/>
        </w:rPr>
        <w:br w:type="page"/>
      </w:r>
      <w:r>
        <w:rPr>
          <w:rFonts w:hint="eastAsia" w:ascii="宋体" w:hAnsi="宋体" w:cs="宋体"/>
          <w:b/>
          <w:sz w:val="19"/>
          <w:szCs w:val="19"/>
        </w:rPr>
        <w:t xml:space="preserve">附件四 </w:t>
      </w:r>
    </w:p>
    <w:p>
      <w:pPr>
        <w:pStyle w:val="3"/>
        <w:numPr>
          <w:ilvl w:val="0"/>
          <w:numId w:val="0"/>
        </w:numPr>
        <w:jc w:val="center"/>
        <w:rPr>
          <w:rFonts w:ascii="宋体" w:hAnsi="宋体" w:eastAsia="宋体" w:cs="宋体"/>
        </w:rPr>
      </w:pPr>
      <w:bookmarkStart w:id="1614" w:name="_Toc24482"/>
      <w:bookmarkStart w:id="1615" w:name="_Toc3569"/>
      <w:bookmarkStart w:id="1616" w:name="_Toc2353"/>
      <w:bookmarkStart w:id="1617" w:name="_Toc11972"/>
      <w:bookmarkStart w:id="1618" w:name="_Toc929"/>
      <w:bookmarkStart w:id="1619" w:name="_Toc1086"/>
      <w:bookmarkStart w:id="1620" w:name="_Toc31692"/>
      <w:bookmarkStart w:id="1621" w:name="_Toc4443"/>
      <w:bookmarkStart w:id="1622" w:name="_Toc30542"/>
      <w:bookmarkStart w:id="1623" w:name="_Toc9671"/>
      <w:bookmarkStart w:id="1624" w:name="_Toc7272"/>
      <w:bookmarkStart w:id="1625" w:name="_Toc17963"/>
      <w:bookmarkStart w:id="1626" w:name="_Toc9293"/>
      <w:bookmarkStart w:id="1627" w:name="_Toc5198"/>
      <w:bookmarkStart w:id="1628" w:name="_Toc19920"/>
      <w:bookmarkStart w:id="1629" w:name="_Toc19170"/>
      <w:bookmarkStart w:id="1630" w:name="_Toc24816"/>
      <w:bookmarkStart w:id="1631" w:name="_Toc29899"/>
      <w:bookmarkStart w:id="1632" w:name="_Toc29716"/>
      <w:bookmarkStart w:id="1633" w:name="_Toc30230"/>
      <w:bookmarkStart w:id="1634" w:name="_Toc7821"/>
      <w:bookmarkStart w:id="1635" w:name="_Toc24"/>
      <w:bookmarkStart w:id="1636" w:name="_Toc12456"/>
      <w:bookmarkStart w:id="1637" w:name="_Toc4110"/>
      <w:bookmarkStart w:id="1638" w:name="_Toc30986"/>
      <w:bookmarkStart w:id="1639" w:name="_Toc27762"/>
      <w:bookmarkStart w:id="1640" w:name="_Toc19966"/>
      <w:bookmarkStart w:id="1641" w:name="_Toc12394"/>
      <w:bookmarkStart w:id="1642" w:name="_Toc28686"/>
      <w:bookmarkStart w:id="1643" w:name="_Toc950"/>
      <w:bookmarkStart w:id="1644" w:name="_Toc12049309"/>
      <w:bookmarkStart w:id="1645" w:name="_Toc19840"/>
      <w:bookmarkStart w:id="1646" w:name="_Toc22970"/>
      <w:bookmarkStart w:id="1647" w:name="_Toc21701"/>
      <w:bookmarkStart w:id="1648" w:name="_Toc19908"/>
      <w:bookmarkStart w:id="1649" w:name="_Toc5498"/>
      <w:bookmarkStart w:id="1650" w:name="_Toc20110"/>
      <w:bookmarkStart w:id="1651" w:name="_Toc31985"/>
      <w:bookmarkStart w:id="1652" w:name="_Toc20096"/>
      <w:bookmarkStart w:id="1653" w:name="_Toc13590"/>
      <w:bookmarkStart w:id="1654" w:name="_Toc25915"/>
      <w:bookmarkStart w:id="1655" w:name="_Toc31926"/>
      <w:bookmarkStart w:id="1656" w:name="_Toc21374"/>
      <w:bookmarkStart w:id="1657" w:name="_Toc3626"/>
      <w:bookmarkStart w:id="1658" w:name="_Toc12792"/>
      <w:bookmarkStart w:id="1659" w:name="_Toc15905"/>
      <w:r>
        <w:rPr>
          <w:rFonts w:hint="eastAsia" w:ascii="宋体" w:hAnsi="宋体" w:eastAsia="宋体" w:cs="宋体"/>
        </w:rPr>
        <w:t>D、资格证明文件</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jc w:val="both"/>
        <w:rPr>
          <w:rFonts w:ascii="宋体" w:hAnsi="宋体" w:cs="宋体"/>
          <w:sz w:val="24"/>
        </w:rPr>
      </w:pPr>
      <w:r>
        <w:rPr>
          <w:rFonts w:hint="eastAsia" w:ascii="宋体" w:hAnsi="宋体" w:cs="宋体"/>
          <w:sz w:val="24"/>
        </w:rPr>
        <w:t>（1）满足《中华人民共和国政府采购法》第二十二条规定</w:t>
      </w:r>
    </w:p>
    <w:p>
      <w:pPr>
        <w:jc w:val="both"/>
        <w:rPr>
          <w:rFonts w:ascii="宋体" w:hAnsi="宋体" w:cs="宋体"/>
          <w:sz w:val="24"/>
        </w:rPr>
      </w:pPr>
      <w:r>
        <w:rPr>
          <w:rFonts w:hint="eastAsia" w:ascii="宋体" w:hAnsi="宋体" w:cs="宋体"/>
          <w:sz w:val="24"/>
        </w:rPr>
        <w:t>1）具有独立承担民事责任的能力：在中华人民共和国境内的法人或其他组织或自然人，提交有效的营业执照（或事业法人登记证或身份证等相关证明）副本复印件。</w:t>
      </w:r>
    </w:p>
    <w:p>
      <w:pPr>
        <w:jc w:val="both"/>
        <w:rPr>
          <w:rFonts w:ascii="宋体" w:hAnsi="宋体" w:cs="宋体"/>
          <w:sz w:val="24"/>
        </w:rPr>
      </w:pPr>
      <w:r>
        <w:rPr>
          <w:rFonts w:hint="eastAsia" w:ascii="宋体" w:hAnsi="宋体" w:cs="宋体"/>
          <w:sz w:val="24"/>
        </w:rPr>
        <w:t>2）提供响应文件提交截止时间前6个月任意1个月依法缴纳税收和社会保障资金的相关材料（缴费证明或相关内容承诺函）。如依法免税或不需要缴纳社会保障资金的，提供相应证明材料。</w:t>
      </w:r>
    </w:p>
    <w:p>
      <w:pPr>
        <w:jc w:val="both"/>
        <w:rPr>
          <w:rFonts w:ascii="宋体" w:hAnsi="宋体" w:cs="宋体"/>
          <w:sz w:val="24"/>
        </w:rPr>
      </w:pPr>
      <w:r>
        <w:rPr>
          <w:rFonts w:hint="eastAsia" w:ascii="宋体" w:hAnsi="宋体" w:cs="宋体"/>
          <w:sz w:val="24"/>
        </w:rPr>
        <w:t>3）供应商必须具有良好的商业信誉和健全的财务会计制度（提供2019年度或2020年度财务状况报告或基本开户行出具的资信证明或相关内容承诺函）。</w:t>
      </w:r>
    </w:p>
    <w:p>
      <w:pPr>
        <w:jc w:val="both"/>
        <w:rPr>
          <w:rFonts w:ascii="宋体" w:hAnsi="宋体" w:cs="宋体"/>
          <w:sz w:val="24"/>
        </w:rPr>
      </w:pPr>
      <w:r>
        <w:rPr>
          <w:rFonts w:hint="eastAsia" w:ascii="宋体" w:hAnsi="宋体" w:cs="宋体"/>
          <w:sz w:val="24"/>
        </w:rPr>
        <w:t>4）履行合同所必须的设备和专业技术能力：按采购文件服务要求填报设备及专业技术能力情况。</w:t>
      </w:r>
    </w:p>
    <w:p>
      <w:pPr>
        <w:jc w:val="both"/>
        <w:rPr>
          <w:rFonts w:ascii="宋体" w:hAnsi="宋体" w:cs="宋体"/>
          <w:sz w:val="24"/>
        </w:rPr>
      </w:pPr>
      <w:r>
        <w:rPr>
          <w:rFonts w:hint="eastAsia" w:ascii="宋体" w:hAnsi="宋体" w:cs="宋体"/>
          <w:sz w:val="24"/>
        </w:rPr>
        <w:t>5）参加采购活动前三年内，在经营活动中没有重大违法记录。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供应商提供相关承诺函）。</w:t>
      </w:r>
    </w:p>
    <w:p>
      <w:pPr>
        <w:rPr>
          <w:rFonts w:ascii="宋体" w:hAnsi="宋体" w:cs="宋体"/>
          <w:sz w:val="24"/>
        </w:rPr>
      </w:pPr>
      <w:r>
        <w:rPr>
          <w:rFonts w:hint="eastAsia" w:ascii="宋体" w:hAnsi="宋体" w:cs="宋体"/>
          <w:sz w:val="24"/>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供应商提供相关承诺函）。</w:t>
      </w:r>
    </w:p>
    <w:p>
      <w:pPr>
        <w:rPr>
          <w:rFonts w:ascii="宋体" w:hAnsi="宋体" w:cs="宋体"/>
          <w:sz w:val="24"/>
        </w:rPr>
      </w:pPr>
      <w:r>
        <w:rPr>
          <w:rFonts w:hint="eastAsia" w:ascii="宋体" w:hAnsi="宋体" w:cs="宋体"/>
          <w:sz w:val="24"/>
        </w:rPr>
        <w:t>（3）供应商须知1.4.1条款的要求提供供应商资质证明文件（复印件）；</w:t>
      </w:r>
    </w:p>
    <w:p>
      <w:pPr>
        <w:jc w:val="both"/>
        <w:rPr>
          <w:rFonts w:ascii="宋体" w:hAnsi="宋体" w:cs="宋体"/>
          <w:sz w:val="24"/>
        </w:rPr>
      </w:pPr>
      <w:r>
        <w:rPr>
          <w:rFonts w:hint="eastAsia" w:ascii="宋体" w:hAnsi="宋体" w:cs="宋体"/>
          <w:sz w:val="24"/>
        </w:rPr>
        <w:t>（4）法定代表人授权书（原件）</w:t>
      </w:r>
    </w:p>
    <w:p>
      <w:pPr>
        <w:jc w:val="both"/>
        <w:rPr>
          <w:rFonts w:ascii="宋体" w:hAnsi="宋体" w:cs="宋体"/>
          <w:sz w:val="24"/>
        </w:rPr>
      </w:pPr>
      <w:r>
        <w:rPr>
          <w:rFonts w:hint="eastAsia" w:ascii="宋体" w:hAnsi="宋体" w:cs="宋体"/>
          <w:sz w:val="24"/>
        </w:rPr>
        <w:t>（5）法定代表人和磋商代表身份证明（复印件）；</w:t>
      </w:r>
    </w:p>
    <w:p>
      <w:pPr>
        <w:jc w:val="both"/>
        <w:rPr>
          <w:rFonts w:ascii="宋体" w:hAnsi="宋体" w:cs="宋体"/>
          <w:sz w:val="24"/>
        </w:rPr>
      </w:pPr>
      <w:r>
        <w:rPr>
          <w:rFonts w:hint="eastAsia" w:ascii="宋体" w:hAnsi="宋体" w:cs="宋体"/>
          <w:sz w:val="24"/>
        </w:rPr>
        <w:t>（6）银行电汇保证金凭证（复印件）或金融机构、担保机构出具的保函（原件）；</w:t>
      </w:r>
    </w:p>
    <w:p>
      <w:pPr>
        <w:jc w:val="both"/>
        <w:rPr>
          <w:rFonts w:ascii="宋体" w:hAnsi="宋体" w:cs="宋体"/>
          <w:sz w:val="24"/>
        </w:rPr>
      </w:pPr>
      <w:r>
        <w:rPr>
          <w:rFonts w:hint="eastAsia" w:ascii="宋体" w:hAnsi="宋体" w:cs="宋体"/>
          <w:sz w:val="24"/>
        </w:rPr>
        <w:t>（7）项目经理：须具备相关专业二级及以上（含二级）注册建造师资格（证企相符），具备有效的安全生产考核B证，且未担任其他在施建设工程项目（由供应商自行将项目经理无在建承诺放入磋商响应文件中并加盖公章，无项目经理承诺按响应无效处理）（复印件）；</w:t>
      </w:r>
    </w:p>
    <w:p>
      <w:pPr>
        <w:jc w:val="both"/>
        <w:rPr>
          <w:rFonts w:ascii="宋体" w:hAnsi="宋体" w:cs="宋体"/>
          <w:sz w:val="24"/>
        </w:rPr>
      </w:pPr>
      <w:r>
        <w:rPr>
          <w:rFonts w:hint="eastAsia" w:ascii="宋体" w:hAnsi="宋体" w:cs="宋体"/>
          <w:sz w:val="24"/>
        </w:rPr>
        <w:t>（8）技术负责人：</w:t>
      </w:r>
      <w:r>
        <w:rPr>
          <w:rFonts w:hint="eastAsia" w:ascii="宋体" w:hAnsi="宋体" w:cs="宋体"/>
          <w:bCs/>
          <w:kern w:val="0"/>
          <w:sz w:val="24"/>
        </w:rPr>
        <w:t>技术负责人须具备相关专业中级及以上（含中级）技术职称（复印件）</w:t>
      </w:r>
      <w:r>
        <w:rPr>
          <w:rFonts w:hint="eastAsia" w:ascii="宋体" w:hAnsi="宋体" w:cs="宋体"/>
          <w:sz w:val="24"/>
        </w:rPr>
        <w:t>；</w:t>
      </w:r>
    </w:p>
    <w:p>
      <w:pPr>
        <w:jc w:val="both"/>
        <w:rPr>
          <w:rFonts w:ascii="宋体" w:hAnsi="宋体" w:cs="宋体"/>
          <w:sz w:val="24"/>
        </w:rPr>
      </w:pPr>
      <w:r>
        <w:rPr>
          <w:rFonts w:hint="eastAsia" w:ascii="宋体" w:hAnsi="宋体" w:cs="宋体"/>
          <w:sz w:val="24"/>
        </w:rPr>
        <w:t>（9）项目班子配备要求：施工员、质量员具有有效的岗位证书；安全员须具有有效的安全生产考核合格证书（C证）及以上（复印件）；</w:t>
      </w:r>
    </w:p>
    <w:p>
      <w:pPr>
        <w:jc w:val="both"/>
        <w:rPr>
          <w:rFonts w:ascii="宋体" w:hAnsi="宋体" w:cs="宋体"/>
          <w:sz w:val="24"/>
        </w:rPr>
      </w:pPr>
      <w:r>
        <w:rPr>
          <w:rFonts w:hint="eastAsia" w:ascii="宋体" w:hAnsi="宋体" w:cs="宋体"/>
          <w:sz w:val="24"/>
        </w:rPr>
        <w:t>（10）参加本项目采购的潜在供应商自本公告发布之日起（含公告发布当日）前三年内没有重大违法记录，已被列入失信被执行人、重大税收违法案件当事人名单、政府采购严重违法失信行为记录名单，不得参与政府采购活动，由代理机构现场核查信用记录。核查路径：</w:t>
      </w:r>
    </w:p>
    <w:p>
      <w:pPr>
        <w:jc w:val="both"/>
        <w:rPr>
          <w:rFonts w:ascii="宋体" w:hAnsi="宋体" w:cs="宋体"/>
          <w:sz w:val="24"/>
        </w:rPr>
      </w:pPr>
      <w:r>
        <w:rPr>
          <w:rFonts w:hint="eastAsia" w:ascii="宋体" w:hAnsi="宋体" w:cs="宋体"/>
          <w:sz w:val="24"/>
        </w:rPr>
        <w:t>①“信用中国”网站（http://www.creditchina.gov.cn/）</w:t>
      </w:r>
    </w:p>
    <w:p>
      <w:pPr>
        <w:jc w:val="both"/>
        <w:rPr>
          <w:rFonts w:ascii="宋体" w:hAnsi="宋体" w:cs="宋体"/>
          <w:sz w:val="24"/>
        </w:rPr>
      </w:pPr>
      <w:r>
        <w:rPr>
          <w:rFonts w:hint="eastAsia" w:ascii="宋体" w:hAnsi="宋体" w:cs="宋体"/>
          <w:sz w:val="24"/>
        </w:rPr>
        <w:t>②“中国政府采购网”网站（http://www.ccgp.gov.cn/cr/list）</w:t>
      </w:r>
    </w:p>
    <w:p>
      <w:pPr>
        <w:jc w:val="both"/>
        <w:rPr>
          <w:rFonts w:ascii="宋体" w:hAnsi="宋体" w:cs="宋体"/>
        </w:rPr>
      </w:pPr>
    </w:p>
    <w:p>
      <w:pPr>
        <w:numPr>
          <w:ilvl w:val="0"/>
          <w:numId w:val="11"/>
        </w:numPr>
        <w:jc w:val="both"/>
        <w:rPr>
          <w:rFonts w:ascii="宋体" w:hAnsi="宋体" w:cs="宋体"/>
        </w:rPr>
        <w:sectPr>
          <w:headerReference r:id="rId12" w:type="default"/>
          <w:footerReference r:id="rId13" w:type="default"/>
          <w:pgSz w:w="11907" w:h="16840"/>
          <w:pgMar w:top="1417" w:right="1701" w:bottom="1417" w:left="1701" w:header="851" w:footer="992" w:gutter="0"/>
          <w:cols w:space="720" w:num="1"/>
        </w:sectPr>
      </w:pPr>
    </w:p>
    <w:p>
      <w:pPr>
        <w:widowControl/>
        <w:spacing w:beforeLines="100"/>
        <w:rPr>
          <w:rFonts w:ascii="宋体" w:hAnsi="宋体" w:cs="宋体"/>
          <w:sz w:val="32"/>
          <w:szCs w:val="32"/>
        </w:rPr>
      </w:pPr>
      <w:r>
        <w:rPr>
          <w:rFonts w:hint="eastAsia" w:ascii="宋体" w:hAnsi="宋体" w:cs="宋体"/>
          <w:b/>
          <w:sz w:val="19"/>
          <w:szCs w:val="19"/>
        </w:rPr>
        <w:t>附件五</w:t>
      </w:r>
    </w:p>
    <w:p>
      <w:pPr>
        <w:pStyle w:val="3"/>
        <w:numPr>
          <w:ilvl w:val="0"/>
          <w:numId w:val="0"/>
        </w:numPr>
        <w:jc w:val="center"/>
        <w:rPr>
          <w:rFonts w:ascii="宋体" w:hAnsi="宋体" w:eastAsia="宋体" w:cs="宋体"/>
        </w:rPr>
      </w:pPr>
      <w:bookmarkStart w:id="1660" w:name="_Toc14036"/>
      <w:bookmarkStart w:id="1661" w:name="_Toc12369"/>
      <w:bookmarkStart w:id="1662" w:name="_Toc27950"/>
      <w:bookmarkStart w:id="1663" w:name="_Toc6883"/>
      <w:bookmarkStart w:id="1664" w:name="_Toc2840"/>
      <w:bookmarkStart w:id="1665" w:name="_Toc29605"/>
      <w:bookmarkStart w:id="1666" w:name="_Toc14394"/>
      <w:bookmarkStart w:id="1667" w:name="_Toc14522"/>
      <w:bookmarkStart w:id="1668" w:name="_Toc8924"/>
      <w:bookmarkStart w:id="1669" w:name="_Toc1980"/>
      <w:bookmarkStart w:id="1670" w:name="_Toc23048"/>
      <w:bookmarkStart w:id="1671" w:name="_Toc24758"/>
      <w:bookmarkStart w:id="1672" w:name="_Toc8694"/>
      <w:bookmarkStart w:id="1673" w:name="_Toc23022"/>
      <w:bookmarkStart w:id="1674" w:name="_Toc13740"/>
      <w:bookmarkStart w:id="1675" w:name="_Toc29052"/>
      <w:bookmarkStart w:id="1676" w:name="_Toc22702"/>
      <w:bookmarkStart w:id="1677" w:name="_Toc728"/>
      <w:bookmarkStart w:id="1678" w:name="_Toc27391"/>
      <w:bookmarkStart w:id="1679" w:name="_Toc12049310"/>
      <w:bookmarkStart w:id="1680" w:name="_Toc1932"/>
      <w:bookmarkStart w:id="1681" w:name="_Toc18299"/>
      <w:bookmarkStart w:id="1682" w:name="_Toc21712"/>
      <w:bookmarkStart w:id="1683" w:name="_Toc18416"/>
      <w:bookmarkStart w:id="1684" w:name="_Toc6545"/>
      <w:bookmarkStart w:id="1685" w:name="_Toc18011"/>
      <w:bookmarkStart w:id="1686" w:name="_Toc18251"/>
      <w:bookmarkStart w:id="1687" w:name="_Toc17499"/>
      <w:bookmarkStart w:id="1688" w:name="_Toc7154"/>
      <w:bookmarkStart w:id="1689" w:name="_Toc12870"/>
      <w:bookmarkStart w:id="1690" w:name="_Toc22596"/>
      <w:bookmarkStart w:id="1691" w:name="_Toc21455"/>
      <w:bookmarkStart w:id="1692" w:name="_Toc26769"/>
      <w:bookmarkStart w:id="1693" w:name="_Toc20004"/>
      <w:bookmarkStart w:id="1694" w:name="_Toc9351"/>
      <w:bookmarkStart w:id="1695" w:name="_Toc3875"/>
      <w:bookmarkStart w:id="1696" w:name="_Toc31984"/>
      <w:bookmarkStart w:id="1697" w:name="_Toc980"/>
      <w:bookmarkStart w:id="1698" w:name="_Toc25030"/>
      <w:bookmarkStart w:id="1699" w:name="_Toc31767"/>
      <w:bookmarkStart w:id="1700" w:name="_Toc26363"/>
      <w:bookmarkStart w:id="1701" w:name="_Toc19"/>
      <w:bookmarkStart w:id="1702" w:name="_Toc20392"/>
      <w:bookmarkStart w:id="1703" w:name="_Toc8769"/>
      <w:bookmarkStart w:id="1704" w:name="_Toc21806"/>
      <w:bookmarkStart w:id="1705" w:name="_Toc2100"/>
      <w:r>
        <w:rPr>
          <w:rFonts w:hint="eastAsia" w:ascii="宋体" w:hAnsi="宋体" w:eastAsia="宋体" w:cs="宋体"/>
        </w:rPr>
        <w:t>E、法定代表人和磋商代表身份证明</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jc w:val="center"/>
        <w:rPr>
          <w:rFonts w:ascii="宋体" w:hAnsi="宋体" w:cs="宋体"/>
          <w:sz w:val="32"/>
          <w:szCs w:val="32"/>
        </w:rPr>
      </w:pPr>
    </w:p>
    <w:p>
      <w:pPr>
        <w:jc w:val="center"/>
        <w:rPr>
          <w:rFonts w:ascii="宋体" w:hAnsi="宋体" w:cs="宋体"/>
        </w:rPr>
      </w:pPr>
    </w:p>
    <w:p>
      <w:pPr>
        <w:jc w:val="center"/>
        <w:rPr>
          <w:rFonts w:ascii="宋体" w:hAnsi="宋体" w:cs="宋体"/>
        </w:rPr>
      </w:pPr>
    </w:p>
    <w:p>
      <w:pPr>
        <w:rPr>
          <w:rFonts w:ascii="宋体" w:hAnsi="宋体" w:cs="宋体"/>
        </w:rPr>
      </w:pPr>
    </w:p>
    <w:p>
      <w:pPr>
        <w:jc w:val="center"/>
        <w:rPr>
          <w:rFonts w:ascii="宋体" w:hAnsi="宋体" w:cs="宋体"/>
        </w:rPr>
      </w:pPr>
      <w:r>
        <w:rPr>
          <w:rFonts w:hint="eastAsia" w:ascii="宋体" w:hAnsi="宋体" w:cs="宋体"/>
          <w:sz w:val="24"/>
        </w:rPr>
        <w:t>（法定代表人身份证复印件）</w:t>
      </w:r>
    </w:p>
    <w:p>
      <w:pPr>
        <w:rPr>
          <w:rFonts w:ascii="宋体" w:hAnsi="宋体" w:cs="宋体"/>
        </w:rPr>
      </w:pPr>
    </w:p>
    <w:p>
      <w:pPr>
        <w:jc w:val="center"/>
        <w:rPr>
          <w:rFonts w:ascii="宋体" w:hAnsi="宋体" w:cs="宋体"/>
        </w:rPr>
      </w:pPr>
    </w:p>
    <w:p>
      <w:pPr>
        <w:jc w:val="center"/>
        <w:rPr>
          <w:rFonts w:ascii="宋体" w:hAnsi="宋体" w:cs="宋体"/>
          <w:sz w:val="24"/>
        </w:rPr>
      </w:pPr>
      <w:r>
        <w:rPr>
          <w:rFonts w:hint="eastAsia" w:ascii="宋体" w:hAnsi="宋体" w:cs="宋体"/>
          <w:sz w:val="24"/>
        </w:rPr>
        <w:t>（磋商代表身份证复印件）</w:t>
      </w:r>
    </w:p>
    <w:p>
      <w:pPr>
        <w:jc w:val="cente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b/>
          <w:bCs/>
          <w:kern w:val="0"/>
          <w:sz w:val="28"/>
          <w:szCs w:val="28"/>
          <w:u w:val="single"/>
        </w:rPr>
      </w:pPr>
      <w:r>
        <w:rPr>
          <w:rFonts w:hint="eastAsia" w:ascii="宋体" w:hAnsi="宋体" w:cs="宋体"/>
          <w:sz w:val="28"/>
          <w:szCs w:val="28"/>
        </w:rPr>
        <w:t>供应商全称（盖公章）：</w:t>
      </w:r>
      <w:r>
        <w:rPr>
          <w:rFonts w:hint="eastAsia" w:ascii="宋体" w:hAnsi="宋体" w:cs="宋体"/>
          <w:sz w:val="28"/>
          <w:szCs w:val="28"/>
          <w:u w:val="single"/>
        </w:rPr>
        <w:t xml:space="preserve">                         </w:t>
      </w: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pStyle w:val="2"/>
        <w:numPr>
          <w:ilvl w:val="1"/>
          <w:numId w:val="0"/>
        </w:numPr>
        <w:spacing w:before="0"/>
        <w:jc w:val="center"/>
        <w:rPr>
          <w:rFonts w:ascii="宋体" w:hAnsi="宋体" w:eastAsia="宋体" w:cs="宋体"/>
          <w:sz w:val="32"/>
          <w:szCs w:val="32"/>
        </w:rPr>
      </w:pPr>
    </w:p>
    <w:p>
      <w:pPr>
        <w:tabs>
          <w:tab w:val="left" w:pos="432"/>
        </w:tabs>
        <w:rPr>
          <w:rFonts w:ascii="宋体" w:hAnsi="宋体" w:cs="宋体"/>
        </w:rPr>
      </w:pPr>
      <w:r>
        <w:rPr>
          <w:rFonts w:hint="eastAsia" w:ascii="宋体" w:hAnsi="宋体" w:cs="宋体"/>
        </w:rPr>
        <w:br w:type="page"/>
      </w:r>
      <w:bookmarkStart w:id="1706" w:name="_Toc22226"/>
      <w:bookmarkStart w:id="1707" w:name="_Toc16984"/>
      <w:bookmarkStart w:id="1708" w:name="_Toc22671"/>
      <w:bookmarkStart w:id="1709" w:name="_Toc27942"/>
      <w:bookmarkStart w:id="1710" w:name="_Toc23703"/>
      <w:bookmarkStart w:id="1711" w:name="_Toc14873"/>
      <w:bookmarkStart w:id="1712" w:name="_Toc8069"/>
      <w:bookmarkStart w:id="1713" w:name="_Toc2329"/>
      <w:bookmarkStart w:id="1714" w:name="_Toc1885"/>
      <w:bookmarkStart w:id="1715" w:name="_Toc7419"/>
      <w:bookmarkStart w:id="1716" w:name="_Toc12049311"/>
      <w:r>
        <w:rPr>
          <w:rFonts w:hint="eastAsia" w:ascii="宋体" w:hAnsi="宋体" w:cs="宋体"/>
          <w:b/>
          <w:sz w:val="19"/>
          <w:szCs w:val="19"/>
        </w:rPr>
        <w:t>附件六</w:t>
      </w:r>
    </w:p>
    <w:bookmarkEnd w:id="1706"/>
    <w:bookmarkEnd w:id="1707"/>
    <w:bookmarkEnd w:id="1708"/>
    <w:bookmarkEnd w:id="1709"/>
    <w:bookmarkEnd w:id="1710"/>
    <w:bookmarkEnd w:id="1711"/>
    <w:bookmarkEnd w:id="1712"/>
    <w:bookmarkEnd w:id="1713"/>
    <w:bookmarkEnd w:id="1714"/>
    <w:bookmarkEnd w:id="1715"/>
    <w:p>
      <w:pPr>
        <w:pStyle w:val="3"/>
        <w:numPr>
          <w:ilvl w:val="0"/>
          <w:numId w:val="0"/>
        </w:numPr>
        <w:jc w:val="center"/>
        <w:rPr>
          <w:rFonts w:ascii="宋体" w:hAnsi="宋体" w:eastAsia="宋体" w:cs="宋体"/>
        </w:rPr>
      </w:pPr>
      <w:bookmarkStart w:id="1717" w:name="_Toc8412"/>
      <w:bookmarkStart w:id="1718" w:name="_Toc27384"/>
      <w:bookmarkStart w:id="1719" w:name="_Toc21234"/>
      <w:bookmarkStart w:id="1720" w:name="_Toc29995"/>
      <w:bookmarkStart w:id="1721" w:name="_Toc24639"/>
      <w:bookmarkStart w:id="1722" w:name="_Toc11539"/>
      <w:bookmarkStart w:id="1723" w:name="_Toc29784"/>
      <w:bookmarkStart w:id="1724" w:name="_Toc29633"/>
      <w:bookmarkStart w:id="1725" w:name="_Toc9622"/>
      <w:bookmarkStart w:id="1726" w:name="_Toc885"/>
      <w:bookmarkStart w:id="1727" w:name="_Toc5711"/>
      <w:bookmarkStart w:id="1728" w:name="_Toc30925"/>
      <w:bookmarkStart w:id="1729" w:name="_Toc8348"/>
      <w:bookmarkStart w:id="1730" w:name="_Toc14862"/>
      <w:bookmarkStart w:id="1731" w:name="_Toc619"/>
      <w:bookmarkStart w:id="1732" w:name="_Toc23134"/>
      <w:bookmarkStart w:id="1733" w:name="_Toc25117"/>
      <w:bookmarkStart w:id="1734" w:name="_Toc30968"/>
      <w:bookmarkStart w:id="1735" w:name="_Toc20149"/>
      <w:bookmarkStart w:id="1736" w:name="_Toc27768"/>
      <w:bookmarkStart w:id="1737" w:name="_Toc9217"/>
      <w:bookmarkStart w:id="1738" w:name="_Toc5939"/>
      <w:bookmarkStart w:id="1739" w:name="_Toc23784"/>
      <w:bookmarkStart w:id="1740" w:name="_Toc26105"/>
      <w:bookmarkStart w:id="1741" w:name="_Toc17607"/>
      <w:bookmarkStart w:id="1742" w:name="_Toc17483"/>
      <w:bookmarkStart w:id="1743" w:name="_Toc31176"/>
      <w:bookmarkStart w:id="1744" w:name="_Toc26565"/>
      <w:bookmarkStart w:id="1745" w:name="_Toc3963"/>
      <w:bookmarkStart w:id="1746" w:name="_Toc3476"/>
      <w:bookmarkStart w:id="1747" w:name="_Toc2770"/>
      <w:bookmarkStart w:id="1748" w:name="_Toc26969"/>
      <w:bookmarkStart w:id="1749" w:name="_Toc20855"/>
      <w:bookmarkStart w:id="1750" w:name="_Toc10820"/>
      <w:bookmarkStart w:id="1751" w:name="_Toc16025"/>
      <w:bookmarkStart w:id="1752" w:name="_Toc29594"/>
      <w:bookmarkStart w:id="1753" w:name="_Toc28230"/>
      <w:bookmarkStart w:id="1754" w:name="_Toc32302"/>
      <w:bookmarkStart w:id="1755" w:name="_Toc3726"/>
      <w:bookmarkStart w:id="1756" w:name="_Toc13379"/>
      <w:bookmarkStart w:id="1757" w:name="_Toc16265"/>
      <w:bookmarkStart w:id="1758" w:name="_Toc17447"/>
      <w:bookmarkStart w:id="1759" w:name="_Toc13426"/>
      <w:bookmarkStart w:id="1760" w:name="_Toc30247"/>
      <w:bookmarkStart w:id="1761" w:name="_Toc18094"/>
      <w:r>
        <w:rPr>
          <w:rFonts w:hint="eastAsia" w:ascii="宋体" w:hAnsi="宋体" w:eastAsia="宋体" w:cs="宋体"/>
        </w:rPr>
        <w:t>F、响应文件附件</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rPr>
          <w:rFonts w:ascii="宋体" w:hAnsi="宋体" w:cs="宋体"/>
          <w:b/>
          <w:bCs/>
          <w:kern w:val="0"/>
          <w:sz w:val="36"/>
          <w:szCs w:val="36"/>
        </w:rPr>
      </w:pPr>
    </w:p>
    <w:p>
      <w:pPr>
        <w:numPr>
          <w:ilvl w:val="0"/>
          <w:numId w:val="12"/>
        </w:numPr>
        <w:spacing w:line="240" w:lineRule="auto"/>
        <w:ind w:firstLine="562" w:firstLineChars="200"/>
        <w:jc w:val="both"/>
        <w:rPr>
          <w:rFonts w:ascii="宋体" w:hAnsi="宋体" w:cs="宋体"/>
          <w:b/>
          <w:bCs/>
          <w:kern w:val="0"/>
          <w:sz w:val="28"/>
          <w:szCs w:val="28"/>
        </w:rPr>
      </w:pPr>
      <w:r>
        <w:rPr>
          <w:rFonts w:hint="eastAsia" w:ascii="宋体" w:hAnsi="宋体" w:cs="宋体"/>
          <w:b/>
          <w:bCs/>
          <w:kern w:val="0"/>
          <w:sz w:val="28"/>
          <w:szCs w:val="28"/>
        </w:rPr>
        <w:t>工程量清单初始报价明细</w:t>
      </w: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numPr>
          <w:ilvl w:val="0"/>
          <w:numId w:val="12"/>
        </w:numPr>
        <w:spacing w:line="240" w:lineRule="auto"/>
        <w:ind w:firstLine="562" w:firstLineChars="200"/>
        <w:jc w:val="both"/>
        <w:rPr>
          <w:rFonts w:ascii="宋体" w:hAnsi="宋体" w:cs="宋体"/>
          <w:b/>
          <w:bCs/>
          <w:kern w:val="0"/>
          <w:sz w:val="28"/>
          <w:szCs w:val="28"/>
        </w:rPr>
      </w:pPr>
      <w:r>
        <w:rPr>
          <w:rFonts w:hint="eastAsia" w:ascii="宋体" w:hAnsi="宋体" w:cs="宋体"/>
          <w:b/>
          <w:bCs/>
          <w:kern w:val="0"/>
          <w:sz w:val="28"/>
          <w:szCs w:val="28"/>
        </w:rPr>
        <w:t>施工用料的品牌、型号和质量等级及设备的品牌、型号</w:t>
      </w:r>
    </w:p>
    <w:p>
      <w:pPr>
        <w:rPr>
          <w:rFonts w:ascii="宋体" w:hAnsi="宋体" w:cs="宋体"/>
          <w:b/>
          <w:bCs/>
          <w:kern w:val="0"/>
          <w:sz w:val="36"/>
          <w:szCs w:val="36"/>
        </w:rPr>
      </w:pPr>
    </w:p>
    <w:tbl>
      <w:tblPr>
        <w:tblStyle w:val="48"/>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369"/>
        <w:gridCol w:w="1999"/>
        <w:gridCol w:w="1656"/>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jc w:val="center"/>
              <w:rPr>
                <w:rFonts w:ascii="宋体" w:hAnsi="宋体" w:cs="宋体"/>
                <w:b/>
                <w:bCs/>
                <w:kern w:val="0"/>
                <w:sz w:val="28"/>
                <w:szCs w:val="28"/>
              </w:rPr>
            </w:pPr>
            <w:r>
              <w:rPr>
                <w:rFonts w:hint="eastAsia" w:ascii="宋体" w:hAnsi="宋体" w:cs="宋体"/>
                <w:b/>
                <w:bCs/>
                <w:kern w:val="0"/>
                <w:sz w:val="28"/>
                <w:szCs w:val="28"/>
              </w:rPr>
              <w:t>序号</w:t>
            </w:r>
          </w:p>
        </w:tc>
        <w:tc>
          <w:tcPr>
            <w:tcW w:w="2369" w:type="dxa"/>
          </w:tcPr>
          <w:p>
            <w:pPr>
              <w:jc w:val="center"/>
              <w:rPr>
                <w:rFonts w:ascii="宋体" w:hAnsi="宋体" w:cs="宋体"/>
                <w:b/>
                <w:bCs/>
                <w:kern w:val="0"/>
                <w:sz w:val="28"/>
                <w:szCs w:val="28"/>
              </w:rPr>
            </w:pPr>
            <w:r>
              <w:rPr>
                <w:rFonts w:hint="eastAsia" w:ascii="宋体" w:hAnsi="宋体" w:cs="宋体"/>
                <w:b/>
                <w:bCs/>
                <w:kern w:val="0"/>
                <w:sz w:val="28"/>
                <w:szCs w:val="28"/>
              </w:rPr>
              <w:t>材料的名称</w:t>
            </w:r>
          </w:p>
        </w:tc>
        <w:tc>
          <w:tcPr>
            <w:tcW w:w="1999" w:type="dxa"/>
          </w:tcPr>
          <w:p>
            <w:pPr>
              <w:jc w:val="center"/>
              <w:rPr>
                <w:rFonts w:ascii="宋体" w:hAnsi="宋体" w:cs="宋体"/>
                <w:b/>
                <w:bCs/>
                <w:kern w:val="0"/>
                <w:sz w:val="28"/>
                <w:szCs w:val="28"/>
              </w:rPr>
            </w:pPr>
            <w:r>
              <w:rPr>
                <w:rFonts w:hint="eastAsia" w:ascii="宋体" w:hAnsi="宋体" w:cs="宋体"/>
                <w:b/>
                <w:bCs/>
                <w:kern w:val="0"/>
                <w:sz w:val="28"/>
                <w:szCs w:val="28"/>
              </w:rPr>
              <w:t>材料品牌</w:t>
            </w:r>
          </w:p>
        </w:tc>
        <w:tc>
          <w:tcPr>
            <w:tcW w:w="1656" w:type="dxa"/>
          </w:tcPr>
          <w:p>
            <w:pPr>
              <w:jc w:val="center"/>
              <w:rPr>
                <w:rFonts w:ascii="宋体" w:hAnsi="宋体" w:cs="宋体"/>
                <w:b/>
                <w:bCs/>
                <w:kern w:val="0"/>
                <w:sz w:val="28"/>
                <w:szCs w:val="28"/>
              </w:rPr>
            </w:pPr>
            <w:r>
              <w:rPr>
                <w:rFonts w:hint="eastAsia" w:ascii="宋体" w:hAnsi="宋体" w:cs="宋体"/>
                <w:b/>
                <w:bCs/>
                <w:kern w:val="0"/>
                <w:sz w:val="28"/>
                <w:szCs w:val="28"/>
              </w:rPr>
              <w:t>型号</w:t>
            </w:r>
          </w:p>
        </w:tc>
        <w:tc>
          <w:tcPr>
            <w:tcW w:w="1774" w:type="dxa"/>
          </w:tcPr>
          <w:p>
            <w:pPr>
              <w:jc w:val="center"/>
              <w:rPr>
                <w:rFonts w:ascii="宋体" w:hAnsi="宋体" w:cs="宋体"/>
                <w:b/>
                <w:bCs/>
                <w:kern w:val="0"/>
                <w:sz w:val="28"/>
                <w:szCs w:val="28"/>
              </w:rPr>
            </w:pPr>
            <w:r>
              <w:rPr>
                <w:rFonts w:hint="eastAsia" w:ascii="宋体" w:hAnsi="宋体" w:cs="宋体"/>
                <w:b/>
                <w:bCs/>
                <w:kern w:val="0"/>
                <w:sz w:val="28"/>
                <w:szCs w:val="28"/>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jc w:val="center"/>
              <w:rPr>
                <w:rFonts w:ascii="宋体" w:hAnsi="宋体" w:cs="宋体"/>
                <w:b/>
                <w:bCs/>
                <w:kern w:val="0"/>
                <w:sz w:val="36"/>
                <w:szCs w:val="36"/>
              </w:rPr>
            </w:pPr>
          </w:p>
        </w:tc>
        <w:tc>
          <w:tcPr>
            <w:tcW w:w="2369" w:type="dxa"/>
          </w:tcPr>
          <w:p>
            <w:pPr>
              <w:jc w:val="center"/>
              <w:rPr>
                <w:rFonts w:ascii="宋体" w:hAnsi="宋体" w:cs="宋体"/>
                <w:b/>
                <w:bCs/>
                <w:kern w:val="0"/>
                <w:sz w:val="36"/>
                <w:szCs w:val="36"/>
              </w:rPr>
            </w:pPr>
          </w:p>
        </w:tc>
        <w:tc>
          <w:tcPr>
            <w:tcW w:w="1999" w:type="dxa"/>
          </w:tcPr>
          <w:p>
            <w:pPr>
              <w:jc w:val="center"/>
              <w:rPr>
                <w:rFonts w:ascii="宋体" w:hAnsi="宋体" w:cs="宋体"/>
                <w:b/>
                <w:bCs/>
                <w:kern w:val="0"/>
                <w:sz w:val="36"/>
                <w:szCs w:val="36"/>
              </w:rPr>
            </w:pPr>
          </w:p>
        </w:tc>
        <w:tc>
          <w:tcPr>
            <w:tcW w:w="1656" w:type="dxa"/>
          </w:tcPr>
          <w:p>
            <w:pPr>
              <w:jc w:val="center"/>
              <w:rPr>
                <w:rFonts w:ascii="宋体" w:hAnsi="宋体" w:cs="宋体"/>
                <w:b/>
                <w:bCs/>
                <w:kern w:val="0"/>
                <w:sz w:val="36"/>
                <w:szCs w:val="36"/>
              </w:rPr>
            </w:pPr>
          </w:p>
        </w:tc>
        <w:tc>
          <w:tcPr>
            <w:tcW w:w="1774" w:type="dxa"/>
          </w:tcPr>
          <w:p>
            <w:pPr>
              <w:jc w:val="cente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tcPr>
          <w:p>
            <w:pPr>
              <w:rPr>
                <w:rFonts w:ascii="宋体" w:hAnsi="宋体" w:cs="宋体"/>
                <w:b/>
                <w:bCs/>
                <w:kern w:val="0"/>
                <w:sz w:val="36"/>
                <w:szCs w:val="36"/>
              </w:rPr>
            </w:pPr>
          </w:p>
        </w:tc>
        <w:tc>
          <w:tcPr>
            <w:tcW w:w="2369" w:type="dxa"/>
          </w:tcPr>
          <w:p>
            <w:pPr>
              <w:rPr>
                <w:rFonts w:ascii="宋体" w:hAnsi="宋体" w:cs="宋体"/>
                <w:b/>
                <w:bCs/>
                <w:kern w:val="0"/>
                <w:sz w:val="36"/>
                <w:szCs w:val="36"/>
              </w:rPr>
            </w:pPr>
          </w:p>
        </w:tc>
        <w:tc>
          <w:tcPr>
            <w:tcW w:w="1999" w:type="dxa"/>
          </w:tcPr>
          <w:p>
            <w:pPr>
              <w:rPr>
                <w:rFonts w:ascii="宋体" w:hAnsi="宋体" w:cs="宋体"/>
                <w:b/>
                <w:bCs/>
                <w:kern w:val="0"/>
                <w:sz w:val="36"/>
                <w:szCs w:val="36"/>
              </w:rPr>
            </w:pPr>
          </w:p>
        </w:tc>
        <w:tc>
          <w:tcPr>
            <w:tcW w:w="1656" w:type="dxa"/>
          </w:tcPr>
          <w:p>
            <w:pPr>
              <w:rPr>
                <w:rFonts w:ascii="宋体" w:hAnsi="宋体" w:cs="宋体"/>
                <w:b/>
                <w:bCs/>
                <w:kern w:val="0"/>
                <w:sz w:val="36"/>
                <w:szCs w:val="36"/>
              </w:rPr>
            </w:pPr>
          </w:p>
        </w:tc>
        <w:tc>
          <w:tcPr>
            <w:tcW w:w="1774" w:type="dxa"/>
          </w:tcPr>
          <w:p>
            <w:pPr>
              <w:rPr>
                <w:rFonts w:ascii="宋体" w:hAnsi="宋体" w:cs="宋体"/>
                <w:b/>
                <w:bCs/>
                <w:kern w:val="0"/>
                <w:sz w:val="36"/>
                <w:szCs w:val="36"/>
              </w:rPr>
            </w:pPr>
          </w:p>
        </w:tc>
      </w:tr>
    </w:tbl>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tbl>
      <w:tblPr>
        <w:tblStyle w:val="48"/>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544"/>
        <w:gridCol w:w="2866"/>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vAlign w:val="center"/>
          </w:tcPr>
          <w:p>
            <w:pPr>
              <w:jc w:val="center"/>
              <w:rPr>
                <w:rFonts w:ascii="宋体" w:hAnsi="宋体" w:cs="宋体"/>
                <w:b/>
                <w:bCs/>
                <w:kern w:val="0"/>
                <w:sz w:val="36"/>
                <w:szCs w:val="36"/>
              </w:rPr>
            </w:pPr>
            <w:r>
              <w:rPr>
                <w:rFonts w:hint="eastAsia" w:ascii="宋体" w:hAnsi="宋体" w:cs="宋体"/>
                <w:b/>
                <w:bCs/>
                <w:kern w:val="0"/>
                <w:sz w:val="28"/>
                <w:szCs w:val="28"/>
              </w:rPr>
              <w:t>序号</w:t>
            </w:r>
          </w:p>
        </w:tc>
        <w:tc>
          <w:tcPr>
            <w:tcW w:w="2544" w:type="dxa"/>
            <w:vAlign w:val="center"/>
          </w:tcPr>
          <w:p>
            <w:pPr>
              <w:jc w:val="center"/>
              <w:rPr>
                <w:rFonts w:ascii="宋体" w:hAnsi="宋体" w:cs="宋体"/>
                <w:b/>
                <w:bCs/>
                <w:kern w:val="0"/>
                <w:sz w:val="28"/>
                <w:szCs w:val="28"/>
              </w:rPr>
            </w:pPr>
            <w:r>
              <w:rPr>
                <w:rFonts w:hint="eastAsia" w:ascii="宋体" w:hAnsi="宋体" w:cs="宋体"/>
                <w:b/>
                <w:bCs/>
                <w:kern w:val="0"/>
                <w:sz w:val="28"/>
                <w:szCs w:val="28"/>
              </w:rPr>
              <w:t>设备的名称</w:t>
            </w:r>
          </w:p>
        </w:tc>
        <w:tc>
          <w:tcPr>
            <w:tcW w:w="2866" w:type="dxa"/>
            <w:vAlign w:val="center"/>
          </w:tcPr>
          <w:p>
            <w:pPr>
              <w:jc w:val="center"/>
              <w:rPr>
                <w:rFonts w:ascii="宋体" w:hAnsi="宋体" w:cs="宋体"/>
                <w:b/>
                <w:bCs/>
                <w:kern w:val="0"/>
                <w:sz w:val="36"/>
                <w:szCs w:val="36"/>
              </w:rPr>
            </w:pPr>
            <w:r>
              <w:rPr>
                <w:rFonts w:hint="eastAsia" w:ascii="宋体" w:hAnsi="宋体" w:cs="宋体"/>
                <w:b/>
                <w:bCs/>
                <w:kern w:val="0"/>
                <w:sz w:val="28"/>
                <w:szCs w:val="28"/>
              </w:rPr>
              <w:t>设备的品牌</w:t>
            </w:r>
          </w:p>
        </w:tc>
        <w:tc>
          <w:tcPr>
            <w:tcW w:w="2367" w:type="dxa"/>
            <w:vAlign w:val="center"/>
          </w:tcPr>
          <w:p>
            <w:pPr>
              <w:jc w:val="center"/>
              <w:rPr>
                <w:rFonts w:ascii="宋体" w:hAnsi="宋体" w:cs="宋体"/>
                <w:b/>
                <w:bCs/>
                <w:kern w:val="0"/>
                <w:sz w:val="36"/>
                <w:szCs w:val="36"/>
              </w:rPr>
            </w:pPr>
            <w:r>
              <w:rPr>
                <w:rFonts w:hint="eastAsia" w:ascii="宋体" w:hAnsi="宋体" w:cs="宋体"/>
                <w:b/>
                <w:bCs/>
                <w:kern w:val="0"/>
                <w:sz w:val="28"/>
                <w:szCs w:val="28"/>
              </w:rPr>
              <w:t>设备的型号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rPr>
                <w:rFonts w:ascii="宋体" w:hAnsi="宋体" w:cs="宋体"/>
                <w:b/>
                <w:bCs/>
                <w:kern w:val="0"/>
                <w:sz w:val="36"/>
                <w:szCs w:val="36"/>
              </w:rPr>
            </w:pPr>
          </w:p>
        </w:tc>
        <w:tc>
          <w:tcPr>
            <w:tcW w:w="2544" w:type="dxa"/>
          </w:tcPr>
          <w:p>
            <w:pPr>
              <w:rPr>
                <w:rFonts w:ascii="宋体" w:hAnsi="宋体" w:cs="宋体"/>
                <w:b/>
                <w:bCs/>
                <w:kern w:val="0"/>
                <w:sz w:val="36"/>
                <w:szCs w:val="36"/>
              </w:rPr>
            </w:pPr>
          </w:p>
        </w:tc>
        <w:tc>
          <w:tcPr>
            <w:tcW w:w="2866" w:type="dxa"/>
          </w:tcPr>
          <w:p>
            <w:pPr>
              <w:rPr>
                <w:rFonts w:ascii="宋体" w:hAnsi="宋体" w:cs="宋体"/>
                <w:b/>
                <w:bCs/>
                <w:kern w:val="0"/>
                <w:sz w:val="36"/>
                <w:szCs w:val="36"/>
              </w:rPr>
            </w:pPr>
          </w:p>
        </w:tc>
        <w:tc>
          <w:tcPr>
            <w:tcW w:w="2367" w:type="dxa"/>
          </w:tcPr>
          <w:p>
            <w:pPr>
              <w:rPr>
                <w:rFonts w:ascii="宋体" w:hAnsi="宋体" w:cs="宋体"/>
                <w:b/>
                <w:bCs/>
                <w:kern w:val="0"/>
                <w:sz w:val="36"/>
                <w:szCs w:val="36"/>
              </w:rPr>
            </w:pPr>
          </w:p>
        </w:tc>
      </w:tr>
    </w:tbl>
    <w:p>
      <w:pPr>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pStyle w:val="15"/>
        <w:rPr>
          <w:rFonts w:ascii="宋体" w:hAnsi="宋体" w:cs="宋体"/>
        </w:rPr>
      </w:pPr>
    </w:p>
    <w:p>
      <w:pPr>
        <w:ind w:firstLine="723" w:firstLineChars="200"/>
        <w:rPr>
          <w:rFonts w:ascii="宋体" w:hAnsi="宋体" w:cs="宋体"/>
          <w:b/>
          <w:bCs/>
          <w:kern w:val="0"/>
          <w:sz w:val="36"/>
          <w:szCs w:val="36"/>
        </w:rPr>
      </w:pPr>
    </w:p>
    <w:p>
      <w:pPr>
        <w:spacing w:line="240" w:lineRule="auto"/>
        <w:jc w:val="both"/>
        <w:rPr>
          <w:rFonts w:ascii="宋体" w:hAnsi="宋体" w:cs="宋体"/>
          <w:b/>
          <w:bCs/>
          <w:kern w:val="0"/>
          <w:sz w:val="28"/>
          <w:szCs w:val="28"/>
        </w:rPr>
      </w:pPr>
    </w:p>
    <w:p>
      <w:pPr>
        <w:spacing w:line="240" w:lineRule="auto"/>
        <w:jc w:val="both"/>
        <w:rPr>
          <w:rFonts w:ascii="宋体" w:hAnsi="宋体" w:cs="宋体"/>
          <w:b/>
          <w:bCs/>
          <w:kern w:val="0"/>
          <w:sz w:val="28"/>
          <w:szCs w:val="28"/>
        </w:rPr>
      </w:pPr>
      <w:r>
        <w:rPr>
          <w:rFonts w:hint="eastAsia" w:ascii="宋体" w:hAnsi="宋体" w:cs="宋体"/>
          <w:b/>
          <w:bCs/>
          <w:kern w:val="0"/>
          <w:sz w:val="28"/>
          <w:szCs w:val="28"/>
        </w:rPr>
        <w:t>3、施工过程的管理措施及竣工后的维修承诺</w:t>
      </w: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sectPr>
          <w:headerReference r:id="rId15" w:type="first"/>
          <w:footerReference r:id="rId17" w:type="first"/>
          <w:headerReference r:id="rId14" w:type="default"/>
          <w:footerReference r:id="rId16" w:type="default"/>
          <w:pgSz w:w="11907" w:h="16840"/>
          <w:pgMar w:top="1417" w:right="1701" w:bottom="1417" w:left="1701" w:header="851" w:footer="992" w:gutter="0"/>
          <w:cols w:space="720" w:num="1"/>
        </w:sectPr>
      </w:pPr>
    </w:p>
    <w:p>
      <w:pPr>
        <w:spacing w:line="240" w:lineRule="auto"/>
        <w:jc w:val="both"/>
        <w:rPr>
          <w:rFonts w:ascii="宋体" w:hAnsi="宋体" w:cs="宋体"/>
          <w:b/>
          <w:bCs/>
          <w:kern w:val="0"/>
          <w:sz w:val="28"/>
          <w:szCs w:val="28"/>
        </w:rPr>
      </w:pPr>
      <w:r>
        <w:rPr>
          <w:rFonts w:hint="eastAsia" w:ascii="宋体" w:hAnsi="宋体" w:cs="宋体"/>
          <w:b/>
          <w:bCs/>
          <w:kern w:val="0"/>
          <w:sz w:val="28"/>
          <w:szCs w:val="28"/>
        </w:rPr>
        <w:t xml:space="preserve"> 4、工程的质量标准</w:t>
      </w: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spacing w:line="240" w:lineRule="auto"/>
        <w:jc w:val="both"/>
        <w:rPr>
          <w:rFonts w:ascii="宋体" w:hAnsi="宋体" w:cs="宋体"/>
          <w:b/>
          <w:bCs/>
          <w:kern w:val="0"/>
          <w:sz w:val="28"/>
          <w:szCs w:val="28"/>
        </w:rPr>
      </w:pPr>
      <w:r>
        <w:rPr>
          <w:rFonts w:hint="eastAsia" w:ascii="宋体" w:hAnsi="宋体" w:cs="宋体"/>
          <w:b/>
          <w:bCs/>
          <w:kern w:val="0"/>
          <w:sz w:val="28"/>
          <w:szCs w:val="28"/>
        </w:rPr>
        <w:t>5、施工组织设计</w:t>
      </w: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ind w:firstLine="723" w:firstLineChars="200"/>
        <w:rPr>
          <w:rFonts w:ascii="宋体" w:hAnsi="宋体" w:cs="宋体"/>
          <w:b/>
          <w:bCs/>
          <w:kern w:val="0"/>
          <w:sz w:val="36"/>
          <w:szCs w:val="36"/>
        </w:rPr>
      </w:pPr>
    </w:p>
    <w:p>
      <w:pPr>
        <w:rPr>
          <w:rFonts w:ascii="宋体" w:hAnsi="宋体" w:cs="宋体"/>
          <w:b/>
          <w:bCs/>
          <w:kern w:val="0"/>
          <w:sz w:val="36"/>
          <w:szCs w:val="36"/>
        </w:rPr>
        <w:sectPr>
          <w:pgSz w:w="11907" w:h="16840"/>
          <w:pgMar w:top="1417" w:right="1701" w:bottom="1417" w:left="1701" w:header="851" w:footer="992" w:gutter="0"/>
          <w:cols w:space="720" w:num="1"/>
        </w:sectPr>
      </w:pPr>
    </w:p>
    <w:p>
      <w:r>
        <w:rPr>
          <w:rFonts w:hint="eastAsia" w:ascii="宋体" w:hAnsi="宋体" w:cs="宋体"/>
          <w:b/>
          <w:bCs/>
          <w:kern w:val="0"/>
          <w:sz w:val="28"/>
          <w:szCs w:val="28"/>
        </w:rPr>
        <w:t>6、施工组织设计评审因素页码对应表</w:t>
      </w:r>
    </w:p>
    <w:tbl>
      <w:tblPr>
        <w:tblStyle w:val="48"/>
        <w:tblW w:w="8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65"/>
        <w:gridCol w:w="5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序号</w:t>
            </w:r>
          </w:p>
        </w:tc>
        <w:tc>
          <w:tcPr>
            <w:tcW w:w="2265" w:type="dxa"/>
            <w:vAlign w:val="center"/>
          </w:tcPr>
          <w:p>
            <w:pPr>
              <w:spacing w:line="240" w:lineRule="auto"/>
              <w:jc w:val="center"/>
              <w:rPr>
                <w:rFonts w:ascii="宋体" w:hAnsi="宋体" w:cs="宋体"/>
                <w:sz w:val="24"/>
              </w:rPr>
            </w:pPr>
            <w:r>
              <w:rPr>
                <w:rFonts w:hint="eastAsia" w:ascii="宋体" w:hAnsi="宋体" w:cs="宋体"/>
                <w:sz w:val="24"/>
              </w:rPr>
              <w:t>评分因素</w:t>
            </w:r>
          </w:p>
        </w:tc>
        <w:tc>
          <w:tcPr>
            <w:tcW w:w="5553" w:type="dxa"/>
            <w:vAlign w:val="center"/>
          </w:tcPr>
          <w:p>
            <w:pPr>
              <w:spacing w:line="240" w:lineRule="auto"/>
              <w:jc w:val="center"/>
              <w:rPr>
                <w:rFonts w:ascii="宋体" w:hAnsi="宋体" w:cs="宋体"/>
                <w:sz w:val="24"/>
              </w:rPr>
            </w:pPr>
            <w:r>
              <w:rPr>
                <w:rFonts w:hint="eastAsia" w:ascii="宋体" w:hAnsi="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1</w:t>
            </w:r>
          </w:p>
        </w:tc>
        <w:tc>
          <w:tcPr>
            <w:tcW w:w="2265" w:type="dxa"/>
            <w:vAlign w:val="center"/>
          </w:tcPr>
          <w:p>
            <w:pPr>
              <w:spacing w:line="240" w:lineRule="auto"/>
              <w:jc w:val="center"/>
              <w:rPr>
                <w:rFonts w:ascii="宋体" w:hAnsi="宋体" w:cs="宋体"/>
                <w:sz w:val="24"/>
              </w:rPr>
            </w:pPr>
            <w:r>
              <w:rPr>
                <w:rFonts w:hint="eastAsia" w:ascii="宋体" w:hAnsi="宋体" w:cs="宋体"/>
                <w:sz w:val="24"/>
              </w:rPr>
              <w:t>内容完整性和编制水平（5分）</w:t>
            </w:r>
          </w:p>
        </w:tc>
        <w:tc>
          <w:tcPr>
            <w:tcW w:w="5553" w:type="dxa"/>
          </w:tcPr>
          <w:p>
            <w:pPr>
              <w:spacing w:line="240" w:lineRule="auto"/>
              <w:rPr>
                <w:rFonts w:ascii="宋体" w:hAnsi="宋体" w:cs="宋体"/>
                <w:sz w:val="24"/>
              </w:rPr>
            </w:pPr>
            <w:r>
              <w:rPr>
                <w:rFonts w:hint="eastAsia" w:ascii="宋体" w:hAnsi="宋体" w:cs="宋体"/>
                <w:kern w:val="0"/>
                <w:sz w:val="24"/>
              </w:rPr>
              <w:t>磋商响应文件按磋商文件要求制作、整齐规范完整、页码连续编制、打印无误，内容完整、编制优秀得5分，否则扣0.1-1.5分，以0.1为一个扣分单位，最多扣1.5分。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2</w:t>
            </w:r>
          </w:p>
        </w:tc>
        <w:tc>
          <w:tcPr>
            <w:tcW w:w="2265" w:type="dxa"/>
            <w:vAlign w:val="center"/>
          </w:tcPr>
          <w:p>
            <w:pPr>
              <w:spacing w:line="240" w:lineRule="auto"/>
              <w:jc w:val="center"/>
              <w:rPr>
                <w:rFonts w:ascii="宋体" w:hAnsi="宋体" w:cs="宋体"/>
                <w:sz w:val="24"/>
              </w:rPr>
            </w:pPr>
            <w:r>
              <w:rPr>
                <w:rFonts w:hint="eastAsia" w:ascii="宋体" w:hAnsi="宋体" w:cs="宋体"/>
                <w:sz w:val="24"/>
              </w:rPr>
              <w:t>各分部分项工程的主要施工方法及季节施工、防火等各项保护措施（15分）</w:t>
            </w:r>
          </w:p>
        </w:tc>
        <w:tc>
          <w:tcPr>
            <w:tcW w:w="5553" w:type="dxa"/>
            <w:vAlign w:val="center"/>
          </w:tcPr>
          <w:p>
            <w:pPr>
              <w:spacing w:line="240" w:lineRule="auto"/>
              <w:rPr>
                <w:rFonts w:ascii="宋体" w:hAnsi="宋体" w:cs="宋体"/>
                <w:sz w:val="24"/>
              </w:rPr>
            </w:pPr>
            <w:r>
              <w:rPr>
                <w:rFonts w:hint="eastAsia" w:ascii="宋体" w:hAnsi="宋体" w:cs="宋体"/>
                <w:sz w:val="24"/>
              </w:rPr>
              <w:t>各分部分项工程的主要施工方法齐全、完善及季节施工、防火等各项保护措施合理得15分，方法不齐全、措施不完善的扣0.1-5分，</w:t>
            </w:r>
            <w:r>
              <w:rPr>
                <w:rFonts w:hint="eastAsia" w:ascii="宋体" w:hAnsi="宋体" w:cs="宋体"/>
                <w:kern w:val="0"/>
                <w:sz w:val="24"/>
              </w:rPr>
              <w:t>以0.1为一个扣分单位，最多扣5分，</w:t>
            </w:r>
            <w:r>
              <w:rPr>
                <w:rFonts w:hint="eastAsia" w:ascii="宋体" w:hAnsi="宋体" w:cs="宋体"/>
                <w:sz w:val="24"/>
              </w:rPr>
              <w:t>无方法措施0分。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3</w:t>
            </w:r>
          </w:p>
        </w:tc>
        <w:tc>
          <w:tcPr>
            <w:tcW w:w="2265" w:type="dxa"/>
            <w:vAlign w:val="center"/>
          </w:tcPr>
          <w:p>
            <w:pPr>
              <w:spacing w:line="240" w:lineRule="auto"/>
              <w:jc w:val="center"/>
              <w:rPr>
                <w:rFonts w:ascii="宋体" w:hAnsi="宋体" w:cs="宋体"/>
                <w:sz w:val="24"/>
              </w:rPr>
            </w:pPr>
            <w:r>
              <w:rPr>
                <w:rFonts w:hint="eastAsia" w:ascii="宋体" w:hAnsi="宋体" w:cs="宋体"/>
                <w:sz w:val="24"/>
              </w:rPr>
              <w:t>投入的主要施工机械设备情况、主要施工机械进场计划</w:t>
            </w:r>
          </w:p>
          <w:p>
            <w:pPr>
              <w:spacing w:line="240" w:lineRule="auto"/>
              <w:jc w:val="center"/>
              <w:rPr>
                <w:rFonts w:ascii="宋体" w:hAnsi="宋体" w:cs="宋体"/>
                <w:sz w:val="24"/>
              </w:rPr>
            </w:pPr>
            <w:r>
              <w:rPr>
                <w:rFonts w:hint="eastAsia" w:ascii="宋体" w:hAnsi="宋体" w:cs="宋体"/>
                <w:sz w:val="24"/>
              </w:rPr>
              <w:t>（7分）</w:t>
            </w:r>
          </w:p>
        </w:tc>
        <w:tc>
          <w:tcPr>
            <w:tcW w:w="5553" w:type="dxa"/>
            <w:vAlign w:val="center"/>
          </w:tcPr>
          <w:p>
            <w:pPr>
              <w:spacing w:line="240" w:lineRule="auto"/>
              <w:rPr>
                <w:rFonts w:ascii="宋体" w:hAnsi="宋体" w:cs="宋体"/>
                <w:sz w:val="24"/>
              </w:rPr>
            </w:pPr>
            <w:r>
              <w:rPr>
                <w:rFonts w:hint="eastAsia" w:ascii="宋体" w:hAnsi="宋体" w:cs="宋体"/>
                <w:sz w:val="24"/>
              </w:rPr>
              <w:t>投入的主要施工机械设备齐全、主要施工机械进场计划合理得7分，设备不齐全、计划不合理的扣0.1-3分，</w:t>
            </w:r>
            <w:r>
              <w:rPr>
                <w:rFonts w:hint="eastAsia" w:ascii="宋体" w:hAnsi="宋体" w:cs="宋体"/>
                <w:kern w:val="0"/>
                <w:sz w:val="24"/>
              </w:rPr>
              <w:t>以0.1为一个扣分单位，最多扣3分，</w:t>
            </w:r>
            <w:r>
              <w:rPr>
                <w:rFonts w:hint="eastAsia" w:ascii="宋体" w:hAnsi="宋体" w:cs="宋体"/>
                <w:sz w:val="24"/>
              </w:rPr>
              <w:t>无机械配备及进场计划0分。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4</w:t>
            </w:r>
          </w:p>
        </w:tc>
        <w:tc>
          <w:tcPr>
            <w:tcW w:w="2265" w:type="dxa"/>
            <w:vAlign w:val="center"/>
          </w:tcPr>
          <w:p>
            <w:pPr>
              <w:spacing w:line="240" w:lineRule="auto"/>
              <w:jc w:val="center"/>
              <w:rPr>
                <w:rFonts w:ascii="宋体" w:hAnsi="宋体" w:cs="宋体"/>
                <w:sz w:val="24"/>
              </w:rPr>
            </w:pPr>
            <w:r>
              <w:rPr>
                <w:rFonts w:hint="eastAsia" w:ascii="宋体" w:hAnsi="宋体" w:cs="宋体"/>
                <w:sz w:val="24"/>
              </w:rPr>
              <w:t>劳动力安排计划    （7分）</w:t>
            </w:r>
          </w:p>
        </w:tc>
        <w:tc>
          <w:tcPr>
            <w:tcW w:w="5553" w:type="dxa"/>
            <w:vAlign w:val="center"/>
          </w:tcPr>
          <w:p>
            <w:pPr>
              <w:spacing w:line="240" w:lineRule="auto"/>
              <w:rPr>
                <w:rFonts w:ascii="宋体" w:hAnsi="宋体" w:cs="宋体"/>
                <w:sz w:val="24"/>
              </w:rPr>
            </w:pPr>
            <w:r>
              <w:rPr>
                <w:rFonts w:hint="eastAsia" w:ascii="宋体" w:hAnsi="宋体" w:cs="宋体"/>
                <w:sz w:val="24"/>
              </w:rPr>
              <w:t>劳动力安排计划合理得7分，计划不合理的扣0.1-3分，</w:t>
            </w:r>
            <w:r>
              <w:rPr>
                <w:rFonts w:hint="eastAsia" w:ascii="宋体" w:hAnsi="宋体" w:cs="宋体"/>
                <w:kern w:val="0"/>
                <w:sz w:val="24"/>
              </w:rPr>
              <w:t>以0.1为一个扣分单位，最多扣3分，</w:t>
            </w:r>
            <w:r>
              <w:rPr>
                <w:rFonts w:hint="eastAsia" w:ascii="宋体" w:hAnsi="宋体" w:cs="宋体"/>
                <w:sz w:val="24"/>
              </w:rPr>
              <w:t>无计划0分。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5</w:t>
            </w:r>
          </w:p>
        </w:tc>
        <w:tc>
          <w:tcPr>
            <w:tcW w:w="2265" w:type="dxa"/>
            <w:vAlign w:val="center"/>
          </w:tcPr>
          <w:p>
            <w:pPr>
              <w:spacing w:line="240" w:lineRule="auto"/>
              <w:jc w:val="center"/>
              <w:rPr>
                <w:rFonts w:ascii="宋体" w:hAnsi="宋体" w:cs="宋体"/>
                <w:sz w:val="24"/>
              </w:rPr>
            </w:pPr>
            <w:r>
              <w:rPr>
                <w:rFonts w:hint="eastAsia" w:ascii="宋体" w:hAnsi="宋体" w:cs="宋体"/>
                <w:sz w:val="24"/>
              </w:rPr>
              <w:t>确保工程质量的技术组织措施（7分）</w:t>
            </w:r>
          </w:p>
        </w:tc>
        <w:tc>
          <w:tcPr>
            <w:tcW w:w="5553" w:type="dxa"/>
            <w:vAlign w:val="center"/>
          </w:tcPr>
          <w:p>
            <w:pPr>
              <w:spacing w:line="240" w:lineRule="auto"/>
              <w:rPr>
                <w:rFonts w:ascii="宋体" w:hAnsi="宋体" w:cs="宋体"/>
                <w:sz w:val="24"/>
              </w:rPr>
            </w:pPr>
            <w:r>
              <w:rPr>
                <w:rFonts w:hint="eastAsia" w:ascii="宋体" w:hAnsi="宋体" w:cs="宋体"/>
                <w:sz w:val="24"/>
              </w:rPr>
              <w:t>工程质量的技术组织措施完善7分，措施不完善的扣0.1-3分，</w:t>
            </w:r>
            <w:r>
              <w:rPr>
                <w:rFonts w:hint="eastAsia" w:ascii="宋体" w:hAnsi="宋体" w:cs="宋体"/>
                <w:kern w:val="0"/>
                <w:sz w:val="24"/>
              </w:rPr>
              <w:t>以0.1为一个扣分单位，最多扣3分，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6</w:t>
            </w:r>
          </w:p>
        </w:tc>
        <w:tc>
          <w:tcPr>
            <w:tcW w:w="2265" w:type="dxa"/>
            <w:vAlign w:val="center"/>
          </w:tcPr>
          <w:p>
            <w:pPr>
              <w:spacing w:line="240" w:lineRule="auto"/>
              <w:jc w:val="center"/>
              <w:rPr>
                <w:rFonts w:ascii="宋体" w:hAnsi="宋体" w:cs="宋体"/>
                <w:sz w:val="24"/>
              </w:rPr>
            </w:pPr>
            <w:r>
              <w:rPr>
                <w:rFonts w:hint="eastAsia" w:ascii="宋体" w:hAnsi="宋体" w:cs="宋体"/>
                <w:sz w:val="24"/>
              </w:rPr>
              <w:t>确保安全生产的技术组织措施（7分）</w:t>
            </w:r>
          </w:p>
        </w:tc>
        <w:tc>
          <w:tcPr>
            <w:tcW w:w="5553" w:type="dxa"/>
            <w:vAlign w:val="center"/>
          </w:tcPr>
          <w:p>
            <w:pPr>
              <w:spacing w:line="240" w:lineRule="auto"/>
              <w:rPr>
                <w:rFonts w:ascii="宋体" w:hAnsi="宋体" w:cs="宋体"/>
                <w:sz w:val="24"/>
              </w:rPr>
            </w:pPr>
            <w:r>
              <w:rPr>
                <w:rFonts w:hint="eastAsia" w:ascii="宋体" w:hAnsi="宋体" w:cs="宋体"/>
                <w:sz w:val="24"/>
              </w:rPr>
              <w:t>安全生产的技术组织措施完善7分，措施不完善的扣0.1-3分，</w:t>
            </w:r>
            <w:r>
              <w:rPr>
                <w:rFonts w:hint="eastAsia" w:ascii="宋体" w:hAnsi="宋体" w:cs="宋体"/>
                <w:kern w:val="0"/>
                <w:sz w:val="24"/>
              </w:rPr>
              <w:t>以0.1为一个扣分单位，最多扣3分，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7</w:t>
            </w:r>
          </w:p>
        </w:tc>
        <w:tc>
          <w:tcPr>
            <w:tcW w:w="2265" w:type="dxa"/>
            <w:vAlign w:val="center"/>
          </w:tcPr>
          <w:p>
            <w:pPr>
              <w:spacing w:line="240" w:lineRule="auto"/>
              <w:jc w:val="center"/>
              <w:rPr>
                <w:rFonts w:ascii="宋体" w:hAnsi="宋体" w:cs="宋体"/>
                <w:sz w:val="24"/>
              </w:rPr>
            </w:pPr>
            <w:r>
              <w:rPr>
                <w:rFonts w:hint="eastAsia" w:ascii="宋体" w:hAnsi="宋体" w:cs="宋体"/>
                <w:sz w:val="24"/>
              </w:rPr>
              <w:t>确保文明施工、环保的技术组织措施   （7分）</w:t>
            </w:r>
          </w:p>
        </w:tc>
        <w:tc>
          <w:tcPr>
            <w:tcW w:w="5553" w:type="dxa"/>
            <w:vAlign w:val="center"/>
          </w:tcPr>
          <w:p>
            <w:pPr>
              <w:spacing w:line="240" w:lineRule="auto"/>
              <w:rPr>
                <w:rFonts w:ascii="宋体" w:hAnsi="宋体" w:cs="宋体"/>
                <w:sz w:val="24"/>
              </w:rPr>
            </w:pPr>
            <w:r>
              <w:rPr>
                <w:rFonts w:hint="eastAsia" w:ascii="宋体" w:hAnsi="宋体" w:cs="宋体"/>
                <w:sz w:val="24"/>
              </w:rPr>
              <w:t>文明施工、环保的技术组织措施完善7分，措施不完善的扣0.1-3分，</w:t>
            </w:r>
            <w:r>
              <w:rPr>
                <w:rFonts w:hint="eastAsia" w:ascii="宋体" w:hAnsi="宋体" w:cs="宋体"/>
                <w:kern w:val="0"/>
                <w:sz w:val="24"/>
              </w:rPr>
              <w:t>以0.1为一个扣分单位，最多扣3分，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8</w:t>
            </w:r>
          </w:p>
        </w:tc>
        <w:tc>
          <w:tcPr>
            <w:tcW w:w="2265" w:type="dxa"/>
            <w:vAlign w:val="center"/>
          </w:tcPr>
          <w:p>
            <w:pPr>
              <w:spacing w:line="240" w:lineRule="auto"/>
              <w:jc w:val="center"/>
              <w:rPr>
                <w:rFonts w:ascii="宋体" w:hAnsi="宋体" w:cs="宋体"/>
                <w:sz w:val="24"/>
              </w:rPr>
            </w:pPr>
            <w:r>
              <w:rPr>
                <w:rFonts w:hint="eastAsia" w:ascii="宋体" w:hAnsi="宋体" w:cs="宋体"/>
                <w:sz w:val="24"/>
              </w:rPr>
              <w:t>确保工期的技术组织措施（3分）</w:t>
            </w:r>
          </w:p>
        </w:tc>
        <w:tc>
          <w:tcPr>
            <w:tcW w:w="5553" w:type="dxa"/>
            <w:vAlign w:val="center"/>
          </w:tcPr>
          <w:p>
            <w:pPr>
              <w:spacing w:line="240" w:lineRule="auto"/>
              <w:rPr>
                <w:rFonts w:ascii="宋体" w:hAnsi="宋体" w:cs="宋体"/>
                <w:sz w:val="24"/>
              </w:rPr>
            </w:pPr>
            <w:r>
              <w:rPr>
                <w:rFonts w:hint="eastAsia" w:ascii="宋体" w:hAnsi="宋体" w:cs="宋体"/>
                <w:sz w:val="24"/>
              </w:rPr>
              <w:t>工期的技术组织措施完善得3分，措施不完善的扣0.1-1分，</w:t>
            </w:r>
            <w:r>
              <w:rPr>
                <w:rFonts w:hint="eastAsia" w:ascii="宋体" w:hAnsi="宋体" w:cs="宋体"/>
                <w:kern w:val="0"/>
                <w:sz w:val="24"/>
              </w:rPr>
              <w:t>以0.1为一个扣分单位，最多扣1分，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Align w:val="center"/>
          </w:tcPr>
          <w:p>
            <w:pPr>
              <w:spacing w:line="240" w:lineRule="auto"/>
              <w:jc w:val="center"/>
              <w:rPr>
                <w:rFonts w:ascii="宋体" w:hAnsi="宋体" w:cs="宋体"/>
                <w:sz w:val="24"/>
              </w:rPr>
            </w:pPr>
            <w:r>
              <w:rPr>
                <w:rFonts w:hint="eastAsia" w:ascii="宋体" w:hAnsi="宋体" w:cs="宋体"/>
                <w:sz w:val="24"/>
              </w:rPr>
              <w:t>9</w:t>
            </w:r>
          </w:p>
        </w:tc>
        <w:tc>
          <w:tcPr>
            <w:tcW w:w="2265" w:type="dxa"/>
            <w:vAlign w:val="center"/>
          </w:tcPr>
          <w:p>
            <w:pPr>
              <w:spacing w:line="240" w:lineRule="auto"/>
              <w:jc w:val="center"/>
              <w:rPr>
                <w:rFonts w:ascii="宋体" w:hAnsi="宋体" w:cs="宋体"/>
                <w:sz w:val="24"/>
              </w:rPr>
            </w:pPr>
            <w:r>
              <w:rPr>
                <w:rFonts w:hint="eastAsia" w:ascii="宋体" w:hAnsi="宋体" w:cs="宋体"/>
                <w:sz w:val="24"/>
              </w:rPr>
              <w:t>各分项工程的技术、安全措施（7分）</w:t>
            </w:r>
          </w:p>
        </w:tc>
        <w:tc>
          <w:tcPr>
            <w:tcW w:w="5553" w:type="dxa"/>
            <w:vAlign w:val="center"/>
          </w:tcPr>
          <w:p>
            <w:pPr>
              <w:spacing w:line="240" w:lineRule="auto"/>
              <w:rPr>
                <w:rFonts w:ascii="宋体" w:hAnsi="宋体" w:cs="宋体"/>
                <w:sz w:val="24"/>
              </w:rPr>
            </w:pPr>
            <w:r>
              <w:rPr>
                <w:rFonts w:hint="eastAsia" w:ascii="宋体" w:hAnsi="宋体" w:cs="宋体"/>
                <w:sz w:val="24"/>
              </w:rPr>
              <w:t>各分项工程的技术、安全措施全面、人员配备合理得7分，措施不全面、不合理扣0.1-3分，</w:t>
            </w:r>
            <w:r>
              <w:rPr>
                <w:rFonts w:hint="eastAsia" w:ascii="宋体" w:hAnsi="宋体" w:cs="宋体"/>
                <w:kern w:val="0"/>
                <w:sz w:val="24"/>
              </w:rPr>
              <w:t>以0.1为一个扣分单位，最多扣3分，</w:t>
            </w:r>
            <w:r>
              <w:rPr>
                <w:rFonts w:hint="eastAsia" w:ascii="宋体" w:hAnsi="宋体" w:cs="宋体"/>
                <w:sz w:val="24"/>
              </w:rPr>
              <w:t>无措施0分。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Merge w:val="restart"/>
            <w:vAlign w:val="center"/>
          </w:tcPr>
          <w:p>
            <w:pPr>
              <w:spacing w:line="240" w:lineRule="auto"/>
              <w:jc w:val="center"/>
              <w:rPr>
                <w:rFonts w:ascii="宋体" w:hAnsi="宋体" w:cs="宋体"/>
                <w:sz w:val="24"/>
              </w:rPr>
            </w:pPr>
            <w:r>
              <w:rPr>
                <w:rFonts w:hint="eastAsia" w:ascii="宋体" w:hAnsi="宋体" w:cs="宋体"/>
                <w:sz w:val="24"/>
              </w:rPr>
              <w:t>10</w:t>
            </w:r>
          </w:p>
        </w:tc>
        <w:tc>
          <w:tcPr>
            <w:tcW w:w="2265" w:type="dxa"/>
            <w:vMerge w:val="restart"/>
            <w:vAlign w:val="center"/>
          </w:tcPr>
          <w:p>
            <w:pPr>
              <w:spacing w:line="240" w:lineRule="auto"/>
              <w:jc w:val="center"/>
              <w:rPr>
                <w:rFonts w:ascii="宋体" w:hAnsi="宋体" w:cs="宋体"/>
                <w:sz w:val="24"/>
              </w:rPr>
            </w:pPr>
            <w:r>
              <w:rPr>
                <w:rFonts w:hint="eastAsia" w:ascii="宋体" w:hAnsi="宋体" w:cs="宋体"/>
                <w:sz w:val="24"/>
              </w:rPr>
              <w:t>防疫措施（5分）</w:t>
            </w:r>
          </w:p>
        </w:tc>
        <w:tc>
          <w:tcPr>
            <w:tcW w:w="5553" w:type="dxa"/>
            <w:vAlign w:val="center"/>
          </w:tcPr>
          <w:p>
            <w:pPr>
              <w:spacing w:line="240" w:lineRule="auto"/>
              <w:rPr>
                <w:rFonts w:ascii="宋体" w:hAnsi="宋体" w:cs="宋体"/>
                <w:sz w:val="24"/>
              </w:rPr>
            </w:pPr>
            <w:r>
              <w:rPr>
                <w:rFonts w:hint="eastAsia" w:ascii="宋体" w:hAnsi="宋体" w:cs="宋体"/>
                <w:sz w:val="24"/>
              </w:rPr>
              <w:t>供应商成立以项目经理为负责人的防疫领导小组，需向采购人提交关于防疫工作的《承诺书》得2分，无承诺不得分。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63" w:type="dxa"/>
            <w:vMerge w:val="continue"/>
            <w:vAlign w:val="center"/>
          </w:tcPr>
          <w:p>
            <w:pPr>
              <w:spacing w:line="240" w:lineRule="auto"/>
              <w:jc w:val="center"/>
              <w:rPr>
                <w:rFonts w:ascii="宋体" w:hAnsi="宋体" w:cs="宋体"/>
                <w:sz w:val="24"/>
              </w:rPr>
            </w:pPr>
          </w:p>
        </w:tc>
        <w:tc>
          <w:tcPr>
            <w:tcW w:w="2265" w:type="dxa"/>
            <w:vMerge w:val="continue"/>
            <w:vAlign w:val="center"/>
          </w:tcPr>
          <w:p>
            <w:pPr>
              <w:spacing w:line="240" w:lineRule="auto"/>
              <w:jc w:val="center"/>
              <w:rPr>
                <w:rFonts w:ascii="宋体" w:hAnsi="宋体" w:cs="宋体"/>
                <w:sz w:val="24"/>
              </w:rPr>
            </w:pPr>
          </w:p>
        </w:tc>
        <w:tc>
          <w:tcPr>
            <w:tcW w:w="5553" w:type="dxa"/>
            <w:vAlign w:val="center"/>
          </w:tcPr>
          <w:p>
            <w:pPr>
              <w:spacing w:line="240" w:lineRule="auto"/>
              <w:rPr>
                <w:rFonts w:ascii="宋体" w:hAnsi="宋体" w:cs="宋体"/>
                <w:sz w:val="24"/>
              </w:rPr>
            </w:pPr>
            <w:r>
              <w:rPr>
                <w:rFonts w:hint="eastAsia" w:ascii="宋体" w:hAnsi="宋体" w:cs="宋体"/>
                <w:sz w:val="24"/>
              </w:rPr>
              <w:t>供应商制定防疫管理措施及工作方案，得3分，措施不全面、不合理扣0.1-1分，</w:t>
            </w:r>
            <w:r>
              <w:rPr>
                <w:rFonts w:hint="eastAsia" w:ascii="宋体" w:hAnsi="宋体" w:cs="宋体"/>
                <w:kern w:val="0"/>
                <w:sz w:val="24"/>
              </w:rPr>
              <w:t>以0.1为一个扣分单位，最多扣1分，</w:t>
            </w:r>
            <w:r>
              <w:rPr>
                <w:rFonts w:hint="eastAsia" w:ascii="宋体" w:hAnsi="宋体" w:cs="宋体"/>
                <w:sz w:val="24"/>
              </w:rPr>
              <w:t>无措施0分。</w:t>
            </w:r>
          </w:p>
        </w:tc>
      </w:tr>
    </w:tbl>
    <w:p/>
    <w:p>
      <w:pPr>
        <w:rPr>
          <w:rFonts w:ascii="宋体" w:hAnsi="宋体" w:cs="宋体"/>
          <w:b/>
          <w:bCs/>
          <w:kern w:val="44"/>
          <w:sz w:val="19"/>
          <w:szCs w:val="19"/>
        </w:rPr>
      </w:pPr>
      <w:r>
        <w:rPr>
          <w:rFonts w:hint="eastAsia" w:ascii="宋体" w:hAnsi="宋体" w:cs="宋体"/>
          <w:b/>
          <w:bCs/>
          <w:kern w:val="44"/>
          <w:sz w:val="19"/>
          <w:szCs w:val="19"/>
        </w:rPr>
        <w:br w:type="page"/>
      </w:r>
      <w:r>
        <w:rPr>
          <w:rFonts w:hint="eastAsia" w:ascii="宋体" w:hAnsi="宋体" w:cs="宋体"/>
          <w:b/>
          <w:bCs/>
          <w:kern w:val="44"/>
          <w:sz w:val="19"/>
          <w:szCs w:val="19"/>
        </w:rPr>
        <w:t>附件七</w:t>
      </w:r>
    </w:p>
    <w:p>
      <w:pPr>
        <w:pStyle w:val="3"/>
        <w:numPr>
          <w:ilvl w:val="0"/>
          <w:numId w:val="0"/>
        </w:numPr>
        <w:jc w:val="center"/>
        <w:rPr>
          <w:rFonts w:ascii="宋体" w:hAnsi="宋体" w:eastAsia="宋体" w:cs="宋体"/>
        </w:rPr>
      </w:pPr>
      <w:bookmarkStart w:id="1762" w:name="_Toc12049312"/>
      <w:bookmarkStart w:id="1763" w:name="_Toc19944"/>
      <w:bookmarkStart w:id="1764" w:name="_Toc3877"/>
      <w:bookmarkStart w:id="1765" w:name="_Toc16976"/>
      <w:bookmarkStart w:id="1766" w:name="_Toc22823"/>
      <w:bookmarkStart w:id="1767" w:name="_Toc1525"/>
      <w:bookmarkStart w:id="1768" w:name="_Toc2461"/>
      <w:bookmarkStart w:id="1769" w:name="_Toc28849"/>
      <w:bookmarkStart w:id="1770" w:name="_Toc5116"/>
      <w:bookmarkStart w:id="1771" w:name="_Toc23755"/>
      <w:bookmarkStart w:id="1772" w:name="_Toc25442"/>
      <w:bookmarkStart w:id="1773" w:name="_Toc7571"/>
      <w:bookmarkStart w:id="1774" w:name="_Toc26805"/>
      <w:bookmarkStart w:id="1775" w:name="_Toc11059"/>
      <w:bookmarkStart w:id="1776" w:name="_Toc1321"/>
      <w:bookmarkStart w:id="1777" w:name="_Toc22109"/>
      <w:bookmarkStart w:id="1778" w:name="_Toc2791"/>
      <w:bookmarkStart w:id="1779" w:name="_Toc13881"/>
      <w:bookmarkStart w:id="1780" w:name="_Toc31853"/>
      <w:bookmarkStart w:id="1781" w:name="_Toc16613"/>
      <w:bookmarkStart w:id="1782" w:name="_Toc12049"/>
      <w:bookmarkStart w:id="1783" w:name="_Toc7219"/>
      <w:bookmarkStart w:id="1784" w:name="_Toc15849"/>
      <w:bookmarkStart w:id="1785" w:name="_Toc6987"/>
      <w:bookmarkStart w:id="1786" w:name="_Toc21315"/>
      <w:bookmarkStart w:id="1787" w:name="_Toc13580"/>
      <w:bookmarkStart w:id="1788" w:name="_Toc1565"/>
      <w:bookmarkStart w:id="1789" w:name="_Toc1270"/>
      <w:bookmarkStart w:id="1790" w:name="_Toc983"/>
      <w:bookmarkStart w:id="1791" w:name="_Toc20901"/>
      <w:bookmarkStart w:id="1792" w:name="_Toc23848"/>
      <w:bookmarkStart w:id="1793" w:name="_Toc22586"/>
      <w:bookmarkStart w:id="1794" w:name="_Toc554"/>
      <w:bookmarkStart w:id="1795" w:name="_Toc14744"/>
      <w:bookmarkStart w:id="1796" w:name="_Toc14868"/>
      <w:bookmarkStart w:id="1797" w:name="_Toc8634"/>
      <w:bookmarkStart w:id="1798" w:name="_Toc11285"/>
      <w:bookmarkStart w:id="1799" w:name="_Toc30809"/>
      <w:bookmarkStart w:id="1800" w:name="_Toc27649"/>
      <w:bookmarkStart w:id="1801" w:name="_Toc21693"/>
      <w:bookmarkStart w:id="1802" w:name="_Toc23917"/>
      <w:bookmarkStart w:id="1803" w:name="_Toc1895"/>
      <w:bookmarkStart w:id="1804" w:name="_Toc14558"/>
      <w:bookmarkStart w:id="1805" w:name="_Toc18158"/>
      <w:bookmarkStart w:id="1806" w:name="_Toc27293"/>
      <w:bookmarkStart w:id="1807" w:name="_Toc30199"/>
      <w:r>
        <w:rPr>
          <w:rFonts w:hint="eastAsia" w:ascii="宋体" w:hAnsi="宋体" w:eastAsia="宋体" w:cs="宋体"/>
        </w:rPr>
        <w:t>G、竞争性磋商最后报价书</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rPr>
          <w:rFonts w:ascii="宋体" w:hAnsi="宋体" w:cs="宋体"/>
          <w:b/>
          <w:bCs/>
          <w:kern w:val="0"/>
          <w:sz w:val="36"/>
          <w:szCs w:val="36"/>
        </w:rPr>
      </w:pPr>
    </w:p>
    <w:p>
      <w:pPr>
        <w:jc w:val="both"/>
        <w:rPr>
          <w:rFonts w:ascii="宋体" w:hAnsi="宋体" w:cs="宋体"/>
          <w:b/>
          <w:bCs/>
          <w:kern w:val="0"/>
          <w:sz w:val="36"/>
          <w:szCs w:val="36"/>
        </w:rPr>
      </w:pPr>
      <w:r>
        <w:rPr>
          <w:rFonts w:hint="eastAsia" w:ascii="宋体" w:hAnsi="宋体" w:cs="宋体"/>
          <w:b/>
          <w:bCs/>
          <w:kern w:val="0"/>
          <w:sz w:val="36"/>
          <w:szCs w:val="36"/>
        </w:rPr>
        <w:t xml:space="preserve">              项目名称：</w:t>
      </w:r>
    </w:p>
    <w:p>
      <w:pPr>
        <w:jc w:val="both"/>
        <w:rPr>
          <w:rFonts w:ascii="宋体" w:hAnsi="宋体" w:cs="宋体"/>
          <w:b/>
          <w:bCs/>
          <w:kern w:val="0"/>
          <w:sz w:val="36"/>
          <w:szCs w:val="36"/>
        </w:rPr>
      </w:pPr>
      <w:r>
        <w:rPr>
          <w:rFonts w:hint="eastAsia" w:ascii="宋体" w:hAnsi="宋体" w:cs="宋体"/>
          <w:b/>
          <w:bCs/>
          <w:kern w:val="0"/>
          <w:sz w:val="36"/>
          <w:szCs w:val="36"/>
        </w:rPr>
        <w:t xml:space="preserve">              项目编号：</w:t>
      </w:r>
    </w:p>
    <w:p>
      <w:pPr>
        <w:ind w:firstLine="723" w:firstLineChars="200"/>
        <w:rPr>
          <w:rFonts w:ascii="宋体" w:hAnsi="宋体" w:cs="宋体"/>
          <w:kern w:val="0"/>
          <w:sz w:val="28"/>
          <w:szCs w:val="28"/>
        </w:rPr>
      </w:pPr>
      <w:r>
        <w:rPr>
          <w:rFonts w:hint="eastAsia" w:ascii="宋体" w:hAnsi="宋体" w:cs="宋体"/>
          <w:b/>
          <w:bCs/>
          <w:kern w:val="0"/>
          <w:sz w:val="36"/>
          <w:szCs w:val="36"/>
        </w:rPr>
        <w:t xml:space="preserve">              </w:t>
      </w:r>
      <w:r>
        <w:rPr>
          <w:rFonts w:hint="eastAsia" w:ascii="宋体" w:hAnsi="宋体" w:cs="宋体"/>
          <w:kern w:val="0"/>
          <w:sz w:val="28"/>
          <w:szCs w:val="28"/>
        </w:rPr>
        <w:t xml:space="preserve"> </w:t>
      </w:r>
    </w:p>
    <w:p>
      <w:pPr>
        <w:ind w:firstLine="560" w:firstLineChars="200"/>
        <w:rPr>
          <w:rFonts w:ascii="宋体" w:hAnsi="宋体" w:cs="宋体"/>
          <w:kern w:val="0"/>
          <w:sz w:val="28"/>
          <w:szCs w:val="28"/>
        </w:rPr>
      </w:pPr>
    </w:p>
    <w:p>
      <w:pPr>
        <w:ind w:firstLine="560" w:firstLineChars="200"/>
        <w:rPr>
          <w:rFonts w:ascii="宋体" w:hAnsi="宋体" w:cs="宋体"/>
          <w:kern w:val="0"/>
          <w:sz w:val="28"/>
          <w:szCs w:val="28"/>
        </w:rPr>
      </w:pPr>
    </w:p>
    <w:p>
      <w:pPr>
        <w:ind w:firstLine="560" w:firstLineChars="200"/>
        <w:rPr>
          <w:rFonts w:ascii="宋体" w:hAnsi="宋体" w:cs="宋体"/>
          <w:kern w:val="0"/>
          <w:sz w:val="28"/>
          <w:szCs w:val="28"/>
        </w:rPr>
      </w:pPr>
      <w:r>
        <w:rPr>
          <w:rFonts w:hint="eastAsia" w:ascii="宋体" w:hAnsi="宋体" w:cs="宋体"/>
          <w:kern w:val="0"/>
          <w:sz w:val="28"/>
          <w:szCs w:val="28"/>
        </w:rPr>
        <w:t xml:space="preserve">        供应商全称：</w:t>
      </w:r>
      <w:r>
        <w:rPr>
          <w:rFonts w:hint="eastAsia" w:ascii="宋体" w:hAnsi="宋体" w:cs="宋体"/>
          <w:kern w:val="0"/>
          <w:sz w:val="28"/>
          <w:szCs w:val="28"/>
          <w:u w:val="single"/>
        </w:rPr>
        <w:t xml:space="preserve">                      </w:t>
      </w:r>
    </w:p>
    <w:p>
      <w:pPr>
        <w:ind w:firstLine="560" w:firstLineChars="200"/>
        <w:rPr>
          <w:rFonts w:ascii="宋体" w:hAnsi="宋体" w:cs="宋体"/>
          <w:kern w:val="0"/>
          <w:sz w:val="28"/>
          <w:szCs w:val="28"/>
        </w:rPr>
      </w:pPr>
      <w:r>
        <w:rPr>
          <w:rFonts w:hint="eastAsia" w:ascii="宋体" w:hAnsi="宋体" w:cs="宋体"/>
          <w:kern w:val="0"/>
          <w:sz w:val="28"/>
          <w:szCs w:val="28"/>
        </w:rPr>
        <w:t xml:space="preserve">                             </w:t>
      </w:r>
    </w:p>
    <w:p>
      <w:pPr>
        <w:ind w:firstLine="560" w:firstLineChars="200"/>
        <w:rPr>
          <w:rFonts w:ascii="宋体" w:hAnsi="宋体" w:cs="宋体"/>
          <w:kern w:val="0"/>
          <w:sz w:val="28"/>
          <w:szCs w:val="28"/>
        </w:rPr>
      </w:pPr>
      <w:r>
        <w:rPr>
          <w:rFonts w:hint="eastAsia" w:ascii="宋体" w:hAnsi="宋体" w:cs="宋体"/>
          <w:kern w:val="0"/>
          <w:sz w:val="28"/>
          <w:szCs w:val="28"/>
        </w:rPr>
        <w:t xml:space="preserve">        法定代表人或授权代表签字：</w:t>
      </w:r>
      <w:r>
        <w:rPr>
          <w:rFonts w:hint="eastAsia" w:ascii="宋体" w:hAnsi="宋体" w:cs="宋体"/>
          <w:kern w:val="0"/>
          <w:sz w:val="28"/>
          <w:szCs w:val="28"/>
          <w:u w:val="single"/>
        </w:rPr>
        <w:t xml:space="preserve">               </w:t>
      </w:r>
    </w:p>
    <w:p>
      <w:pPr>
        <w:ind w:firstLine="560" w:firstLineChars="200"/>
        <w:rPr>
          <w:rFonts w:ascii="宋体" w:hAnsi="宋体" w:cs="宋体"/>
          <w:kern w:val="0"/>
          <w:sz w:val="28"/>
          <w:szCs w:val="28"/>
        </w:rPr>
      </w:pPr>
    </w:p>
    <w:p>
      <w:pPr>
        <w:rPr>
          <w:rFonts w:ascii="宋体" w:hAnsi="宋体" w:cs="宋体"/>
        </w:rPr>
      </w:pPr>
      <w:r>
        <w:rPr>
          <w:rFonts w:hint="eastAsia" w:ascii="宋体" w:hAnsi="宋体" w:cs="宋体"/>
          <w:kern w:val="0"/>
          <w:sz w:val="28"/>
          <w:szCs w:val="28"/>
        </w:rPr>
        <w:t xml:space="preserve">                  </w:t>
      </w:r>
    </w:p>
    <w:p>
      <w:pPr>
        <w:rPr>
          <w:rFonts w:ascii="宋体" w:hAnsi="宋体" w:cs="宋体"/>
          <w:b/>
          <w:bCs/>
          <w:kern w:val="0"/>
          <w:sz w:val="36"/>
          <w:szCs w:val="36"/>
        </w:rPr>
      </w:pPr>
      <w:r>
        <w:rPr>
          <w:rFonts w:hint="eastAsia" w:ascii="宋体" w:hAnsi="宋体" w:cs="宋体"/>
          <w:sz w:val="32"/>
          <w:szCs w:val="32"/>
        </w:rPr>
        <w:t xml:space="preserve">                  年   月   日</w:t>
      </w:r>
      <w:r>
        <w:rPr>
          <w:rFonts w:hint="eastAsia" w:ascii="宋体" w:hAnsi="宋体" w:cs="宋体"/>
          <w:b/>
          <w:bCs/>
          <w:kern w:val="0"/>
          <w:sz w:val="36"/>
          <w:szCs w:val="36"/>
        </w:rPr>
        <w:t xml:space="preserve">              </w:t>
      </w:r>
    </w:p>
    <w:p>
      <w:pPr>
        <w:rPr>
          <w:rFonts w:ascii="宋体" w:hAnsi="宋体" w:cs="宋体"/>
          <w:b/>
          <w:bCs/>
          <w:kern w:val="0"/>
          <w:sz w:val="36"/>
          <w:szCs w:val="36"/>
        </w:rPr>
      </w:pPr>
    </w:p>
    <w:p>
      <w:pPr>
        <w:rPr>
          <w:rFonts w:ascii="宋体" w:hAnsi="宋体" w:cs="宋体"/>
          <w:b/>
          <w:bCs/>
          <w:kern w:val="0"/>
          <w:sz w:val="36"/>
          <w:szCs w:val="36"/>
        </w:rPr>
      </w:pPr>
      <w:r>
        <w:rPr>
          <w:rFonts w:hint="eastAsia" w:ascii="宋体" w:hAnsi="宋体" w:cs="宋体"/>
          <w:b/>
          <w:bCs/>
          <w:kern w:val="0"/>
          <w:sz w:val="36"/>
          <w:szCs w:val="36"/>
        </w:rPr>
        <w:t xml:space="preserve">                 </w:t>
      </w:r>
    </w:p>
    <w:p>
      <w:pPr>
        <w:jc w:val="center"/>
        <w:rPr>
          <w:rFonts w:ascii="宋体" w:hAnsi="宋体" w:cs="宋体"/>
          <w:b/>
          <w:bCs/>
          <w:kern w:val="0"/>
          <w:sz w:val="36"/>
          <w:szCs w:val="36"/>
        </w:rPr>
      </w:pPr>
      <w:r>
        <w:rPr>
          <w:rFonts w:hint="eastAsia" w:ascii="宋体" w:hAnsi="宋体" w:cs="宋体"/>
          <w:b/>
          <w:bCs/>
          <w:kern w:val="0"/>
          <w:sz w:val="36"/>
          <w:szCs w:val="36"/>
        </w:rPr>
        <w:br w:type="page"/>
      </w:r>
      <w:r>
        <w:rPr>
          <w:rFonts w:hint="eastAsia" w:ascii="宋体" w:hAnsi="宋体" w:cs="宋体"/>
          <w:b/>
          <w:bCs/>
          <w:kern w:val="0"/>
          <w:sz w:val="36"/>
          <w:szCs w:val="36"/>
        </w:rPr>
        <w:t>竞争性磋商最后报价</w:t>
      </w:r>
    </w:p>
    <w:p>
      <w:pPr>
        <w:jc w:val="center"/>
        <w:rPr>
          <w:rFonts w:ascii="宋体" w:hAnsi="宋体" w:cs="宋体"/>
          <w:b/>
          <w:bCs/>
          <w:kern w:val="0"/>
          <w:sz w:val="28"/>
          <w:szCs w:val="28"/>
        </w:rPr>
      </w:pPr>
    </w:p>
    <w:p>
      <w:pPr>
        <w:rPr>
          <w:rFonts w:ascii="宋体" w:hAnsi="宋体" w:cs="宋体"/>
          <w:sz w:val="24"/>
        </w:rPr>
      </w:pPr>
      <w:r>
        <w:rPr>
          <w:rFonts w:hint="eastAsia" w:ascii="宋体" w:hAnsi="宋体" w:cs="宋体"/>
          <w:sz w:val="24"/>
        </w:rPr>
        <w:t>黑龙江省北通建筑工程管理咨询有限公司：</w:t>
      </w:r>
    </w:p>
    <w:p>
      <w:pPr>
        <w:ind w:firstLine="600" w:firstLineChars="250"/>
        <w:rPr>
          <w:rFonts w:ascii="宋体" w:hAnsi="宋体" w:cs="宋体"/>
          <w:sz w:val="24"/>
        </w:rPr>
      </w:pPr>
      <w:r>
        <w:rPr>
          <w:rFonts w:hint="eastAsia" w:ascii="宋体" w:hAnsi="宋体" w:cs="宋体"/>
          <w:sz w:val="24"/>
          <w:u w:val="single"/>
        </w:rPr>
        <w:t xml:space="preserve">                                 </w:t>
      </w:r>
      <w:r>
        <w:rPr>
          <w:rFonts w:hint="eastAsia" w:ascii="宋体" w:hAnsi="宋体" w:cs="宋体"/>
          <w:sz w:val="24"/>
        </w:rPr>
        <w:t>（供应商全称）授权</w:t>
      </w:r>
      <w:r>
        <w:rPr>
          <w:rFonts w:hint="eastAsia" w:ascii="宋体" w:hAnsi="宋体" w:cs="宋体"/>
          <w:sz w:val="24"/>
          <w:u w:val="single"/>
        </w:rPr>
        <w:t xml:space="preserve">                </w:t>
      </w:r>
      <w:r>
        <w:rPr>
          <w:rFonts w:hint="eastAsia" w:ascii="宋体" w:hAnsi="宋体" w:cs="宋体"/>
          <w:sz w:val="24"/>
        </w:rPr>
        <w:t>（授权代表姓名）</w:t>
      </w:r>
      <w:r>
        <w:rPr>
          <w:rFonts w:hint="eastAsia" w:ascii="宋体" w:hAnsi="宋体" w:cs="宋体"/>
          <w:sz w:val="24"/>
          <w:u w:val="single"/>
        </w:rPr>
        <w:t xml:space="preserve">                                 </w:t>
      </w:r>
      <w:r>
        <w:rPr>
          <w:rFonts w:hint="eastAsia" w:ascii="宋体" w:hAnsi="宋体" w:cs="宋体"/>
          <w:sz w:val="24"/>
        </w:rPr>
        <w:t>（职务、职称）为授权代表，参加贵方组织的</w:t>
      </w:r>
      <w:r>
        <w:rPr>
          <w:rFonts w:hint="eastAsia" w:ascii="宋体" w:hAnsi="宋体" w:cs="宋体"/>
          <w:sz w:val="24"/>
          <w:u w:val="single"/>
        </w:rPr>
        <w:t xml:space="preserve">                         </w:t>
      </w:r>
      <w:r>
        <w:rPr>
          <w:rFonts w:hint="eastAsia" w:ascii="宋体" w:hAnsi="宋体" w:cs="宋体"/>
          <w:sz w:val="24"/>
        </w:rPr>
        <w:t>（项目名称、项目编号）磋商的有关活动，并对该项目进行最后报价。</w:t>
      </w:r>
    </w:p>
    <w:p>
      <w:pPr>
        <w:ind w:firstLine="360" w:firstLineChars="150"/>
        <w:rPr>
          <w:rFonts w:ascii="宋体" w:hAnsi="宋体" w:cs="宋体"/>
          <w:sz w:val="24"/>
        </w:rPr>
      </w:pPr>
      <w:r>
        <w:rPr>
          <w:rFonts w:hint="eastAsia" w:ascii="宋体" w:hAnsi="宋体" w:cs="宋体"/>
          <w:sz w:val="24"/>
        </w:rPr>
        <w:t>1、提供最后报价书正本壹份、副本贰份，电子版U盘壹份；</w:t>
      </w:r>
    </w:p>
    <w:p>
      <w:pPr>
        <w:pStyle w:val="29"/>
      </w:pPr>
    </w:p>
    <w:p>
      <w:pPr>
        <w:ind w:firstLine="360" w:firstLineChars="150"/>
        <w:rPr>
          <w:rFonts w:ascii="宋体" w:hAnsi="宋体" w:cs="宋体"/>
          <w:sz w:val="24"/>
        </w:rPr>
      </w:pPr>
      <w:r>
        <w:rPr>
          <w:rFonts w:hint="eastAsia" w:ascii="宋体" w:hAnsi="宋体" w:cs="宋体"/>
          <w:sz w:val="24"/>
        </w:rPr>
        <w:t>2、最后报价：（大写）</w:t>
      </w:r>
      <w:r>
        <w:rPr>
          <w:rFonts w:hint="eastAsia" w:ascii="宋体" w:hAnsi="宋体" w:cs="宋体"/>
          <w:sz w:val="24"/>
          <w:u w:val="single"/>
        </w:rPr>
        <w:t xml:space="preserve">            </w:t>
      </w:r>
      <w:r>
        <w:rPr>
          <w:rFonts w:hint="eastAsia" w:ascii="宋体" w:hAnsi="宋体" w:cs="宋体"/>
          <w:sz w:val="24"/>
        </w:rPr>
        <w:t xml:space="preserve"> 元人民币，（小写）</w:t>
      </w:r>
      <w:r>
        <w:rPr>
          <w:rFonts w:hint="eastAsia" w:ascii="宋体" w:hAnsi="宋体" w:cs="宋体"/>
          <w:sz w:val="24"/>
          <w:u w:val="single"/>
        </w:rPr>
        <w:t xml:space="preserve">            </w:t>
      </w:r>
      <w:r>
        <w:rPr>
          <w:rFonts w:hint="eastAsia" w:ascii="宋体" w:hAnsi="宋体" w:cs="宋体"/>
          <w:sz w:val="24"/>
        </w:rPr>
        <w:t>元人民币；</w:t>
      </w:r>
    </w:p>
    <w:p>
      <w:pPr>
        <w:ind w:firstLine="360" w:firstLineChars="150"/>
        <w:rPr>
          <w:rFonts w:ascii="宋体" w:hAnsi="宋体" w:cs="宋体"/>
          <w:sz w:val="24"/>
        </w:rPr>
      </w:pPr>
      <w:r>
        <w:rPr>
          <w:rFonts w:hint="eastAsia" w:ascii="宋体" w:hAnsi="宋体" w:cs="宋体"/>
          <w:sz w:val="24"/>
        </w:rPr>
        <w:t>3、保证遵守竞争性磋商文件规定；</w:t>
      </w:r>
    </w:p>
    <w:p>
      <w:pPr>
        <w:pStyle w:val="21"/>
        <w:spacing w:line="360" w:lineRule="auto"/>
        <w:ind w:left="0" w:firstLine="360" w:firstLineChars="150"/>
        <w:rPr>
          <w:rFonts w:ascii="宋体" w:hAnsi="宋体" w:cs="宋体"/>
          <w:sz w:val="24"/>
        </w:rPr>
      </w:pPr>
      <w:r>
        <w:rPr>
          <w:rFonts w:hint="eastAsia" w:ascii="宋体" w:hAnsi="宋体" w:cs="宋体"/>
          <w:sz w:val="24"/>
        </w:rPr>
        <w:t>4、保证严格执行甲乙双方所签订的《政府合同》，并承担《政府合同》规定的责任义务；</w:t>
      </w:r>
    </w:p>
    <w:p>
      <w:pPr>
        <w:pStyle w:val="27"/>
        <w:spacing w:line="360" w:lineRule="auto"/>
        <w:ind w:left="0" w:firstLine="360" w:firstLineChars="150"/>
        <w:rPr>
          <w:rFonts w:ascii="宋体" w:hAnsi="宋体" w:cs="宋体"/>
          <w:sz w:val="24"/>
        </w:rPr>
      </w:pPr>
      <w:r>
        <w:rPr>
          <w:rFonts w:hint="eastAsia" w:ascii="宋体" w:hAnsi="宋体" w:cs="宋体"/>
          <w:sz w:val="24"/>
        </w:rPr>
        <w:t>5、愿意向贵方提供任何与该项活动有关的数据、情况和技术资料。</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4"/>
        </w:rPr>
      </w:pPr>
      <w:r>
        <w:rPr>
          <w:rFonts w:hint="eastAsia" w:ascii="宋体" w:hAnsi="宋体" w:cs="宋体"/>
          <w:sz w:val="28"/>
          <w:szCs w:val="28"/>
        </w:rPr>
        <w:t xml:space="preserve">      </w:t>
      </w:r>
      <w:r>
        <w:rPr>
          <w:rFonts w:hint="eastAsia" w:ascii="宋体" w:hAnsi="宋体" w:cs="宋体"/>
          <w:sz w:val="24"/>
        </w:rPr>
        <w:t>附件1：工程量清单最后报价明细</w:t>
      </w:r>
    </w:p>
    <w:p>
      <w:pPr>
        <w:rPr>
          <w:rFonts w:ascii="宋体" w:hAnsi="宋体" w:cs="宋体"/>
          <w:sz w:val="24"/>
        </w:rPr>
      </w:pPr>
      <w:r>
        <w:rPr>
          <w:rFonts w:hint="eastAsia" w:ascii="宋体" w:hAnsi="宋体" w:cs="宋体"/>
          <w:sz w:val="24"/>
        </w:rPr>
        <w:t xml:space="preserve">       </w:t>
      </w:r>
    </w:p>
    <w:p>
      <w:pPr>
        <w:rPr>
          <w:rFonts w:ascii="宋体" w:hAnsi="宋体" w:cs="宋体"/>
          <w:sz w:val="24"/>
        </w:rPr>
      </w:pPr>
      <w:r>
        <w:rPr>
          <w:rFonts w:hint="eastAsia" w:ascii="宋体" w:hAnsi="宋体" w:cs="宋体"/>
          <w:sz w:val="24"/>
        </w:rPr>
        <w:t xml:space="preserve">       附件2：最后报价调整说明</w:t>
      </w:r>
    </w:p>
    <w:p>
      <w:pPr>
        <w:ind w:firstLine="480" w:firstLineChars="200"/>
        <w:rPr>
          <w:rFonts w:ascii="宋体" w:hAnsi="宋体" w:cs="宋体"/>
          <w:sz w:val="24"/>
        </w:rPr>
      </w:pPr>
    </w:p>
    <w:p>
      <w:pPr>
        <w:ind w:firstLine="420" w:firstLineChars="175"/>
        <w:rPr>
          <w:rFonts w:ascii="宋体" w:hAnsi="宋体" w:cs="宋体"/>
          <w:sz w:val="24"/>
        </w:rPr>
      </w:pPr>
      <w:r>
        <w:rPr>
          <w:rFonts w:hint="eastAsia" w:ascii="宋体" w:hAnsi="宋体" w:cs="宋体"/>
          <w:sz w:val="24"/>
        </w:rPr>
        <w:t xml:space="preserve">               </w:t>
      </w:r>
    </w:p>
    <w:p>
      <w:pPr>
        <w:ind w:firstLine="420" w:firstLineChars="175"/>
        <w:rPr>
          <w:rFonts w:ascii="宋体" w:hAnsi="宋体" w:cs="宋体"/>
          <w:sz w:val="24"/>
          <w:u w:val="single"/>
        </w:rPr>
      </w:pPr>
      <w:r>
        <w:rPr>
          <w:rFonts w:hint="eastAsia" w:ascii="宋体" w:hAnsi="宋体" w:cs="宋体"/>
          <w:sz w:val="24"/>
        </w:rPr>
        <w:t xml:space="preserve">               </w:t>
      </w:r>
    </w:p>
    <w:p>
      <w:pPr>
        <w:ind w:firstLine="2220" w:firstLineChars="925"/>
        <w:rPr>
          <w:rFonts w:ascii="宋体" w:hAnsi="宋体" w:cs="宋体"/>
          <w:sz w:val="24"/>
        </w:rPr>
      </w:pPr>
    </w:p>
    <w:p>
      <w:pPr>
        <w:ind w:firstLine="2220" w:firstLineChars="925"/>
        <w:rPr>
          <w:rFonts w:ascii="宋体" w:hAnsi="宋体" w:cs="宋体"/>
          <w:sz w:val="24"/>
        </w:rPr>
      </w:pPr>
      <w:r>
        <w:rPr>
          <w:rFonts w:hint="eastAsia" w:ascii="宋体" w:hAnsi="宋体" w:cs="宋体"/>
          <w:sz w:val="24"/>
        </w:rPr>
        <w:t>法定代表人或授权代表（签字）：</w:t>
      </w:r>
      <w:r>
        <w:rPr>
          <w:rFonts w:hint="eastAsia" w:ascii="宋体" w:hAnsi="宋体" w:cs="宋体"/>
          <w:sz w:val="24"/>
          <w:u w:val="single"/>
        </w:rPr>
        <w:t xml:space="preserve">                    </w:t>
      </w:r>
    </w:p>
    <w:p>
      <w:pPr>
        <w:ind w:firstLine="420" w:firstLineChars="175"/>
        <w:rPr>
          <w:rFonts w:ascii="宋体" w:hAnsi="宋体" w:cs="宋体"/>
          <w:sz w:val="24"/>
        </w:rPr>
      </w:pPr>
      <w:r>
        <w:rPr>
          <w:rFonts w:hint="eastAsia" w:ascii="宋体" w:hAnsi="宋体" w:cs="宋体"/>
          <w:sz w:val="24"/>
        </w:rPr>
        <w:t xml:space="preserve">               </w:t>
      </w:r>
    </w:p>
    <w:p>
      <w:pPr>
        <w:ind w:firstLine="2220" w:firstLineChars="925"/>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sectPr>
          <w:pgSz w:w="11907" w:h="16840"/>
          <w:pgMar w:top="1417" w:right="1701" w:bottom="1417" w:left="1701" w:header="851" w:footer="992" w:gutter="0"/>
          <w:cols w:space="720" w:num="1"/>
        </w:sectPr>
      </w:pPr>
    </w:p>
    <w:p>
      <w:pPr>
        <w:rPr>
          <w:rFonts w:ascii="宋体" w:hAnsi="宋体" w:cs="宋体"/>
          <w:sz w:val="28"/>
          <w:szCs w:val="28"/>
        </w:rPr>
      </w:pPr>
      <w:r>
        <w:rPr>
          <w:rFonts w:hint="eastAsia" w:ascii="宋体" w:hAnsi="宋体" w:cs="宋体"/>
          <w:sz w:val="28"/>
          <w:szCs w:val="28"/>
        </w:rPr>
        <w:t>附件1：</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44"/>
          <w:szCs w:val="44"/>
        </w:rPr>
      </w:pPr>
      <w:r>
        <w:rPr>
          <w:rFonts w:hint="eastAsia" w:ascii="宋体" w:hAnsi="宋体" w:cs="宋体"/>
          <w:sz w:val="28"/>
          <w:szCs w:val="28"/>
        </w:rPr>
        <w:t xml:space="preserve">            </w:t>
      </w:r>
      <w:r>
        <w:rPr>
          <w:rFonts w:hint="eastAsia" w:ascii="宋体" w:hAnsi="宋体" w:cs="宋体"/>
          <w:sz w:val="44"/>
          <w:szCs w:val="44"/>
        </w:rPr>
        <w:t>工程量清单最后报价明细</w:t>
      </w:r>
    </w:p>
    <w:p>
      <w:pPr>
        <w:rPr>
          <w:rFonts w:ascii="宋体" w:hAnsi="宋体" w:cs="宋体"/>
          <w:szCs w:val="30"/>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ind w:firstLine="420" w:firstLineChars="175"/>
        <w:rPr>
          <w:rFonts w:ascii="宋体" w:hAnsi="宋体" w:cs="宋体"/>
          <w:sz w:val="24"/>
          <w:u w:val="single"/>
        </w:rPr>
      </w:pPr>
    </w:p>
    <w:p>
      <w:pPr>
        <w:ind w:firstLine="2220" w:firstLineChars="925"/>
        <w:rPr>
          <w:rFonts w:ascii="宋体" w:hAnsi="宋体" w:cs="宋体"/>
          <w:sz w:val="24"/>
        </w:rPr>
      </w:pPr>
    </w:p>
    <w:p>
      <w:pPr>
        <w:ind w:firstLine="560" w:firstLineChars="200"/>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sectPr>
          <w:pgSz w:w="11907" w:h="16840"/>
          <w:pgMar w:top="1417" w:right="1701" w:bottom="1417" w:left="1701" w:header="851" w:footer="992" w:gutter="0"/>
          <w:cols w:space="720" w:num="1"/>
        </w:sectPr>
      </w:pPr>
    </w:p>
    <w:p>
      <w:pPr>
        <w:rPr>
          <w:rFonts w:ascii="宋体" w:hAnsi="宋体" w:cs="宋体"/>
          <w:sz w:val="28"/>
          <w:szCs w:val="28"/>
        </w:rPr>
      </w:pPr>
      <w:r>
        <w:rPr>
          <w:rFonts w:hint="eastAsia" w:ascii="宋体" w:hAnsi="宋体" w:cs="宋体"/>
          <w:sz w:val="28"/>
          <w:szCs w:val="28"/>
        </w:rPr>
        <w:t>附件2：</w:t>
      </w:r>
    </w:p>
    <w:p>
      <w:pPr>
        <w:jc w:val="center"/>
        <w:rPr>
          <w:rFonts w:ascii="宋体" w:hAnsi="宋体" w:cs="宋体"/>
          <w:sz w:val="44"/>
          <w:szCs w:val="44"/>
        </w:rPr>
      </w:pPr>
      <w:r>
        <w:rPr>
          <w:rFonts w:hint="eastAsia" w:ascii="宋体" w:hAnsi="宋体" w:cs="宋体"/>
          <w:sz w:val="44"/>
          <w:szCs w:val="44"/>
        </w:rPr>
        <w:t>最后报价调整说明</w:t>
      </w:r>
    </w:p>
    <w:p>
      <w:pPr>
        <w:rPr>
          <w:rFonts w:ascii="宋体" w:hAnsi="宋体" w:cs="宋体"/>
          <w:sz w:val="44"/>
          <w:szCs w:val="44"/>
        </w:rPr>
      </w:pPr>
    </w:p>
    <w:p>
      <w:pPr>
        <w:rPr>
          <w:rFonts w:ascii="宋体" w:hAnsi="宋体" w:cs="宋体"/>
          <w:b/>
          <w:sz w:val="24"/>
        </w:rPr>
      </w:pPr>
      <w:bookmarkStart w:id="1808" w:name="table_bs"/>
      <w:bookmarkEnd w:id="1808"/>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ind w:firstLine="360" w:firstLineChars="150"/>
        <w:rPr>
          <w:rFonts w:ascii="宋体" w:hAnsi="宋体" w:cs="宋体"/>
          <w:sz w:val="24"/>
        </w:rPr>
        <w:sectPr>
          <w:pgSz w:w="11907" w:h="16840"/>
          <w:pgMar w:top="1417" w:right="1701" w:bottom="1417" w:left="1701" w:header="851" w:footer="992" w:gutter="0"/>
          <w:cols w:space="720" w:num="1"/>
        </w:sectPr>
      </w:pPr>
    </w:p>
    <w:p>
      <w:pPr>
        <w:rPr>
          <w:rFonts w:ascii="宋体" w:hAnsi="宋体" w:cs="宋体"/>
          <w:b/>
          <w:bCs/>
          <w:kern w:val="44"/>
          <w:sz w:val="19"/>
          <w:szCs w:val="19"/>
        </w:rPr>
      </w:pPr>
      <w:bookmarkStart w:id="1809" w:name="_Toc11231"/>
      <w:bookmarkStart w:id="1810" w:name="_Toc13886"/>
      <w:bookmarkStart w:id="1811" w:name="_Toc12049313"/>
      <w:r>
        <w:rPr>
          <w:rFonts w:hint="eastAsia" w:ascii="宋体" w:hAnsi="宋体" w:cs="宋体"/>
          <w:b/>
          <w:bCs/>
          <w:kern w:val="44"/>
          <w:sz w:val="19"/>
          <w:szCs w:val="19"/>
        </w:rPr>
        <w:t>附件八</w:t>
      </w:r>
    </w:p>
    <w:p>
      <w:pPr>
        <w:pStyle w:val="3"/>
        <w:numPr>
          <w:ilvl w:val="0"/>
          <w:numId w:val="0"/>
        </w:numPr>
        <w:rPr>
          <w:rFonts w:ascii="宋体" w:hAnsi="宋体" w:eastAsia="宋体" w:cs="宋体"/>
        </w:rPr>
      </w:pPr>
    </w:p>
    <w:p>
      <w:pPr>
        <w:pStyle w:val="3"/>
        <w:numPr>
          <w:ilvl w:val="0"/>
          <w:numId w:val="0"/>
        </w:numPr>
        <w:jc w:val="center"/>
        <w:rPr>
          <w:rFonts w:ascii="宋体" w:hAnsi="宋体" w:eastAsia="宋体" w:cs="宋体"/>
        </w:rPr>
      </w:pPr>
    </w:p>
    <w:p>
      <w:pPr>
        <w:pStyle w:val="3"/>
        <w:numPr>
          <w:ilvl w:val="0"/>
          <w:numId w:val="0"/>
        </w:numPr>
        <w:jc w:val="center"/>
        <w:rPr>
          <w:rFonts w:ascii="宋体" w:hAnsi="宋体" w:eastAsia="宋体" w:cs="宋体"/>
        </w:rPr>
        <w:sectPr>
          <w:pgSz w:w="11907" w:h="16840"/>
          <w:pgMar w:top="1417" w:right="1701" w:bottom="1417" w:left="1701" w:header="851" w:footer="992" w:gutter="0"/>
          <w:cols w:space="720" w:num="1"/>
        </w:sectPr>
      </w:pPr>
      <w:bookmarkStart w:id="1812" w:name="_Toc6064"/>
      <w:bookmarkStart w:id="1813" w:name="_Toc30905"/>
      <w:bookmarkStart w:id="1814" w:name="_Toc2253"/>
      <w:bookmarkStart w:id="1815" w:name="_Toc6114"/>
      <w:bookmarkStart w:id="1816" w:name="_Toc26334"/>
      <w:bookmarkStart w:id="1817" w:name="_Toc19434"/>
      <w:bookmarkStart w:id="1818" w:name="_Toc23012"/>
      <w:bookmarkStart w:id="1819" w:name="_Toc12569"/>
      <w:bookmarkStart w:id="1820" w:name="_Toc12619"/>
      <w:bookmarkStart w:id="1821" w:name="_Toc24410"/>
      <w:bookmarkStart w:id="1822" w:name="_Toc11312"/>
      <w:bookmarkStart w:id="1823" w:name="_Toc24223"/>
      <w:bookmarkStart w:id="1824" w:name="_Toc16480"/>
      <w:bookmarkStart w:id="1825" w:name="_Toc12888"/>
      <w:bookmarkStart w:id="1826" w:name="_Toc32358"/>
      <w:bookmarkStart w:id="1827" w:name="_Toc7678"/>
      <w:bookmarkStart w:id="1828" w:name="_Toc5621"/>
      <w:bookmarkStart w:id="1829" w:name="_Toc24892"/>
      <w:bookmarkStart w:id="1830" w:name="_Toc13882"/>
      <w:bookmarkStart w:id="1831" w:name="_Toc32572"/>
      <w:bookmarkStart w:id="1832" w:name="_Toc8836"/>
      <w:bookmarkStart w:id="1833" w:name="_Toc22597"/>
      <w:bookmarkStart w:id="1834" w:name="_Toc23391"/>
      <w:bookmarkStart w:id="1835" w:name="_Toc29578"/>
      <w:bookmarkStart w:id="1836" w:name="_Toc8090"/>
      <w:bookmarkStart w:id="1837" w:name="_Toc9793"/>
      <w:bookmarkStart w:id="1838" w:name="_Toc7880"/>
      <w:bookmarkStart w:id="1839" w:name="_Toc22057"/>
      <w:bookmarkStart w:id="1840" w:name="_Toc6613"/>
      <w:bookmarkStart w:id="1841" w:name="_Toc11920"/>
      <w:bookmarkStart w:id="1842" w:name="_Toc8019"/>
      <w:bookmarkStart w:id="1843" w:name="_Toc11669"/>
      <w:bookmarkStart w:id="1844" w:name="_Toc11405"/>
      <w:bookmarkStart w:id="1845" w:name="_Toc4399"/>
      <w:bookmarkStart w:id="1846" w:name="_Toc1392"/>
      <w:bookmarkStart w:id="1847" w:name="_Toc3232"/>
      <w:bookmarkStart w:id="1848" w:name="_Toc21443"/>
      <w:bookmarkStart w:id="1849" w:name="_Toc29620"/>
      <w:bookmarkStart w:id="1850" w:name="_Toc25278"/>
      <w:bookmarkStart w:id="1851" w:name="_Toc386"/>
      <w:bookmarkStart w:id="1852" w:name="_Toc28210"/>
      <w:bookmarkStart w:id="1853" w:name="_Toc21171"/>
      <w:bookmarkStart w:id="1854" w:name="_Toc22254"/>
      <w:bookmarkStart w:id="1855" w:name="_Toc24971"/>
      <w:bookmarkStart w:id="1856" w:name="_Toc9593"/>
      <w:r>
        <w:rPr>
          <w:rFonts w:hint="eastAsia" w:ascii="宋体" w:hAnsi="宋体" w:eastAsia="宋体" w:cs="宋体"/>
        </w:rPr>
        <w:t>H、磋商文件要求的其他证明文件</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widowControl/>
        <w:spacing w:before="312" w:line="480" w:lineRule="auto"/>
        <w:jc w:val="center"/>
        <w:rPr>
          <w:rFonts w:ascii="宋体" w:hAnsi="宋体" w:cs="宋体"/>
          <w:kern w:val="0"/>
          <w:sz w:val="24"/>
        </w:rPr>
      </w:pPr>
      <w:r>
        <w:rPr>
          <w:rFonts w:hint="eastAsia" w:ascii="宋体" w:hAnsi="宋体" w:cs="宋体"/>
          <w:b/>
          <w:kern w:val="0"/>
          <w:sz w:val="24"/>
        </w:rPr>
        <w:t>1、中小企业声明函</w:t>
      </w:r>
    </w:p>
    <w:p>
      <w:pPr>
        <w:widowControl/>
        <w:ind w:firstLine="420"/>
        <w:rPr>
          <w:rFonts w:ascii="宋体" w:hAnsi="宋体" w:cs="宋体"/>
          <w:kern w:val="0"/>
          <w:sz w:val="24"/>
        </w:rPr>
      </w:pPr>
      <w:r>
        <w:rPr>
          <w:rFonts w:hint="eastAsia" w:ascii="宋体" w:hAnsi="宋体" w:cs="宋体"/>
          <w:kern w:val="0"/>
          <w:sz w:val="24"/>
        </w:rPr>
        <w:t>本公司（联合体）郑重声明，根据《政府采购促进中小企业发展管理办法》（财库﹝2020﹞46 号）的规定，本公司（联合体）参加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ind w:firstLine="420"/>
        <w:rPr>
          <w:rFonts w:ascii="宋体" w:hAnsi="宋体" w:cs="宋体"/>
          <w:kern w:val="0"/>
          <w:sz w:val="24"/>
        </w:rPr>
      </w:pPr>
      <w:r>
        <w:rPr>
          <w:rFonts w:hint="eastAsia" w:ascii="宋体" w:hAnsi="宋体" w:cs="宋体"/>
          <w:kern w:val="0"/>
          <w:sz w:val="24"/>
        </w:rPr>
        <w:t>1.</w:t>
      </w:r>
      <w:r>
        <w:rPr>
          <w:rFonts w:hint="eastAsia" w:ascii="宋体" w:hAnsi="宋体" w:cs="宋体"/>
          <w:kern w:val="0"/>
          <w:sz w:val="24"/>
          <w:u w:val="single"/>
        </w:rPr>
        <w:t>（标的名称）</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；承建（承接）企业为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（中型企业、小型企业、微型企业）</w:t>
      </w:r>
      <w:r>
        <w:rPr>
          <w:rFonts w:hint="eastAsia" w:ascii="宋体" w:hAnsi="宋体" w:cs="宋体"/>
          <w:kern w:val="0"/>
          <w:sz w:val="24"/>
        </w:rPr>
        <w:t>；</w:t>
      </w:r>
    </w:p>
    <w:p>
      <w:pPr>
        <w:widowControl/>
        <w:ind w:firstLine="420"/>
        <w:rPr>
          <w:rFonts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（标的名称）</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；承建（承接）企业为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u w:val="single"/>
        </w:rPr>
        <w:tab/>
      </w:r>
      <w:r>
        <w:rPr>
          <w:rFonts w:hint="eastAsia" w:ascii="宋体" w:hAnsi="宋体" w:cs="宋体"/>
          <w:kern w:val="0"/>
          <w:sz w:val="24"/>
        </w:rPr>
        <w:t>万元，资产总额为</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（中型企业、小型企业、微型企业）</w:t>
      </w:r>
      <w:r>
        <w:rPr>
          <w:rFonts w:hint="eastAsia" w:ascii="宋体" w:hAnsi="宋体" w:cs="宋体"/>
          <w:kern w:val="0"/>
          <w:sz w:val="24"/>
        </w:rPr>
        <w:t>；</w:t>
      </w:r>
    </w:p>
    <w:p>
      <w:pPr>
        <w:widowControl/>
        <w:ind w:firstLine="420"/>
        <w:rPr>
          <w:rFonts w:ascii="宋体" w:hAnsi="宋体" w:cs="宋体"/>
          <w:kern w:val="0"/>
          <w:sz w:val="24"/>
        </w:rPr>
      </w:pPr>
      <w:r>
        <w:rPr>
          <w:rFonts w:hint="eastAsia" w:ascii="宋体" w:hAnsi="宋体" w:cs="宋体"/>
          <w:kern w:val="0"/>
          <w:sz w:val="24"/>
        </w:rPr>
        <w:t>……</w:t>
      </w:r>
    </w:p>
    <w:p>
      <w:pPr>
        <w:widowControl/>
        <w:ind w:firstLine="420"/>
        <w:rPr>
          <w:rFonts w:ascii="宋体" w:hAns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widowControl/>
        <w:ind w:firstLine="420"/>
        <w:rPr>
          <w:rFonts w:ascii="宋体" w:hAnsi="宋体" w:cs="宋体"/>
          <w:kern w:val="0"/>
          <w:sz w:val="24"/>
        </w:rPr>
      </w:pPr>
      <w:r>
        <w:rPr>
          <w:rFonts w:hint="eastAsia" w:ascii="宋体" w:hAnsi="宋体" w:cs="宋体"/>
          <w:kern w:val="0"/>
          <w:sz w:val="24"/>
        </w:rPr>
        <w:t>本企业对上述声明内容的真实性负责。如有虚假，将依法承担相应责任。</w:t>
      </w:r>
    </w:p>
    <w:p>
      <w:pPr>
        <w:widowControl/>
        <w:ind w:firstLine="420"/>
        <w:rPr>
          <w:rFonts w:ascii="宋体" w:hAnsi="宋体" w:cs="宋体"/>
          <w:kern w:val="0"/>
          <w:sz w:val="24"/>
        </w:rPr>
      </w:pPr>
    </w:p>
    <w:p>
      <w:pPr>
        <w:widowControl/>
        <w:ind w:firstLine="420"/>
        <w:jc w:val="right"/>
        <w:rPr>
          <w:rFonts w:ascii="宋体" w:hAnsi="宋体" w:cs="宋体"/>
          <w:kern w:val="0"/>
          <w:sz w:val="24"/>
        </w:rPr>
      </w:pPr>
    </w:p>
    <w:p>
      <w:pPr>
        <w:widowControl/>
        <w:ind w:firstLine="420"/>
        <w:jc w:val="both"/>
        <w:rPr>
          <w:rFonts w:ascii="宋体" w:hAnsi="宋体" w:cs="宋体"/>
          <w:kern w:val="0"/>
          <w:sz w:val="24"/>
        </w:rPr>
      </w:pPr>
      <w:r>
        <w:rPr>
          <w:rFonts w:hint="eastAsia" w:ascii="宋体" w:hAnsi="宋体" w:cs="宋体"/>
          <w:kern w:val="0"/>
          <w:sz w:val="24"/>
        </w:rPr>
        <w:t>企业名称（盖章）：</w:t>
      </w:r>
    </w:p>
    <w:p>
      <w:pPr>
        <w:widowControl/>
        <w:ind w:firstLine="420"/>
        <w:jc w:val="both"/>
        <w:rPr>
          <w:rFonts w:ascii="宋体" w:hAnsi="宋体" w:cs="宋体"/>
          <w:kern w:val="0"/>
          <w:sz w:val="24"/>
        </w:rPr>
      </w:pPr>
      <w:r>
        <w:rPr>
          <w:rFonts w:hint="eastAsia" w:ascii="宋体" w:hAnsi="宋体" w:cs="宋体"/>
          <w:kern w:val="0"/>
          <w:sz w:val="24"/>
        </w:rPr>
        <w:t>日期：</w:t>
      </w:r>
    </w:p>
    <w:p>
      <w:pPr>
        <w:widowControl/>
        <w:rPr>
          <w:rFonts w:ascii="宋体" w:hAnsi="宋体" w:cs="宋体"/>
          <w:kern w:val="0"/>
          <w:sz w:val="24"/>
        </w:rPr>
      </w:pPr>
      <w:r>
        <w:rPr>
          <w:rFonts w:hint="eastAsia" w:ascii="宋体" w:hAnsi="宋体" w:cs="宋体"/>
          <w:kern w:val="0"/>
          <w:sz w:val="24"/>
        </w:rPr>
        <w:t xml:space="preserve"> </w:t>
      </w:r>
    </w:p>
    <w:p>
      <w:pPr>
        <w:pStyle w:val="30"/>
        <w:rPr>
          <w:rFonts w:ascii="宋体" w:hAnsi="宋体" w:cs="宋体"/>
        </w:rPr>
      </w:pPr>
    </w:p>
    <w:p>
      <w:pPr>
        <w:pStyle w:val="30"/>
        <w:rPr>
          <w:rFonts w:ascii="宋体" w:hAnsi="宋体" w:cs="宋体"/>
        </w:rPr>
      </w:pPr>
    </w:p>
    <w:p>
      <w:pPr>
        <w:pStyle w:val="30"/>
        <w:ind w:left="0" w:firstLine="0" w:firstLineChars="0"/>
        <w:rPr>
          <w:rFonts w:ascii="宋体" w:hAnsi="宋体" w:cs="宋体"/>
          <w:b/>
          <w:bCs/>
        </w:rPr>
        <w:sectPr>
          <w:pgSz w:w="11907" w:h="16840"/>
          <w:pgMar w:top="1417" w:right="1701" w:bottom="1417" w:left="1701" w:header="851" w:footer="992" w:gutter="0"/>
          <w:cols w:space="720" w:num="1"/>
        </w:sectPr>
      </w:pPr>
      <w:r>
        <w:rPr>
          <w:rFonts w:hint="eastAsia" w:ascii="宋体" w:hAnsi="宋体" w:cs="宋体"/>
          <w:b/>
          <w:bCs/>
        </w:rPr>
        <w:t>注：从业人员、营业收入、资产总额填报上一年度数据，无上一年度数据的新成立企业可不填报。</w:t>
      </w:r>
    </w:p>
    <w:p>
      <w:pPr>
        <w:jc w:val="center"/>
        <w:rPr>
          <w:rFonts w:ascii="宋体" w:hAnsi="宋体" w:cs="宋体"/>
          <w:b/>
          <w:kern w:val="0"/>
          <w:sz w:val="24"/>
        </w:rPr>
      </w:pPr>
      <w:r>
        <w:rPr>
          <w:rFonts w:ascii="宋体" w:hAnsi="宋体" w:cs="宋体"/>
          <w:b/>
          <w:kern w:val="0"/>
          <w:sz w:val="24"/>
        </w:rPr>
        <w:t>2、残疾人福利性单位声明函</w:t>
      </w:r>
    </w:p>
    <w:p>
      <w:pPr>
        <w:jc w:val="both"/>
        <w:rPr>
          <w:rFonts w:ascii="宋体" w:hAnsi="宋体" w:cs="宋体"/>
          <w:b/>
          <w:bCs/>
          <w:kern w:val="0"/>
          <w:sz w:val="24"/>
        </w:rPr>
      </w:pPr>
    </w:p>
    <w:p>
      <w:pPr>
        <w:widowControl/>
        <w:spacing w:line="432" w:lineRule="auto"/>
        <w:ind w:firstLine="450"/>
        <w:rPr>
          <w:rFonts w:ascii="宋体" w:hAnsi="宋体" w:cs="宋体"/>
          <w:kern w:val="0"/>
          <w:sz w:val="24"/>
        </w:rPr>
      </w:pPr>
      <w:r>
        <w:rPr>
          <w:rFonts w:hint="eastAsia" w:ascii="宋体" w:hAnsi="宋体" w:cs="宋体"/>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80"/>
        <w:autoSpaceDN w:val="0"/>
        <w:snapToGrid w:val="0"/>
        <w:spacing w:line="360" w:lineRule="auto"/>
        <w:ind w:firstLine="480"/>
        <w:rPr>
          <w:rFonts w:ascii="宋体" w:hAnsi="宋体" w:cs="宋体"/>
        </w:rPr>
      </w:pPr>
      <w:r>
        <w:rPr>
          <w:rFonts w:hint="eastAsia" w:ascii="宋体" w:hAnsi="宋体" w:cs="宋体"/>
          <w:sz w:val="24"/>
          <w:szCs w:val="24"/>
        </w:rPr>
        <w:t>本单位对上述声明的真实性负责。如有虚假，将依法承担相应责任。</w:t>
      </w:r>
    </w:p>
    <w:p>
      <w:pPr>
        <w:pStyle w:val="80"/>
        <w:autoSpaceDN w:val="0"/>
        <w:snapToGrid w:val="0"/>
        <w:spacing w:line="360" w:lineRule="auto"/>
        <w:ind w:firstLine="480"/>
        <w:jc w:val="center"/>
        <w:rPr>
          <w:rFonts w:ascii="宋体" w:hAnsi="宋体" w:cs="宋体"/>
        </w:rPr>
      </w:pPr>
    </w:p>
    <w:p>
      <w:pPr>
        <w:pStyle w:val="80"/>
        <w:autoSpaceDN w:val="0"/>
        <w:snapToGrid w:val="0"/>
        <w:spacing w:line="360" w:lineRule="auto"/>
        <w:ind w:firstLine="480"/>
        <w:jc w:val="center"/>
        <w:rPr>
          <w:rFonts w:ascii="宋体" w:hAnsi="宋体" w:cs="宋体"/>
        </w:rPr>
      </w:pPr>
    </w:p>
    <w:p>
      <w:pPr>
        <w:pStyle w:val="80"/>
        <w:autoSpaceDN w:val="0"/>
        <w:snapToGrid w:val="0"/>
        <w:spacing w:line="360" w:lineRule="auto"/>
        <w:ind w:firstLine="480"/>
        <w:jc w:val="center"/>
        <w:rPr>
          <w:rFonts w:ascii="宋体" w:hAnsi="宋体" w:cs="宋体"/>
        </w:rPr>
      </w:pPr>
    </w:p>
    <w:p>
      <w:pPr>
        <w:adjustRightInd w:val="0"/>
        <w:snapToGrid w:val="0"/>
        <w:ind w:firstLine="523" w:firstLineChars="218"/>
        <w:rPr>
          <w:rFonts w:ascii="宋体" w:hAnsi="宋体" w:cs="宋体"/>
          <w:sz w:val="24"/>
          <w:szCs w:val="20"/>
        </w:rPr>
      </w:pPr>
      <w:r>
        <w:rPr>
          <w:rFonts w:hint="eastAsia" w:ascii="宋体" w:hAnsi="宋体" w:cs="宋体"/>
          <w:kern w:val="0"/>
          <w:sz w:val="24"/>
        </w:rPr>
        <w:t>单位名称</w:t>
      </w:r>
      <w:r>
        <w:rPr>
          <w:rFonts w:hint="eastAsia" w:ascii="宋体" w:hAnsi="宋体" w:cs="宋体"/>
          <w:sz w:val="24"/>
          <w:szCs w:val="20"/>
        </w:rPr>
        <w:t>（公章）：</w:t>
      </w:r>
    </w:p>
    <w:p>
      <w:pPr>
        <w:widowControl/>
        <w:ind w:firstLine="420"/>
        <w:rPr>
          <w:rFonts w:ascii="宋体" w:hAnsi="宋体" w:cs="宋体"/>
          <w:kern w:val="0"/>
          <w:szCs w:val="21"/>
        </w:rPr>
      </w:pPr>
      <w:r>
        <w:rPr>
          <w:rFonts w:hint="eastAsia" w:ascii="宋体" w:hAnsi="宋体" w:cs="宋体"/>
          <w:kern w:val="0"/>
          <w:szCs w:val="21"/>
        </w:rPr>
        <w:t xml:space="preserve"> </w:t>
      </w:r>
    </w:p>
    <w:p>
      <w:pPr>
        <w:widowControl/>
        <w:spacing w:line="432" w:lineRule="auto"/>
        <w:ind w:firstLine="450"/>
        <w:rPr>
          <w:rFonts w:ascii="宋体" w:hAnsi="宋体" w:cs="宋体"/>
          <w:kern w:val="0"/>
          <w:sz w:val="24"/>
        </w:rPr>
      </w:pPr>
      <w:r>
        <w:rPr>
          <w:rFonts w:hint="eastAsia" w:ascii="宋体" w:hAnsi="宋体" w:cs="宋体"/>
          <w:kern w:val="0"/>
          <w:sz w:val="24"/>
        </w:rPr>
        <w:t>日   期：</w:t>
      </w:r>
    </w:p>
    <w:p>
      <w:pPr>
        <w:tabs>
          <w:tab w:val="left" w:pos="432"/>
        </w:tabs>
        <w:jc w:val="center"/>
        <w:rPr>
          <w:rFonts w:ascii="宋体" w:hAnsi="宋体" w:cs="宋体"/>
          <w:b/>
          <w:bCs/>
          <w:sz w:val="24"/>
        </w:rPr>
      </w:pPr>
      <w:bookmarkStart w:id="1857" w:name="_Toc13021"/>
      <w:bookmarkStart w:id="1858" w:name="_Toc14982"/>
      <w:bookmarkStart w:id="1859" w:name="_Toc29672"/>
      <w:bookmarkStart w:id="1860" w:name="_Toc19193"/>
      <w:bookmarkStart w:id="1861" w:name="_Toc15318"/>
      <w:bookmarkStart w:id="1862" w:name="_Toc13454"/>
      <w:bookmarkStart w:id="1863" w:name="_Toc11779"/>
      <w:r>
        <w:rPr>
          <w:rFonts w:hint="eastAsia" w:ascii="宋体" w:hAnsi="宋体" w:cs="宋体"/>
          <w:kern w:val="0"/>
          <w:sz w:val="24"/>
        </w:rPr>
        <w:br w:type="page"/>
      </w:r>
      <w:r>
        <w:rPr>
          <w:rFonts w:hint="eastAsia" w:ascii="宋体" w:hAnsi="宋体" w:cs="宋体"/>
          <w:b/>
          <w:bCs/>
          <w:sz w:val="24"/>
        </w:rPr>
        <w:t>3、承 诺 书</w:t>
      </w:r>
      <w:bookmarkEnd w:id="1857"/>
      <w:bookmarkEnd w:id="1858"/>
      <w:bookmarkEnd w:id="1859"/>
      <w:bookmarkEnd w:id="1860"/>
      <w:bookmarkEnd w:id="1861"/>
      <w:bookmarkEnd w:id="1862"/>
      <w:bookmarkEnd w:id="1863"/>
    </w:p>
    <w:p>
      <w:pPr>
        <w:spacing w:line="6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w:t>
      </w:r>
    </w:p>
    <w:p>
      <w:pPr>
        <w:spacing w:line="600" w:lineRule="exact"/>
        <w:ind w:firstLine="480" w:firstLineChars="200"/>
        <w:rPr>
          <w:rFonts w:ascii="宋体" w:hAnsi="宋体" w:cs="宋体"/>
          <w:sz w:val="24"/>
        </w:rPr>
      </w:pPr>
      <w:r>
        <w:rPr>
          <w:rFonts w:hint="eastAsia" w:ascii="宋体" w:hAnsi="宋体" w:cs="宋体"/>
          <w:sz w:val="24"/>
        </w:rPr>
        <w:t>为做好</w:t>
      </w:r>
      <w:r>
        <w:rPr>
          <w:rFonts w:hint="eastAsia" w:ascii="宋体" w:hAnsi="宋体" w:cs="宋体"/>
          <w:sz w:val="24"/>
          <w:u w:val="single"/>
        </w:rPr>
        <w:t xml:space="preserve">                       </w:t>
      </w:r>
      <w:r>
        <w:rPr>
          <w:rFonts w:hint="eastAsia" w:ascii="宋体" w:hAnsi="宋体" w:cs="宋体"/>
          <w:sz w:val="24"/>
        </w:rPr>
        <w:t>项目，履行疫情防控企业主体责任，严格落实复产复工要求，我公司郑重承诺如下：</w:t>
      </w:r>
    </w:p>
    <w:p>
      <w:pPr>
        <w:spacing w:line="600" w:lineRule="exact"/>
        <w:ind w:firstLine="480" w:firstLineChars="200"/>
        <w:rPr>
          <w:rFonts w:ascii="宋体" w:hAnsi="宋体" w:cs="宋体"/>
          <w:sz w:val="24"/>
        </w:rPr>
      </w:pPr>
      <w:r>
        <w:rPr>
          <w:rFonts w:hint="eastAsia" w:ascii="宋体" w:hAnsi="宋体" w:cs="宋体"/>
          <w:sz w:val="24"/>
        </w:rPr>
        <w:t>一、认真贯彻落实省市县（区）关于疫情防控安排部署及工作提醒，组织开展教育培训，切实增强全体员工责任意识和安全意识。</w:t>
      </w:r>
    </w:p>
    <w:p>
      <w:pPr>
        <w:spacing w:line="600" w:lineRule="exact"/>
        <w:ind w:firstLine="480" w:firstLineChars="200"/>
        <w:rPr>
          <w:rFonts w:ascii="宋体" w:hAnsi="宋体" w:cs="宋体"/>
          <w:sz w:val="24"/>
        </w:rPr>
      </w:pPr>
      <w:r>
        <w:rPr>
          <w:rFonts w:hint="eastAsia" w:ascii="宋体" w:hAnsi="宋体" w:cs="宋体"/>
          <w:sz w:val="24"/>
        </w:rPr>
        <w:t>二、成立以主要负责人任组长的防疫领导机构，制定防疫工作方案，完善疫情防控工作机制，确保防控工作全覆盖无盲区。</w:t>
      </w:r>
    </w:p>
    <w:p>
      <w:pPr>
        <w:spacing w:line="600" w:lineRule="exact"/>
        <w:ind w:firstLine="480" w:firstLineChars="200"/>
        <w:rPr>
          <w:rFonts w:ascii="宋体" w:hAnsi="宋体" w:cs="宋体"/>
          <w:sz w:val="24"/>
        </w:rPr>
      </w:pPr>
      <w:r>
        <w:rPr>
          <w:rFonts w:hint="eastAsia" w:ascii="宋体" w:hAnsi="宋体" w:cs="宋体"/>
          <w:sz w:val="24"/>
        </w:rPr>
        <w:t>三、切实遵守一测一扫一查两戴，即测体温、扫龙江健康码、戴好口罩和手套，均经新冠病毒核酸检测阴性。按时依规做好自检工作，及时监控复工人员体温及身体状况，确保无发热、干咳、胸闷等新冠肺炎症状。</w:t>
      </w:r>
    </w:p>
    <w:p>
      <w:pPr>
        <w:spacing w:line="600" w:lineRule="exact"/>
        <w:ind w:firstLine="480" w:firstLineChars="200"/>
        <w:rPr>
          <w:rFonts w:ascii="宋体" w:hAnsi="宋体" w:cs="宋体"/>
          <w:sz w:val="24"/>
        </w:rPr>
      </w:pPr>
      <w:r>
        <w:rPr>
          <w:rFonts w:hint="eastAsia" w:ascii="宋体" w:hAnsi="宋体" w:cs="宋体"/>
          <w:sz w:val="24"/>
        </w:rPr>
        <w:t>四、参与复工人员均身体健康，14天内无疫区旅居史，无与确诊病例、疑似病例密切接触史。</w:t>
      </w:r>
    </w:p>
    <w:p>
      <w:pPr>
        <w:spacing w:line="600" w:lineRule="exact"/>
        <w:ind w:firstLine="480" w:firstLineChars="200"/>
        <w:rPr>
          <w:rFonts w:ascii="宋体" w:hAnsi="宋体" w:cs="宋体"/>
          <w:sz w:val="24"/>
        </w:rPr>
      </w:pPr>
      <w:r>
        <w:rPr>
          <w:rFonts w:hint="eastAsia" w:ascii="宋体" w:hAnsi="宋体" w:cs="宋体"/>
          <w:sz w:val="24"/>
        </w:rPr>
        <w:t>我公司保证所承诺内容真实有效，如因承诺信息不实引起疫情传播和扩散，愿承担由此带来的全部法律责任。</w:t>
      </w:r>
    </w:p>
    <w:p>
      <w:pPr>
        <w:spacing w:line="600" w:lineRule="exact"/>
        <w:jc w:val="right"/>
        <w:rPr>
          <w:rFonts w:ascii="宋体" w:hAnsi="宋体" w:cs="宋体"/>
          <w:sz w:val="24"/>
        </w:rPr>
      </w:pPr>
    </w:p>
    <w:p>
      <w:pPr>
        <w:spacing w:line="600" w:lineRule="exact"/>
        <w:jc w:val="right"/>
        <w:rPr>
          <w:rFonts w:ascii="宋体" w:hAnsi="宋体" w:cs="宋体"/>
          <w:sz w:val="24"/>
        </w:rPr>
      </w:pPr>
    </w:p>
    <w:p>
      <w:pPr>
        <w:wordWrap w:val="0"/>
        <w:spacing w:line="600" w:lineRule="exact"/>
        <w:jc w:val="right"/>
        <w:rPr>
          <w:rFonts w:ascii="宋体" w:hAnsi="宋体" w:cs="宋体"/>
          <w:sz w:val="24"/>
        </w:rPr>
      </w:pPr>
      <w:r>
        <w:rPr>
          <w:rFonts w:hint="eastAsia" w:ascii="宋体" w:hAnsi="宋体" w:cs="宋体"/>
          <w:sz w:val="24"/>
        </w:rPr>
        <w:t xml:space="preserve">单位名称（公章）：                       </w:t>
      </w:r>
    </w:p>
    <w:p>
      <w:pPr>
        <w:wordWrap w:val="0"/>
        <w:spacing w:line="600" w:lineRule="exact"/>
        <w:jc w:val="right"/>
        <w:rPr>
          <w:rFonts w:ascii="宋体" w:hAnsi="宋体" w:cs="宋体"/>
          <w:sz w:val="24"/>
        </w:rPr>
      </w:pPr>
      <w:r>
        <w:rPr>
          <w:rFonts w:hint="eastAsia" w:ascii="宋体" w:hAnsi="宋体" w:cs="宋体"/>
          <w:sz w:val="24"/>
        </w:rPr>
        <w:t xml:space="preserve">年    月    日        </w:t>
      </w:r>
    </w:p>
    <w:p>
      <w:pPr>
        <w:widowControl/>
        <w:spacing w:line="432" w:lineRule="auto"/>
        <w:rPr>
          <w:rFonts w:ascii="宋体" w:hAnsi="宋体" w:cs="宋体"/>
          <w:kern w:val="0"/>
          <w:sz w:val="24"/>
        </w:rPr>
      </w:pPr>
    </w:p>
    <w:sectPr>
      <w:pgSz w:w="11907" w:h="16840"/>
      <w:pgMar w:top="1417" w:right="1701" w:bottom="1417"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长城楷体">
    <w:altName w:val="黑体"/>
    <w:panose1 w:val="00000000000000000000"/>
    <w:charset w:val="86"/>
    <w:family w:val="modern"/>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黑龙江省北通建筑工程管理咨询有限公司</w:t>
    </w:r>
    <w:r>
      <w:pict>
        <v:shape id="文本框 2081" o:spid="_x0000_s2049"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sz w:val="19"/>
        <w:szCs w:val="19"/>
      </w:rPr>
      <w:t>黑龙江省北通建筑工程管理咨询有限公司</w:t>
    </w:r>
    <w:r>
      <w:pict>
        <v:shape id="文本框 2082" o:spid="_x0000_s2050"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sz w:val="16"/>
        <w:szCs w:val="16"/>
      </w:rPr>
    </w:pPr>
    <w:r>
      <w:rPr>
        <w:rFonts w:hint="eastAsia"/>
        <w:sz w:val="16"/>
        <w:szCs w:val="16"/>
      </w:rPr>
      <w:t>黑龙江省北通建筑工程管理咨询有限公司</w:t>
    </w:r>
    <w:r>
      <w:rPr>
        <w:sz w:val="16"/>
      </w:rPr>
      <w:pict>
        <v:shape id="文本框 2070"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黑龙江省北通建筑工程管理咨询有限公司</w:t>
    </w:r>
    <w:r>
      <w:pict>
        <v:shape id="文本框 2071"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黑龙江省北通建筑工程管理咨询有限公司</w:t>
    </w:r>
    <w:r>
      <w:pict>
        <v:shape id="文本框 2085" o:spid="_x0000_s205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4"/>
      </w:rPr>
    </w:pPr>
    <w:r>
      <w:fldChar w:fldCharType="begin"/>
    </w:r>
    <w:r>
      <w:rPr>
        <w:rStyle w:val="44"/>
      </w:rPr>
      <w:instrText xml:space="preserve">PAGE  </w:instrText>
    </w:r>
    <w: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黑龙江省北通建筑工程管理咨询有限公司</w:t>
    </w:r>
    <w:r>
      <w:pict>
        <v:shape id="文本框 2072" o:spid="_x0000_s205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rPr>
                    <w:rFonts w:hint="eastAsia"/>
                  </w:rPr>
                  <w:t>28</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sz w:val="19"/>
        <w:szCs w:val="19"/>
      </w:rPr>
    </w:pPr>
    <w:r>
      <w:rPr>
        <w:rFonts w:hint="eastAsia"/>
      </w:rPr>
      <w:t>黑龙江省北通建筑工程管理咨询有限公司</w:t>
    </w:r>
    <w:r>
      <w:rPr>
        <w:sz w:val="19"/>
      </w:rPr>
      <w:pict>
        <v:shape id="文本框 2073" o:spid="_x0000_s205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sz w:val="16"/>
        <w:szCs w:val="16"/>
      </w:rPr>
    </w:pPr>
    <w:r>
      <w:rPr>
        <w:rFonts w:hint="eastAsia"/>
      </w:rPr>
      <w:t>黑龙江省北通建筑工程管理咨询有限公司</w:t>
    </w:r>
    <w:r>
      <w:rPr>
        <w:sz w:val="16"/>
      </w:rPr>
      <w:pict>
        <v:shape id="文本框 2074" o:spid="_x0000_s205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hint="eastAsia"/>
      </w:rPr>
      <w:t>省卫健委消防维修改造项目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hint="eastAsia"/>
        <w:sz w:val="19"/>
        <w:szCs w:val="19"/>
      </w:rPr>
      <w:t>省卫健委消防维修改造项目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sz w:val="20"/>
        <w:szCs w:val="20"/>
      </w:rPr>
    </w:pPr>
    <w:r>
      <w:rPr>
        <w:rFonts w:hint="eastAsia"/>
      </w:rPr>
      <w:t>省卫健委消防维修改造项目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rPr>
        <w:sz w:val="19"/>
        <w:szCs w:val="19"/>
      </w:rPr>
    </w:pPr>
    <w:r>
      <w:rPr>
        <w:rFonts w:hint="eastAsia"/>
      </w:rPr>
      <w:t>省卫健委消防维修改造项目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5C3331"/>
    <w:multiLevelType w:val="singleLevel"/>
    <w:tmpl w:val="B35C3331"/>
    <w:lvl w:ilvl="0" w:tentative="0">
      <w:start w:val="1"/>
      <w:numFmt w:val="decimal"/>
      <w:suff w:val="nothing"/>
      <w:lvlText w:val="（%1）"/>
      <w:lvlJc w:val="left"/>
    </w:lvl>
  </w:abstractNum>
  <w:abstractNum w:abstractNumId="1">
    <w:nsid w:val="C4B0DBF1"/>
    <w:multiLevelType w:val="singleLevel"/>
    <w:tmpl w:val="C4B0DBF1"/>
    <w:lvl w:ilvl="0" w:tentative="0">
      <w:start w:val="5"/>
      <w:numFmt w:val="chineseCounting"/>
      <w:suff w:val="space"/>
      <w:lvlText w:val="第%1部分"/>
      <w:lvlJc w:val="left"/>
      <w:rPr>
        <w:rFonts w:hint="eastAsia"/>
      </w:rPr>
    </w:lvl>
  </w:abstractNum>
  <w:abstractNum w:abstractNumId="2">
    <w:nsid w:val="C76FD9BB"/>
    <w:multiLevelType w:val="singleLevel"/>
    <w:tmpl w:val="C76FD9BB"/>
    <w:lvl w:ilvl="0" w:tentative="0">
      <w:start w:val="1"/>
      <w:numFmt w:val="decimal"/>
      <w:suff w:val="nothing"/>
      <w:lvlText w:val="（%1）"/>
      <w:lvlJc w:val="left"/>
    </w:lvl>
  </w:abstractNum>
  <w:abstractNum w:abstractNumId="3">
    <w:nsid w:val="DCEDE78D"/>
    <w:multiLevelType w:val="singleLevel"/>
    <w:tmpl w:val="DCEDE78D"/>
    <w:lvl w:ilvl="0" w:tentative="0">
      <w:start w:val="4"/>
      <w:numFmt w:val="decimal"/>
      <w:suff w:val="nothing"/>
      <w:lvlText w:val="（%1）"/>
      <w:lvlJc w:val="left"/>
    </w:lvl>
  </w:abstractNum>
  <w:abstractNum w:abstractNumId="4">
    <w:nsid w:val="E998A59B"/>
    <w:multiLevelType w:val="singleLevel"/>
    <w:tmpl w:val="E998A59B"/>
    <w:lvl w:ilvl="0" w:tentative="0">
      <w:start w:val="1"/>
      <w:numFmt w:val="decimal"/>
      <w:suff w:val="nothing"/>
      <w:lvlText w:val="%1、"/>
      <w:lvlJc w:val="left"/>
    </w:lvl>
  </w:abstractNum>
  <w:abstractNum w:abstractNumId="5">
    <w:nsid w:val="0705061E"/>
    <w:multiLevelType w:val="multilevel"/>
    <w:tmpl w:val="0705061E"/>
    <w:lvl w:ilvl="0" w:tentative="0">
      <w:start w:val="1"/>
      <w:numFmt w:val="decimal"/>
      <w:pStyle w:val="3"/>
      <w:lvlText w:val="%1"/>
      <w:lvlJc w:val="left"/>
      <w:pPr>
        <w:tabs>
          <w:tab w:val="left" w:pos="432"/>
        </w:tabs>
        <w:ind w:left="432" w:hanging="432"/>
      </w:pPr>
      <w:rPr>
        <w:rFonts w:hint="eastAsia"/>
      </w:rPr>
    </w:lvl>
    <w:lvl w:ilvl="1" w:tentative="0">
      <w:start w:val="1"/>
      <w:numFmt w:val="decimal"/>
      <w:pStyle w:val="2"/>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5"/>
      <w:lvlText w:val="%1.%2.%3.%4"/>
      <w:lvlJc w:val="left"/>
      <w:pPr>
        <w:tabs>
          <w:tab w:val="left" w:pos="1404"/>
        </w:tabs>
        <w:ind w:left="140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6">
    <w:nsid w:val="08537E73"/>
    <w:multiLevelType w:val="multilevel"/>
    <w:tmpl w:val="08537E73"/>
    <w:lvl w:ilvl="0" w:tentative="0">
      <w:start w:val="1"/>
      <w:numFmt w:val="decimal"/>
      <w:lvlText w:val="（%1）"/>
      <w:lvlJc w:val="left"/>
      <w:pPr>
        <w:tabs>
          <w:tab w:val="left" w:pos="1757"/>
        </w:tabs>
        <w:ind w:left="1757" w:hanging="10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A534D02"/>
    <w:multiLevelType w:val="multilevel"/>
    <w:tmpl w:val="0A534D02"/>
    <w:lvl w:ilvl="0" w:tentative="0">
      <w:start w:val="1"/>
      <w:numFmt w:val="decimal"/>
      <w:lvlText w:val="11.%1"/>
      <w:lvlJc w:val="left"/>
      <w:pPr>
        <w:tabs>
          <w:tab w:val="left" w:pos="624"/>
        </w:tabs>
        <w:ind w:left="624" w:hanging="62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0E245E0"/>
    <w:multiLevelType w:val="multilevel"/>
    <w:tmpl w:val="20E245E0"/>
    <w:lvl w:ilvl="0" w:tentative="0">
      <w:start w:val="1"/>
      <w:numFmt w:val="bullet"/>
      <w:pStyle w:val="134"/>
      <w:lvlText w:val=""/>
      <w:lvlJc w:val="left"/>
      <w:pPr>
        <w:tabs>
          <w:tab w:val="left" w:pos="2034"/>
        </w:tabs>
        <w:ind w:left="2034" w:hanging="283"/>
      </w:pPr>
      <w:rPr>
        <w:rFonts w:hint="default" w:ascii="Wingdings" w:hAnsi="Wingdings"/>
      </w:rPr>
    </w:lvl>
    <w:lvl w:ilvl="1" w:tentative="0">
      <w:start w:val="1"/>
      <w:numFmt w:val="bullet"/>
      <w:lvlText w:val="o"/>
      <w:lvlJc w:val="left"/>
      <w:pPr>
        <w:tabs>
          <w:tab w:val="left" w:pos="2340"/>
        </w:tabs>
        <w:ind w:left="2340" w:hanging="360"/>
      </w:pPr>
      <w:rPr>
        <w:rFonts w:hint="default" w:ascii="Courier New" w:hAnsi="Courier New" w:cs="Courier New"/>
      </w:rPr>
    </w:lvl>
    <w:lvl w:ilvl="2" w:tentative="0">
      <w:start w:val="1"/>
      <w:numFmt w:val="bullet"/>
      <w:pStyle w:val="131"/>
      <w:lvlText w:val=""/>
      <w:lvlJc w:val="left"/>
      <w:pPr>
        <w:tabs>
          <w:tab w:val="left" w:pos="3060"/>
        </w:tabs>
        <w:ind w:left="3060" w:hanging="360"/>
      </w:pPr>
      <w:rPr>
        <w:rFonts w:hint="default" w:ascii="Wingdings" w:hAnsi="Wingdings"/>
      </w:rPr>
    </w:lvl>
    <w:lvl w:ilvl="3" w:tentative="0">
      <w:start w:val="1"/>
      <w:numFmt w:val="bullet"/>
      <w:lvlText w:val=""/>
      <w:lvlJc w:val="left"/>
      <w:pPr>
        <w:tabs>
          <w:tab w:val="left" w:pos="3780"/>
        </w:tabs>
        <w:ind w:left="3780" w:hanging="360"/>
      </w:pPr>
      <w:rPr>
        <w:rFonts w:hint="default" w:ascii="Symbol" w:hAnsi="Symbol"/>
      </w:rPr>
    </w:lvl>
    <w:lvl w:ilvl="4" w:tentative="0">
      <w:start w:val="1"/>
      <w:numFmt w:val="bullet"/>
      <w:lvlText w:val="o"/>
      <w:lvlJc w:val="left"/>
      <w:pPr>
        <w:tabs>
          <w:tab w:val="left" w:pos="4500"/>
        </w:tabs>
        <w:ind w:left="4500" w:hanging="360"/>
      </w:pPr>
      <w:rPr>
        <w:rFonts w:hint="default" w:ascii="Courier New" w:hAnsi="Courier New" w:cs="Courier New"/>
      </w:rPr>
    </w:lvl>
    <w:lvl w:ilvl="5" w:tentative="0">
      <w:start w:val="1"/>
      <w:numFmt w:val="bullet"/>
      <w:lvlText w:val=""/>
      <w:lvlJc w:val="left"/>
      <w:pPr>
        <w:tabs>
          <w:tab w:val="left" w:pos="5220"/>
        </w:tabs>
        <w:ind w:left="5220" w:hanging="360"/>
      </w:pPr>
      <w:rPr>
        <w:rFonts w:hint="default" w:ascii="Wingdings" w:hAnsi="Wingdings"/>
      </w:rPr>
    </w:lvl>
    <w:lvl w:ilvl="6" w:tentative="0">
      <w:start w:val="1"/>
      <w:numFmt w:val="bullet"/>
      <w:lvlText w:val=""/>
      <w:lvlJc w:val="left"/>
      <w:pPr>
        <w:tabs>
          <w:tab w:val="left" w:pos="5940"/>
        </w:tabs>
        <w:ind w:left="5940" w:hanging="360"/>
      </w:pPr>
      <w:rPr>
        <w:rFonts w:hint="default" w:ascii="Symbol" w:hAnsi="Symbol"/>
      </w:rPr>
    </w:lvl>
    <w:lvl w:ilvl="7" w:tentative="0">
      <w:start w:val="1"/>
      <w:numFmt w:val="bullet"/>
      <w:lvlText w:val="o"/>
      <w:lvlJc w:val="left"/>
      <w:pPr>
        <w:tabs>
          <w:tab w:val="left" w:pos="6660"/>
        </w:tabs>
        <w:ind w:left="6660" w:hanging="360"/>
      </w:pPr>
      <w:rPr>
        <w:rFonts w:hint="default" w:ascii="Courier New" w:hAnsi="Courier New" w:cs="Courier New"/>
      </w:rPr>
    </w:lvl>
    <w:lvl w:ilvl="8" w:tentative="0">
      <w:start w:val="1"/>
      <w:numFmt w:val="bullet"/>
      <w:lvlText w:val=""/>
      <w:lvlJc w:val="left"/>
      <w:pPr>
        <w:tabs>
          <w:tab w:val="left" w:pos="7380"/>
        </w:tabs>
        <w:ind w:left="7380" w:hanging="360"/>
      </w:pPr>
      <w:rPr>
        <w:rFonts w:hint="default" w:ascii="Wingdings" w:hAnsi="Wingdings"/>
      </w:rPr>
    </w:lvl>
  </w:abstractNum>
  <w:abstractNum w:abstractNumId="9">
    <w:nsid w:val="55C04019"/>
    <w:multiLevelType w:val="singleLevel"/>
    <w:tmpl w:val="55C04019"/>
    <w:lvl w:ilvl="0" w:tentative="0">
      <w:start w:val="1"/>
      <w:numFmt w:val="decimal"/>
      <w:suff w:val="nothing"/>
      <w:lvlText w:val="%1、"/>
      <w:lvlJc w:val="left"/>
    </w:lvl>
  </w:abstractNum>
  <w:abstractNum w:abstractNumId="10">
    <w:nsid w:val="56303DB1"/>
    <w:multiLevelType w:val="singleLevel"/>
    <w:tmpl w:val="56303DB1"/>
    <w:lvl w:ilvl="0" w:tentative="0">
      <w:start w:val="6"/>
      <w:numFmt w:val="chineseCounting"/>
      <w:suff w:val="nothing"/>
      <w:lvlText w:val="%1、"/>
      <w:lvlJc w:val="left"/>
    </w:lvl>
  </w:abstractNum>
  <w:abstractNum w:abstractNumId="11">
    <w:nsid w:val="655BF31E"/>
    <w:multiLevelType w:val="singleLevel"/>
    <w:tmpl w:val="655BF31E"/>
    <w:lvl w:ilvl="0" w:tentative="0">
      <w:start w:val="1"/>
      <w:numFmt w:val="decimal"/>
      <w:suff w:val="nothing"/>
      <w:lvlText w:val="（%1）"/>
      <w:lvlJc w:val="left"/>
    </w:lvl>
  </w:abstractNum>
  <w:num w:numId="1">
    <w:abstractNumId w:val="5"/>
  </w:num>
  <w:num w:numId="2">
    <w:abstractNumId w:val="8"/>
  </w:num>
  <w:num w:numId="3">
    <w:abstractNumId w:val="0"/>
  </w:num>
  <w:num w:numId="4">
    <w:abstractNumId w:val="4"/>
  </w:num>
  <w:num w:numId="5">
    <w:abstractNumId w:val="11"/>
  </w:num>
  <w:num w:numId="6">
    <w:abstractNumId w:val="2"/>
  </w:num>
  <w:num w:numId="7">
    <w:abstractNumId w:val="7"/>
  </w:num>
  <w:num w:numId="8">
    <w:abstractNumId w:val="3"/>
  </w:num>
  <w:num w:numId="9">
    <w:abstractNumId w:val="10"/>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06863"/>
    <w:rsid w:val="00172A27"/>
    <w:rsid w:val="001A74B2"/>
    <w:rsid w:val="00833F23"/>
    <w:rsid w:val="00921C29"/>
    <w:rsid w:val="00B22B69"/>
    <w:rsid w:val="00BB61F1"/>
    <w:rsid w:val="00C06DF1"/>
    <w:rsid w:val="00F26047"/>
    <w:rsid w:val="0250319F"/>
    <w:rsid w:val="025D6ACA"/>
    <w:rsid w:val="02811B66"/>
    <w:rsid w:val="028561E3"/>
    <w:rsid w:val="035E7646"/>
    <w:rsid w:val="03645523"/>
    <w:rsid w:val="03921C2E"/>
    <w:rsid w:val="03D00085"/>
    <w:rsid w:val="046247FF"/>
    <w:rsid w:val="0494622F"/>
    <w:rsid w:val="052F67A6"/>
    <w:rsid w:val="05393BD2"/>
    <w:rsid w:val="05C439A4"/>
    <w:rsid w:val="06091ACE"/>
    <w:rsid w:val="068B2784"/>
    <w:rsid w:val="07E766B5"/>
    <w:rsid w:val="087F4D74"/>
    <w:rsid w:val="08A2517E"/>
    <w:rsid w:val="095401C3"/>
    <w:rsid w:val="0957742B"/>
    <w:rsid w:val="0971410C"/>
    <w:rsid w:val="0A3F4E84"/>
    <w:rsid w:val="0B201207"/>
    <w:rsid w:val="0B9D04EA"/>
    <w:rsid w:val="0BC0395A"/>
    <w:rsid w:val="0C461455"/>
    <w:rsid w:val="0D6D0371"/>
    <w:rsid w:val="0E4B4D31"/>
    <w:rsid w:val="0EFB3E6D"/>
    <w:rsid w:val="0F171161"/>
    <w:rsid w:val="0F3859E0"/>
    <w:rsid w:val="100749EA"/>
    <w:rsid w:val="106A5C9A"/>
    <w:rsid w:val="10C26DD4"/>
    <w:rsid w:val="111D3341"/>
    <w:rsid w:val="11CF57C4"/>
    <w:rsid w:val="11ED5E51"/>
    <w:rsid w:val="11F20FDF"/>
    <w:rsid w:val="122C1C97"/>
    <w:rsid w:val="128C6CF5"/>
    <w:rsid w:val="1360029E"/>
    <w:rsid w:val="138A79B8"/>
    <w:rsid w:val="13D25B19"/>
    <w:rsid w:val="13F86F0C"/>
    <w:rsid w:val="160A5A77"/>
    <w:rsid w:val="16A95A26"/>
    <w:rsid w:val="16E17980"/>
    <w:rsid w:val="17A3296E"/>
    <w:rsid w:val="1AC26E36"/>
    <w:rsid w:val="1AEA29D0"/>
    <w:rsid w:val="1B0764E2"/>
    <w:rsid w:val="1B853591"/>
    <w:rsid w:val="1CB85182"/>
    <w:rsid w:val="1DC310C1"/>
    <w:rsid w:val="1E20255A"/>
    <w:rsid w:val="1E92022B"/>
    <w:rsid w:val="20F1580E"/>
    <w:rsid w:val="21A5190F"/>
    <w:rsid w:val="2221351E"/>
    <w:rsid w:val="23242D08"/>
    <w:rsid w:val="23A06868"/>
    <w:rsid w:val="244F70BD"/>
    <w:rsid w:val="24554EE2"/>
    <w:rsid w:val="24971EC8"/>
    <w:rsid w:val="24EC24D0"/>
    <w:rsid w:val="251240EC"/>
    <w:rsid w:val="251B1561"/>
    <w:rsid w:val="25336D8A"/>
    <w:rsid w:val="26C22643"/>
    <w:rsid w:val="27324B7A"/>
    <w:rsid w:val="274952DA"/>
    <w:rsid w:val="27DB46F9"/>
    <w:rsid w:val="27E426B6"/>
    <w:rsid w:val="27F35F80"/>
    <w:rsid w:val="27F475A2"/>
    <w:rsid w:val="28484977"/>
    <w:rsid w:val="28600B52"/>
    <w:rsid w:val="29245462"/>
    <w:rsid w:val="298402A0"/>
    <w:rsid w:val="298E7377"/>
    <w:rsid w:val="2A1A6B08"/>
    <w:rsid w:val="2AFD417D"/>
    <w:rsid w:val="2B103BE3"/>
    <w:rsid w:val="2B2E172A"/>
    <w:rsid w:val="2B592D84"/>
    <w:rsid w:val="2BD015DE"/>
    <w:rsid w:val="2BDE75BE"/>
    <w:rsid w:val="2C2036B9"/>
    <w:rsid w:val="2C6A68FD"/>
    <w:rsid w:val="2CC13868"/>
    <w:rsid w:val="2CE144D6"/>
    <w:rsid w:val="2DD932C1"/>
    <w:rsid w:val="2E256830"/>
    <w:rsid w:val="2F8460C4"/>
    <w:rsid w:val="2F8B03F4"/>
    <w:rsid w:val="2FC51CEF"/>
    <w:rsid w:val="30787FF3"/>
    <w:rsid w:val="3104749B"/>
    <w:rsid w:val="313A7ED7"/>
    <w:rsid w:val="327E7A4A"/>
    <w:rsid w:val="32822B0A"/>
    <w:rsid w:val="336916CA"/>
    <w:rsid w:val="34C921D5"/>
    <w:rsid w:val="35024E7D"/>
    <w:rsid w:val="354E32FD"/>
    <w:rsid w:val="357A4B34"/>
    <w:rsid w:val="36003712"/>
    <w:rsid w:val="37046949"/>
    <w:rsid w:val="379A15C9"/>
    <w:rsid w:val="38156874"/>
    <w:rsid w:val="3858329B"/>
    <w:rsid w:val="38E01388"/>
    <w:rsid w:val="38F40856"/>
    <w:rsid w:val="39013D0C"/>
    <w:rsid w:val="397530D9"/>
    <w:rsid w:val="39F21F2A"/>
    <w:rsid w:val="3B096677"/>
    <w:rsid w:val="3B2A0EEF"/>
    <w:rsid w:val="3B8723BF"/>
    <w:rsid w:val="3C054DCF"/>
    <w:rsid w:val="3C0C0DC5"/>
    <w:rsid w:val="3D4F5F56"/>
    <w:rsid w:val="3D636234"/>
    <w:rsid w:val="3D91641D"/>
    <w:rsid w:val="3DA81862"/>
    <w:rsid w:val="3DDF3892"/>
    <w:rsid w:val="3E2D25D9"/>
    <w:rsid w:val="3EDA7F24"/>
    <w:rsid w:val="3F2E4D82"/>
    <w:rsid w:val="415A5327"/>
    <w:rsid w:val="41FB5FB8"/>
    <w:rsid w:val="441D63EA"/>
    <w:rsid w:val="444C7837"/>
    <w:rsid w:val="4452211C"/>
    <w:rsid w:val="473C72FE"/>
    <w:rsid w:val="47617DF9"/>
    <w:rsid w:val="47A33F6B"/>
    <w:rsid w:val="47EC757A"/>
    <w:rsid w:val="484E68EF"/>
    <w:rsid w:val="4895666A"/>
    <w:rsid w:val="499A4810"/>
    <w:rsid w:val="49C91DDB"/>
    <w:rsid w:val="4A072E45"/>
    <w:rsid w:val="4ABF2565"/>
    <w:rsid w:val="4B4C5BB3"/>
    <w:rsid w:val="4C387782"/>
    <w:rsid w:val="4CB940E2"/>
    <w:rsid w:val="4D544C34"/>
    <w:rsid w:val="4DB9498F"/>
    <w:rsid w:val="4E2315E8"/>
    <w:rsid w:val="4F3C20F7"/>
    <w:rsid w:val="4F6E0296"/>
    <w:rsid w:val="4FD1764D"/>
    <w:rsid w:val="4FFD46FD"/>
    <w:rsid w:val="5074394A"/>
    <w:rsid w:val="50A20BF8"/>
    <w:rsid w:val="50EE164A"/>
    <w:rsid w:val="51786D26"/>
    <w:rsid w:val="520D2A35"/>
    <w:rsid w:val="526344CA"/>
    <w:rsid w:val="54FA7FE6"/>
    <w:rsid w:val="55B215C0"/>
    <w:rsid w:val="55C178A4"/>
    <w:rsid w:val="56736BC3"/>
    <w:rsid w:val="57217DF9"/>
    <w:rsid w:val="57A600A3"/>
    <w:rsid w:val="57BA7C5A"/>
    <w:rsid w:val="57E75AD6"/>
    <w:rsid w:val="5874217A"/>
    <w:rsid w:val="58EF6275"/>
    <w:rsid w:val="597F7AF4"/>
    <w:rsid w:val="5A033415"/>
    <w:rsid w:val="5A8D7C01"/>
    <w:rsid w:val="5B1B1595"/>
    <w:rsid w:val="5BDC56A4"/>
    <w:rsid w:val="5C7F7097"/>
    <w:rsid w:val="5CDE20B9"/>
    <w:rsid w:val="5CF021EF"/>
    <w:rsid w:val="5D420138"/>
    <w:rsid w:val="5EF55A3D"/>
    <w:rsid w:val="5FDB04F6"/>
    <w:rsid w:val="60670238"/>
    <w:rsid w:val="60CD11EF"/>
    <w:rsid w:val="617A55CE"/>
    <w:rsid w:val="62012772"/>
    <w:rsid w:val="62135AE2"/>
    <w:rsid w:val="623A1C1B"/>
    <w:rsid w:val="630B6E44"/>
    <w:rsid w:val="63DC13CD"/>
    <w:rsid w:val="641C26EC"/>
    <w:rsid w:val="647C63BD"/>
    <w:rsid w:val="64EA6004"/>
    <w:rsid w:val="64ED5BFF"/>
    <w:rsid w:val="652C68E5"/>
    <w:rsid w:val="67BE7D61"/>
    <w:rsid w:val="67CF4440"/>
    <w:rsid w:val="680D5195"/>
    <w:rsid w:val="69D70ABB"/>
    <w:rsid w:val="6A2A4326"/>
    <w:rsid w:val="6B157297"/>
    <w:rsid w:val="6B3861AA"/>
    <w:rsid w:val="6BCD0DA6"/>
    <w:rsid w:val="6E792052"/>
    <w:rsid w:val="6E9516E7"/>
    <w:rsid w:val="6F746A97"/>
    <w:rsid w:val="716D1569"/>
    <w:rsid w:val="718409EB"/>
    <w:rsid w:val="71BA5E4E"/>
    <w:rsid w:val="71DD40B0"/>
    <w:rsid w:val="72755961"/>
    <w:rsid w:val="727C558C"/>
    <w:rsid w:val="72B868C0"/>
    <w:rsid w:val="72ED6D6D"/>
    <w:rsid w:val="739D2FE8"/>
    <w:rsid w:val="7454450D"/>
    <w:rsid w:val="74612AB7"/>
    <w:rsid w:val="74A071C1"/>
    <w:rsid w:val="74E61AF1"/>
    <w:rsid w:val="751B405E"/>
    <w:rsid w:val="751C1DF3"/>
    <w:rsid w:val="75D25F93"/>
    <w:rsid w:val="77327357"/>
    <w:rsid w:val="77412264"/>
    <w:rsid w:val="78D92AC6"/>
    <w:rsid w:val="78F34009"/>
    <w:rsid w:val="79BE3BE4"/>
    <w:rsid w:val="7A052767"/>
    <w:rsid w:val="7A083066"/>
    <w:rsid w:val="7A5E2F25"/>
    <w:rsid w:val="7A681F86"/>
    <w:rsid w:val="7AC00E74"/>
    <w:rsid w:val="7AD26CAC"/>
    <w:rsid w:val="7B461CFD"/>
    <w:rsid w:val="7BDE5018"/>
    <w:rsid w:val="7C116A80"/>
    <w:rsid w:val="7C4862A8"/>
    <w:rsid w:val="7CBB1459"/>
    <w:rsid w:val="7D073A3C"/>
    <w:rsid w:val="7D3A13CF"/>
    <w:rsid w:val="7DFF15BB"/>
    <w:rsid w:val="7E204931"/>
    <w:rsid w:val="7E4230CE"/>
    <w:rsid w:val="7E5F746B"/>
    <w:rsid w:val="7E681DCF"/>
    <w:rsid w:val="7F071152"/>
    <w:rsid w:val="7F1B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keepLines/>
      <w:numPr>
        <w:ilvl w:val="0"/>
        <w:numId w:val="1"/>
      </w:numPr>
      <w:spacing w:before="220" w:after="210"/>
      <w:outlineLvl w:val="0"/>
    </w:pPr>
    <w:rPr>
      <w:rFonts w:eastAsia="黑体"/>
      <w:b/>
      <w:bCs/>
      <w:kern w:val="44"/>
      <w:sz w:val="32"/>
      <w:szCs w:val="32"/>
    </w:rPr>
  </w:style>
  <w:style w:type="paragraph" w:styleId="2">
    <w:name w:val="heading 2"/>
    <w:basedOn w:val="1"/>
    <w:next w:val="1"/>
    <w:link w:val="50"/>
    <w:qFormat/>
    <w:uiPriority w:val="0"/>
    <w:pPr>
      <w:keepNext/>
      <w:keepLines/>
      <w:numPr>
        <w:ilvl w:val="1"/>
        <w:numId w:val="1"/>
      </w:numPr>
      <w:spacing w:before="260" w:after="260"/>
      <w:outlineLvl w:val="1"/>
    </w:pPr>
    <w:rPr>
      <w:rFonts w:ascii="Arial" w:hAnsi="Arial" w:eastAsia="黑体"/>
      <w:b/>
      <w:bCs/>
      <w:sz w:val="30"/>
      <w:szCs w:val="30"/>
    </w:rPr>
  </w:style>
  <w:style w:type="paragraph" w:styleId="4">
    <w:name w:val="heading 3"/>
    <w:basedOn w:val="1"/>
    <w:next w:val="1"/>
    <w:link w:val="52"/>
    <w:qFormat/>
    <w:uiPriority w:val="0"/>
    <w:pPr>
      <w:keepNext/>
      <w:keepLines/>
      <w:spacing w:before="260" w:after="260"/>
      <w:outlineLvl w:val="2"/>
    </w:pPr>
    <w:rPr>
      <w:rFonts w:eastAsia="黑体"/>
      <w:b/>
      <w:bCs/>
      <w:sz w:val="28"/>
      <w:szCs w:val="28"/>
    </w:rPr>
  </w:style>
  <w:style w:type="paragraph" w:styleId="5">
    <w:name w:val="heading 4"/>
    <w:basedOn w:val="1"/>
    <w:next w:val="1"/>
    <w:link w:val="53"/>
    <w:qFormat/>
    <w:uiPriority w:val="0"/>
    <w:pPr>
      <w:keepNext/>
      <w:keepLines/>
      <w:numPr>
        <w:ilvl w:val="3"/>
        <w:numId w:val="1"/>
      </w:numPr>
      <w:tabs>
        <w:tab w:val="left" w:pos="0"/>
        <w:tab w:val="clear" w:pos="1404"/>
      </w:tabs>
      <w:spacing w:before="280" w:after="290" w:line="376" w:lineRule="auto"/>
      <w:ind w:left="0" w:firstLine="0"/>
      <w:outlineLvl w:val="3"/>
    </w:pPr>
    <w:rPr>
      <w:rFonts w:ascii="Arial" w:hAnsi="Arial" w:eastAsia="黑体"/>
      <w:b/>
      <w:bCs/>
      <w:sz w:val="24"/>
    </w:rPr>
  </w:style>
  <w:style w:type="paragraph" w:styleId="6">
    <w:name w:val="heading 5"/>
    <w:basedOn w:val="1"/>
    <w:next w:val="1"/>
    <w:qFormat/>
    <w:uiPriority w:val="0"/>
    <w:pPr>
      <w:keepNext/>
      <w:keepLines/>
      <w:numPr>
        <w:ilvl w:val="4"/>
        <w:numId w:val="1"/>
      </w:numPr>
      <w:tabs>
        <w:tab w:val="left" w:pos="-142"/>
        <w:tab w:val="clear" w:pos="1008"/>
      </w:tabs>
      <w:spacing w:before="280" w:after="290" w:line="376" w:lineRule="auto"/>
      <w:ind w:left="0" w:firstLine="0"/>
      <w:outlineLvl w:val="4"/>
    </w:pPr>
    <w:rPr>
      <w:b/>
      <w:bCs/>
      <w:sz w:val="24"/>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pPr>
      <w:adjustRightInd/>
      <w:spacing w:line="240" w:lineRule="auto"/>
      <w:textAlignment w:val="auto"/>
    </w:pPr>
    <w:rPr>
      <w:b/>
      <w:bCs/>
      <w:kern w:val="2"/>
      <w:sz w:val="21"/>
    </w:rPr>
  </w:style>
  <w:style w:type="paragraph" w:styleId="12">
    <w:name w:val="annotation text"/>
    <w:basedOn w:val="1"/>
    <w:semiHidden/>
    <w:qFormat/>
    <w:uiPriority w:val="0"/>
    <w:pPr>
      <w:adjustRightInd w:val="0"/>
      <w:spacing w:line="360" w:lineRule="atLeast"/>
      <w:textAlignment w:val="baseline"/>
    </w:pPr>
    <w:rPr>
      <w:kern w:val="0"/>
      <w:sz w:val="24"/>
      <w:szCs w:val="20"/>
    </w:rPr>
  </w:style>
  <w:style w:type="paragraph" w:styleId="13">
    <w:name w:val="toc 7"/>
    <w:basedOn w:val="1"/>
    <w:next w:val="1"/>
    <w:semiHidden/>
    <w:qFormat/>
    <w:uiPriority w:val="0"/>
    <w:pPr>
      <w:spacing w:line="240" w:lineRule="auto"/>
      <w:ind w:left="2520"/>
      <w:jc w:val="both"/>
    </w:pPr>
    <w:rPr>
      <w:szCs w:val="20"/>
    </w:rPr>
  </w:style>
  <w:style w:type="paragraph" w:styleId="14">
    <w:name w:val="Body Text First Indent"/>
    <w:basedOn w:val="15"/>
    <w:unhideWhenUsed/>
    <w:qFormat/>
    <w:uiPriority w:val="99"/>
    <w:pPr>
      <w:ind w:firstLine="420" w:firstLineChars="100"/>
    </w:pPr>
  </w:style>
  <w:style w:type="paragraph" w:styleId="15">
    <w:name w:val="Body Text"/>
    <w:basedOn w:val="1"/>
    <w:next w:val="16"/>
    <w:link w:val="55"/>
    <w:qFormat/>
    <w:uiPriority w:val="0"/>
    <w:pPr>
      <w:spacing w:after="120" w:line="240" w:lineRule="auto"/>
      <w:jc w:val="both"/>
    </w:pPr>
    <w:rPr>
      <w:szCs w:val="20"/>
    </w:rPr>
  </w:style>
  <w:style w:type="paragraph" w:styleId="16">
    <w:name w:val="Date"/>
    <w:basedOn w:val="1"/>
    <w:next w:val="1"/>
    <w:qFormat/>
    <w:uiPriority w:val="0"/>
    <w:pPr>
      <w:spacing w:line="300" w:lineRule="auto"/>
      <w:ind w:left="100" w:leftChars="2500"/>
      <w:jc w:val="both"/>
    </w:pPr>
    <w:rPr>
      <w:rFonts w:ascii="宋体" w:hAnsi="宋体"/>
      <w:kern w:val="0"/>
    </w:rPr>
  </w:style>
  <w:style w:type="paragraph" w:styleId="17">
    <w:name w:val="table of authorities"/>
    <w:basedOn w:val="1"/>
    <w:next w:val="1"/>
    <w:qFormat/>
    <w:uiPriority w:val="0"/>
    <w:pPr>
      <w:ind w:left="420" w:leftChars="200"/>
    </w:pPr>
  </w:style>
  <w:style w:type="paragraph" w:styleId="18">
    <w:name w:val="Normal Indent"/>
    <w:basedOn w:val="1"/>
    <w:qFormat/>
    <w:uiPriority w:val="0"/>
    <w:pPr>
      <w:spacing w:line="240" w:lineRule="auto"/>
      <w:ind w:firstLine="420"/>
      <w:jc w:val="both"/>
    </w:pPr>
    <w:rPr>
      <w:szCs w:val="20"/>
    </w:rPr>
  </w:style>
  <w:style w:type="paragraph" w:styleId="19">
    <w:name w:val="Document Map"/>
    <w:basedOn w:val="1"/>
    <w:semiHidden/>
    <w:uiPriority w:val="0"/>
    <w:pPr>
      <w:shd w:val="clear" w:color="auto" w:fill="000080"/>
      <w:spacing w:line="240" w:lineRule="auto"/>
      <w:jc w:val="both"/>
    </w:pPr>
    <w:rPr>
      <w:szCs w:val="20"/>
    </w:rPr>
  </w:style>
  <w:style w:type="paragraph" w:styleId="20">
    <w:name w:val="Body Text 3"/>
    <w:basedOn w:val="1"/>
    <w:link w:val="54"/>
    <w:uiPriority w:val="0"/>
    <w:pPr>
      <w:spacing w:line="240" w:lineRule="auto"/>
      <w:jc w:val="center"/>
    </w:pPr>
    <w:rPr>
      <w:rFonts w:ascii="宋体" w:hAnsi="宋体"/>
      <w:b/>
      <w:color w:val="000000"/>
      <w:sz w:val="36"/>
      <w:szCs w:val="20"/>
    </w:rPr>
  </w:style>
  <w:style w:type="paragraph" w:styleId="21">
    <w:name w:val="Body Text Indent"/>
    <w:basedOn w:val="1"/>
    <w:qFormat/>
    <w:uiPriority w:val="0"/>
    <w:pPr>
      <w:tabs>
        <w:tab w:val="left" w:pos="8640"/>
      </w:tabs>
      <w:spacing w:line="240" w:lineRule="auto"/>
      <w:ind w:left="1365"/>
      <w:jc w:val="both"/>
    </w:pPr>
    <w:rPr>
      <w:szCs w:val="20"/>
    </w:rPr>
  </w:style>
  <w:style w:type="paragraph" w:styleId="22">
    <w:name w:val="index 4"/>
    <w:basedOn w:val="1"/>
    <w:next w:val="1"/>
    <w:qFormat/>
    <w:uiPriority w:val="99"/>
    <w:pPr>
      <w:ind w:left="600" w:leftChars="600"/>
    </w:pPr>
  </w:style>
  <w:style w:type="paragraph" w:styleId="23">
    <w:name w:val="toc 5"/>
    <w:basedOn w:val="1"/>
    <w:next w:val="1"/>
    <w:semiHidden/>
    <w:qFormat/>
    <w:uiPriority w:val="0"/>
    <w:pPr>
      <w:spacing w:line="240" w:lineRule="auto"/>
      <w:ind w:left="1680"/>
      <w:jc w:val="both"/>
    </w:pPr>
    <w:rPr>
      <w:szCs w:val="20"/>
    </w:rPr>
  </w:style>
  <w:style w:type="paragraph" w:styleId="24">
    <w:name w:val="toc 3"/>
    <w:basedOn w:val="1"/>
    <w:next w:val="1"/>
    <w:qFormat/>
    <w:uiPriority w:val="39"/>
    <w:pPr>
      <w:tabs>
        <w:tab w:val="right" w:leader="dot" w:pos="8588"/>
      </w:tabs>
      <w:spacing w:line="300" w:lineRule="auto"/>
      <w:ind w:left="839"/>
      <w:jc w:val="both"/>
    </w:pPr>
    <w:rPr>
      <w:rFonts w:ascii="Arial" w:hAnsi="Arial" w:cs="Arial"/>
      <w:bCs/>
      <w:sz w:val="24"/>
      <w:szCs w:val="21"/>
    </w:rPr>
  </w:style>
  <w:style w:type="paragraph" w:styleId="25">
    <w:name w:val="Plain Text"/>
    <w:basedOn w:val="1"/>
    <w:link w:val="56"/>
    <w:qFormat/>
    <w:uiPriority w:val="0"/>
    <w:pPr>
      <w:spacing w:line="240" w:lineRule="auto"/>
      <w:jc w:val="both"/>
    </w:pPr>
    <w:rPr>
      <w:rFonts w:ascii="宋体" w:hAnsi="Courier New" w:cs="Courier New"/>
      <w:szCs w:val="21"/>
    </w:rPr>
  </w:style>
  <w:style w:type="paragraph" w:styleId="26">
    <w:name w:val="toc 8"/>
    <w:basedOn w:val="1"/>
    <w:next w:val="1"/>
    <w:semiHidden/>
    <w:qFormat/>
    <w:uiPriority w:val="0"/>
    <w:pPr>
      <w:spacing w:line="240" w:lineRule="auto"/>
      <w:ind w:left="2940"/>
      <w:jc w:val="both"/>
    </w:pPr>
    <w:rPr>
      <w:szCs w:val="20"/>
    </w:rPr>
  </w:style>
  <w:style w:type="paragraph" w:styleId="27">
    <w:name w:val="Body Text Indent 2"/>
    <w:basedOn w:val="1"/>
    <w:qFormat/>
    <w:uiPriority w:val="0"/>
    <w:pPr>
      <w:spacing w:line="240" w:lineRule="auto"/>
      <w:ind w:left="1260"/>
      <w:jc w:val="both"/>
    </w:pPr>
    <w:rPr>
      <w:szCs w:val="20"/>
    </w:rPr>
  </w:style>
  <w:style w:type="paragraph" w:styleId="28">
    <w:name w:val="Balloon Text"/>
    <w:basedOn w:val="1"/>
    <w:semiHidden/>
    <w:qFormat/>
    <w:uiPriority w:val="0"/>
    <w:rPr>
      <w:sz w:val="18"/>
      <w:szCs w:val="18"/>
    </w:rPr>
  </w:style>
  <w:style w:type="paragraph" w:styleId="29">
    <w:name w:val="footer"/>
    <w:basedOn w:val="1"/>
    <w:qFormat/>
    <w:uiPriority w:val="0"/>
    <w:pPr>
      <w:tabs>
        <w:tab w:val="center" w:pos="4153"/>
        <w:tab w:val="right" w:pos="8306"/>
      </w:tabs>
      <w:snapToGrid w:val="0"/>
      <w:spacing w:line="240" w:lineRule="auto"/>
    </w:pPr>
    <w:rPr>
      <w:sz w:val="18"/>
      <w:szCs w:val="20"/>
    </w:rPr>
  </w:style>
  <w:style w:type="paragraph" w:styleId="30">
    <w:name w:val="Body Text First Indent 2"/>
    <w:basedOn w:val="21"/>
    <w:qFormat/>
    <w:uiPriority w:val="0"/>
    <w:pPr>
      <w:ind w:firstLine="420" w:firstLineChars="200"/>
    </w:pPr>
  </w:style>
  <w:style w:type="paragraph" w:styleId="31">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32">
    <w:name w:val="toc 1"/>
    <w:basedOn w:val="1"/>
    <w:next w:val="1"/>
    <w:qFormat/>
    <w:uiPriority w:val="39"/>
    <w:pPr>
      <w:tabs>
        <w:tab w:val="right" w:leader="dot" w:pos="8610"/>
      </w:tabs>
      <w:jc w:val="both"/>
    </w:pPr>
    <w:rPr>
      <w:b/>
      <w:sz w:val="24"/>
      <w:szCs w:val="20"/>
    </w:rPr>
  </w:style>
  <w:style w:type="paragraph" w:styleId="33">
    <w:name w:val="toc 4"/>
    <w:basedOn w:val="1"/>
    <w:next w:val="1"/>
    <w:semiHidden/>
    <w:qFormat/>
    <w:uiPriority w:val="0"/>
    <w:pPr>
      <w:tabs>
        <w:tab w:val="right" w:leader="dot" w:pos="8693"/>
      </w:tabs>
      <w:spacing w:line="240" w:lineRule="auto"/>
      <w:ind w:left="1260"/>
      <w:jc w:val="both"/>
    </w:pPr>
    <w:rPr>
      <w:rFonts w:cs="Arial"/>
      <w:b/>
      <w:bCs/>
      <w:sz w:val="24"/>
      <w:szCs w:val="28"/>
    </w:rPr>
  </w:style>
  <w:style w:type="paragraph" w:styleId="34">
    <w:name w:val="toc 6"/>
    <w:basedOn w:val="1"/>
    <w:next w:val="1"/>
    <w:semiHidden/>
    <w:qFormat/>
    <w:uiPriority w:val="0"/>
    <w:pPr>
      <w:spacing w:line="240" w:lineRule="auto"/>
      <w:ind w:left="2100"/>
      <w:jc w:val="both"/>
    </w:pPr>
    <w:rPr>
      <w:szCs w:val="20"/>
    </w:rPr>
  </w:style>
  <w:style w:type="paragraph" w:styleId="35">
    <w:name w:val="Body Text Indent 3"/>
    <w:basedOn w:val="1"/>
    <w:qFormat/>
    <w:uiPriority w:val="0"/>
    <w:pPr>
      <w:spacing w:line="240" w:lineRule="auto"/>
      <w:ind w:left="1260"/>
    </w:pPr>
    <w:rPr>
      <w:szCs w:val="20"/>
    </w:rPr>
  </w:style>
  <w:style w:type="paragraph" w:styleId="36">
    <w:name w:val="toc 2"/>
    <w:basedOn w:val="1"/>
    <w:next w:val="1"/>
    <w:qFormat/>
    <w:uiPriority w:val="39"/>
    <w:pPr>
      <w:tabs>
        <w:tab w:val="right" w:leader="dot" w:pos="8610"/>
      </w:tabs>
      <w:spacing w:line="300" w:lineRule="auto"/>
      <w:ind w:left="420"/>
      <w:jc w:val="both"/>
    </w:pPr>
    <w:rPr>
      <w:b/>
      <w:sz w:val="24"/>
      <w:szCs w:val="20"/>
    </w:rPr>
  </w:style>
  <w:style w:type="paragraph" w:styleId="37">
    <w:name w:val="toc 9"/>
    <w:basedOn w:val="1"/>
    <w:next w:val="1"/>
    <w:semiHidden/>
    <w:qFormat/>
    <w:uiPriority w:val="0"/>
    <w:pPr>
      <w:spacing w:line="240" w:lineRule="auto"/>
      <w:ind w:left="3360"/>
      <w:jc w:val="both"/>
    </w:pPr>
    <w:rPr>
      <w:szCs w:val="20"/>
    </w:rPr>
  </w:style>
  <w:style w:type="paragraph" w:styleId="38">
    <w:name w:val="Body Text 2"/>
    <w:basedOn w:val="1"/>
    <w:qFormat/>
    <w:uiPriority w:val="0"/>
    <w:pPr>
      <w:spacing w:after="120" w:line="480" w:lineRule="auto"/>
    </w:pPr>
  </w:style>
  <w:style w:type="paragraph" w:styleId="39">
    <w:name w:val="Message Header"/>
    <w:basedOn w:val="1"/>
    <w:next w:val="2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style>
  <w:style w:type="paragraph" w:styleId="40">
    <w:name w:val="Normal (Web)"/>
    <w:basedOn w:val="1"/>
    <w:qFormat/>
    <w:uiPriority w:val="0"/>
    <w:pPr>
      <w:widowControl/>
      <w:spacing w:before="100" w:beforeAutospacing="1" w:after="100" w:afterAutospacing="1" w:line="240" w:lineRule="auto"/>
    </w:pPr>
    <w:rPr>
      <w:rFonts w:ascii="宋体" w:hAnsi="宋体"/>
      <w:kern w:val="0"/>
      <w:sz w:val="24"/>
    </w:rPr>
  </w:style>
  <w:style w:type="paragraph" w:styleId="41">
    <w:name w:val="Title"/>
    <w:basedOn w:val="1"/>
    <w:qFormat/>
    <w:uiPriority w:val="0"/>
    <w:pPr>
      <w:adjustRightInd w:val="0"/>
      <w:spacing w:before="240" w:after="60" w:line="312" w:lineRule="atLeast"/>
      <w:jc w:val="center"/>
      <w:textAlignment w:val="baseline"/>
    </w:pPr>
    <w:rPr>
      <w:rFonts w:ascii="Arial" w:hAnsi="Arial"/>
      <w:b/>
      <w:kern w:val="28"/>
      <w:sz w:val="32"/>
      <w:szCs w:val="20"/>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0"/>
    <w:rPr>
      <w:color w:val="000000"/>
      <w:u w:val="none"/>
    </w:rPr>
  </w:style>
  <w:style w:type="character" w:styleId="46">
    <w:name w:val="Hyperlink"/>
    <w:basedOn w:val="42"/>
    <w:qFormat/>
    <w:uiPriority w:val="99"/>
    <w:rPr>
      <w:color w:val="000000"/>
      <w:u w:val="none"/>
    </w:rPr>
  </w:style>
  <w:style w:type="character" w:styleId="47">
    <w:name w:val="annotation reference"/>
    <w:basedOn w:val="42"/>
    <w:semiHidden/>
    <w:qFormat/>
    <w:uiPriority w:val="0"/>
    <w:rPr>
      <w:sz w:val="21"/>
      <w:szCs w:val="21"/>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0">
    <w:name w:val="标题 2 Char"/>
    <w:basedOn w:val="42"/>
    <w:link w:val="2"/>
    <w:qFormat/>
    <w:uiPriority w:val="0"/>
    <w:rPr>
      <w:rFonts w:ascii="Arial" w:hAnsi="Arial" w:eastAsia="黑体"/>
      <w:b/>
      <w:bCs/>
      <w:kern w:val="2"/>
      <w:sz w:val="30"/>
      <w:szCs w:val="30"/>
      <w:lang w:val="en-US" w:eastAsia="zh-CN" w:bidi="ar-SA"/>
    </w:rPr>
  </w:style>
  <w:style w:type="character" w:customStyle="1" w:styleId="51">
    <w:name w:val="标题 1 Char1"/>
    <w:basedOn w:val="42"/>
    <w:link w:val="3"/>
    <w:qFormat/>
    <w:uiPriority w:val="0"/>
    <w:rPr>
      <w:rFonts w:eastAsia="黑体"/>
      <w:b/>
      <w:bCs/>
      <w:kern w:val="44"/>
      <w:sz w:val="32"/>
      <w:szCs w:val="32"/>
      <w:lang w:val="en-US" w:eastAsia="zh-CN" w:bidi="ar-SA"/>
    </w:rPr>
  </w:style>
  <w:style w:type="character" w:customStyle="1" w:styleId="52">
    <w:name w:val="标题 3 Char"/>
    <w:basedOn w:val="42"/>
    <w:link w:val="4"/>
    <w:qFormat/>
    <w:uiPriority w:val="0"/>
    <w:rPr>
      <w:rFonts w:eastAsia="黑体"/>
      <w:b/>
      <w:bCs/>
      <w:kern w:val="2"/>
      <w:sz w:val="28"/>
      <w:szCs w:val="28"/>
      <w:lang w:val="en-US" w:eastAsia="zh-CN" w:bidi="ar-SA"/>
    </w:rPr>
  </w:style>
  <w:style w:type="character" w:customStyle="1" w:styleId="53">
    <w:name w:val="标题 4 Char"/>
    <w:basedOn w:val="42"/>
    <w:link w:val="5"/>
    <w:qFormat/>
    <w:uiPriority w:val="0"/>
    <w:rPr>
      <w:rFonts w:ascii="Arial" w:hAnsi="Arial" w:eastAsia="黑体"/>
      <w:b/>
      <w:bCs/>
      <w:kern w:val="2"/>
      <w:sz w:val="24"/>
      <w:szCs w:val="24"/>
      <w:lang w:val="en-US" w:eastAsia="zh-CN" w:bidi="ar-SA"/>
    </w:rPr>
  </w:style>
  <w:style w:type="character" w:customStyle="1" w:styleId="54">
    <w:name w:val="正文文本 3 Char"/>
    <w:basedOn w:val="42"/>
    <w:link w:val="20"/>
    <w:qFormat/>
    <w:uiPriority w:val="0"/>
    <w:rPr>
      <w:rFonts w:ascii="宋体" w:hAnsi="宋体" w:eastAsia="宋体"/>
      <w:b/>
      <w:color w:val="000000"/>
      <w:kern w:val="2"/>
      <w:sz w:val="36"/>
      <w:lang w:val="en-US" w:eastAsia="zh-CN" w:bidi="ar-SA"/>
    </w:rPr>
  </w:style>
  <w:style w:type="character" w:customStyle="1" w:styleId="55">
    <w:name w:val="正文文本 Char"/>
    <w:basedOn w:val="42"/>
    <w:link w:val="15"/>
    <w:qFormat/>
    <w:uiPriority w:val="0"/>
    <w:rPr>
      <w:rFonts w:eastAsia="宋体"/>
      <w:kern w:val="2"/>
      <w:sz w:val="21"/>
      <w:lang w:val="en-US" w:eastAsia="zh-CN" w:bidi="ar-SA"/>
    </w:rPr>
  </w:style>
  <w:style w:type="character" w:customStyle="1" w:styleId="56">
    <w:name w:val="纯文本 Char"/>
    <w:basedOn w:val="42"/>
    <w:link w:val="25"/>
    <w:qFormat/>
    <w:uiPriority w:val="0"/>
    <w:rPr>
      <w:rFonts w:ascii="宋体" w:hAnsi="Courier New" w:eastAsia="宋体" w:cs="Courier New"/>
      <w:kern w:val="2"/>
      <w:sz w:val="21"/>
      <w:szCs w:val="21"/>
      <w:lang w:val="en-US" w:eastAsia="zh-CN" w:bidi="ar-SA"/>
    </w:rPr>
  </w:style>
  <w:style w:type="character" w:customStyle="1" w:styleId="57">
    <w:name w:val="ca-2"/>
    <w:basedOn w:val="42"/>
    <w:qFormat/>
    <w:uiPriority w:val="0"/>
  </w:style>
  <w:style w:type="character" w:customStyle="1" w:styleId="58">
    <w:name w:val="style71"/>
    <w:basedOn w:val="42"/>
    <w:qFormat/>
    <w:uiPriority w:val="0"/>
    <w:rPr>
      <w:b/>
      <w:bCs/>
      <w:color w:val="06328A"/>
    </w:rPr>
  </w:style>
  <w:style w:type="character" w:customStyle="1" w:styleId="59">
    <w:name w:val="l151"/>
    <w:basedOn w:val="42"/>
    <w:qFormat/>
    <w:uiPriority w:val="0"/>
  </w:style>
  <w:style w:type="character" w:customStyle="1" w:styleId="60">
    <w:name w:val="font_notice2"/>
    <w:basedOn w:val="42"/>
    <w:qFormat/>
    <w:uiPriority w:val="0"/>
    <w:rPr>
      <w:color w:val="CC9999"/>
    </w:rPr>
  </w:style>
  <w:style w:type="character" w:customStyle="1" w:styleId="61">
    <w:name w:val="edui-clickable2"/>
    <w:basedOn w:val="42"/>
    <w:qFormat/>
    <w:uiPriority w:val="0"/>
    <w:rPr>
      <w:color w:val="0000FF"/>
      <w:u w:val="single"/>
    </w:rPr>
  </w:style>
  <w:style w:type="character" w:customStyle="1" w:styleId="62">
    <w:name w:val="用户正文1 Char"/>
    <w:basedOn w:val="42"/>
    <w:link w:val="63"/>
    <w:qFormat/>
    <w:uiPriority w:val="0"/>
    <w:rPr>
      <w:sz w:val="30"/>
      <w:lang w:val="en-US" w:eastAsia="zh-CN" w:bidi="ar-SA"/>
    </w:rPr>
  </w:style>
  <w:style w:type="paragraph" w:customStyle="1" w:styleId="63">
    <w:name w:val="用户正文1"/>
    <w:link w:val="62"/>
    <w:qFormat/>
    <w:uiPriority w:val="0"/>
    <w:pPr>
      <w:spacing w:line="360" w:lineRule="auto"/>
      <w:ind w:firstLine="573"/>
      <w:jc w:val="both"/>
      <w:textAlignment w:val="center"/>
    </w:pPr>
    <w:rPr>
      <w:rFonts w:ascii="Times New Roman" w:hAnsi="Times New Roman" w:eastAsia="宋体" w:cs="Times New Roman"/>
      <w:sz w:val="30"/>
      <w:lang w:val="en-US" w:eastAsia="zh-CN" w:bidi="ar-SA"/>
    </w:rPr>
  </w:style>
  <w:style w:type="character" w:customStyle="1" w:styleId="64">
    <w:name w:val="标书样式 Char"/>
    <w:basedOn w:val="42"/>
    <w:link w:val="65"/>
    <w:qFormat/>
    <w:uiPriority w:val="0"/>
    <w:rPr>
      <w:rFonts w:eastAsia="仿宋_GB2312"/>
      <w:kern w:val="2"/>
      <w:sz w:val="24"/>
      <w:szCs w:val="24"/>
      <w:lang w:bidi="ar-SA"/>
    </w:rPr>
  </w:style>
  <w:style w:type="paragraph" w:customStyle="1" w:styleId="65">
    <w:name w:val="标书样式"/>
    <w:basedOn w:val="1"/>
    <w:link w:val="64"/>
    <w:qFormat/>
    <w:uiPriority w:val="0"/>
    <w:pPr>
      <w:ind w:firstLine="480" w:firstLineChars="200"/>
      <w:jc w:val="both"/>
    </w:pPr>
    <w:rPr>
      <w:rFonts w:eastAsia="仿宋_GB2312"/>
      <w:sz w:val="24"/>
    </w:rPr>
  </w:style>
  <w:style w:type="character" w:customStyle="1" w:styleId="66">
    <w:name w:val="edui-unclickable"/>
    <w:basedOn w:val="42"/>
    <w:qFormat/>
    <w:uiPriority w:val="0"/>
    <w:rPr>
      <w:color w:val="808080"/>
    </w:rPr>
  </w:style>
  <w:style w:type="character" w:customStyle="1" w:styleId="67">
    <w:name w:val="bodytextnarrow1"/>
    <w:basedOn w:val="42"/>
    <w:qFormat/>
    <w:uiPriority w:val="0"/>
    <w:rPr>
      <w:rFonts w:hint="default" w:ascii="Arial" w:hAnsi="Arial" w:cs="Arial"/>
      <w:color w:val="606060"/>
      <w:sz w:val="20"/>
      <w:szCs w:val="20"/>
    </w:rPr>
  </w:style>
  <w:style w:type="character" w:customStyle="1" w:styleId="68">
    <w:name w:val="font_notice"/>
    <w:basedOn w:val="42"/>
    <w:qFormat/>
    <w:uiPriority w:val="0"/>
    <w:rPr>
      <w:color w:val="CC9999"/>
    </w:rPr>
  </w:style>
  <w:style w:type="character" w:customStyle="1" w:styleId="69">
    <w:name w:val="ca-4"/>
    <w:basedOn w:val="42"/>
    <w:qFormat/>
    <w:uiPriority w:val="0"/>
  </w:style>
  <w:style w:type="character" w:customStyle="1" w:styleId="70">
    <w:name w:val="ca-3"/>
    <w:basedOn w:val="42"/>
    <w:qFormat/>
    <w:uiPriority w:val="0"/>
  </w:style>
  <w:style w:type="character" w:customStyle="1" w:styleId="71">
    <w:name w:val="标题 1 Char"/>
    <w:basedOn w:val="42"/>
    <w:qFormat/>
    <w:uiPriority w:val="0"/>
    <w:rPr>
      <w:rFonts w:ascii="宋体" w:eastAsia="宋体"/>
      <w:b/>
      <w:kern w:val="44"/>
      <w:sz w:val="28"/>
      <w:szCs w:val="28"/>
      <w:lang w:val="en-US" w:eastAsia="zh-CN" w:bidi="ar-SA"/>
    </w:rPr>
  </w:style>
  <w:style w:type="paragraph" w:customStyle="1" w:styleId="72">
    <w:name w:val="bf1"/>
    <w:basedOn w:val="1"/>
    <w:qFormat/>
    <w:uiPriority w:val="0"/>
    <w:pPr>
      <w:autoSpaceDE w:val="0"/>
      <w:autoSpaceDN w:val="0"/>
      <w:adjustRightInd w:val="0"/>
      <w:spacing w:beforeLines="50" w:afterLines="50" w:line="240" w:lineRule="atLeast"/>
      <w:jc w:val="both"/>
    </w:pPr>
    <w:rPr>
      <w:rFonts w:ascii="Arial" w:hAnsi="Arial" w:cs="Arial"/>
      <w:b/>
      <w:color w:val="000000"/>
      <w:spacing w:val="10"/>
      <w:kern w:val="0"/>
      <w:sz w:val="30"/>
    </w:rPr>
  </w:style>
  <w:style w:type="paragraph" w:customStyle="1" w:styleId="73">
    <w:name w:val="表头"/>
    <w:basedOn w:val="1"/>
    <w:qFormat/>
    <w:uiPriority w:val="0"/>
    <w:pPr>
      <w:adjustRightInd w:val="0"/>
      <w:snapToGrid w:val="0"/>
      <w:spacing w:afterLines="50" w:line="240" w:lineRule="auto"/>
      <w:jc w:val="center"/>
    </w:pPr>
    <w:rPr>
      <w:rFonts w:ascii="宋体" w:hAnsi="宋体"/>
      <w:b/>
      <w:color w:val="000000"/>
      <w:kern w:val="0"/>
      <w:sz w:val="32"/>
      <w:szCs w:val="20"/>
    </w:rPr>
  </w:style>
  <w:style w:type="paragraph" w:customStyle="1" w:styleId="74">
    <w:name w:val="xl25"/>
    <w:basedOn w:val="1"/>
    <w:qFormat/>
    <w:uiPriority w:val="0"/>
    <w:pPr>
      <w:widowControl/>
      <w:pBdr>
        <w:bottom w:val="single" w:color="auto" w:sz="8" w:space="0"/>
        <w:right w:val="single" w:color="auto" w:sz="8" w:space="0"/>
      </w:pBdr>
      <w:shd w:val="clear" w:color="auto" w:fill="FFFF00"/>
      <w:spacing w:before="100" w:beforeAutospacing="1" w:after="100" w:afterAutospacing="1" w:line="240" w:lineRule="auto"/>
      <w:jc w:val="both"/>
    </w:pPr>
    <w:rPr>
      <w:rFonts w:ascii="宋体" w:hAnsi="宋体" w:cs="宋体"/>
      <w:kern w:val="0"/>
      <w:szCs w:val="21"/>
    </w:rPr>
  </w:style>
  <w:style w:type="paragraph" w:customStyle="1" w:styleId="75">
    <w:name w:val="xl36"/>
    <w:basedOn w:val="1"/>
    <w:qFormat/>
    <w:uiPriority w:val="0"/>
    <w:pPr>
      <w:widowControl/>
      <w:pBdr>
        <w:bottom w:val="single" w:color="auto" w:sz="8" w:space="0"/>
        <w:right w:val="single" w:color="auto" w:sz="8" w:space="0"/>
      </w:pBdr>
      <w:spacing w:before="100" w:beforeAutospacing="1" w:after="100" w:afterAutospacing="1" w:line="240" w:lineRule="auto"/>
      <w:jc w:val="center"/>
    </w:pPr>
    <w:rPr>
      <w:rFonts w:ascii="宋体" w:hAnsi="宋体" w:cs="宋体"/>
      <w:color w:val="FF00FF"/>
      <w:kern w:val="0"/>
      <w:szCs w:val="21"/>
    </w:rPr>
  </w:style>
  <w:style w:type="paragraph" w:customStyle="1" w:styleId="76">
    <w:name w:val="7"/>
    <w:basedOn w:val="1"/>
    <w:qFormat/>
    <w:uiPriority w:val="0"/>
    <w:pPr>
      <w:spacing w:line="240" w:lineRule="auto"/>
      <w:jc w:val="both"/>
    </w:pPr>
  </w:style>
  <w:style w:type="paragraph" w:customStyle="1" w:styleId="77">
    <w:name w:val="cde"/>
    <w:basedOn w:val="1"/>
    <w:qFormat/>
    <w:uiPriority w:val="0"/>
    <w:pPr>
      <w:jc w:val="center"/>
    </w:pPr>
    <w:rPr>
      <w:rFonts w:ascii="Arial" w:hAnsi="Arial"/>
      <w:b/>
      <w:sz w:val="28"/>
      <w:szCs w:val="20"/>
    </w:rPr>
  </w:style>
  <w:style w:type="paragraph" w:customStyle="1" w:styleId="78">
    <w:name w:val="xl59"/>
    <w:basedOn w:val="1"/>
    <w:qFormat/>
    <w:uiPriority w:val="0"/>
    <w:pPr>
      <w:widowControl/>
      <w:pBdr>
        <w:top w:val="single" w:color="auto" w:sz="8" w:space="0"/>
        <w:bottom w:val="single" w:color="auto" w:sz="8" w:space="0"/>
      </w:pBdr>
      <w:spacing w:before="100" w:beforeAutospacing="1" w:after="100" w:afterAutospacing="1" w:line="240" w:lineRule="auto"/>
      <w:jc w:val="center"/>
    </w:pPr>
    <w:rPr>
      <w:b/>
      <w:bCs/>
      <w:kern w:val="0"/>
      <w:szCs w:val="21"/>
    </w:rPr>
  </w:style>
  <w:style w:type="paragraph" w:customStyle="1" w:styleId="79">
    <w:name w:val="font14"/>
    <w:basedOn w:val="1"/>
    <w:qFormat/>
    <w:uiPriority w:val="0"/>
    <w:pPr>
      <w:widowControl/>
      <w:spacing w:before="100" w:beforeAutospacing="1" w:after="100" w:afterAutospacing="1" w:line="240" w:lineRule="auto"/>
    </w:pPr>
    <w:rPr>
      <w:kern w:val="0"/>
      <w:szCs w:val="21"/>
    </w:rPr>
  </w:style>
  <w:style w:type="paragraph" w:customStyle="1" w:styleId="80">
    <w:name w:val="p0"/>
    <w:basedOn w:val="1"/>
    <w:qFormat/>
    <w:uiPriority w:val="0"/>
    <w:pPr>
      <w:widowControl/>
      <w:spacing w:line="240" w:lineRule="auto"/>
      <w:jc w:val="both"/>
    </w:pPr>
    <w:rPr>
      <w:kern w:val="0"/>
      <w:szCs w:val="21"/>
    </w:rPr>
  </w:style>
  <w:style w:type="paragraph" w:customStyle="1" w:styleId="81">
    <w:name w:val="xl32"/>
    <w:basedOn w:val="1"/>
    <w:qFormat/>
    <w:uiPriority w:val="0"/>
    <w:pPr>
      <w:widowControl/>
      <w:pBdr>
        <w:top w:val="single" w:color="auto" w:sz="8" w:space="0"/>
        <w:left w:val="double" w:color="auto" w:sz="6" w:space="0"/>
        <w:bottom w:val="single" w:color="auto" w:sz="8" w:space="0"/>
      </w:pBdr>
      <w:spacing w:before="100" w:beforeAutospacing="1" w:after="100" w:afterAutospacing="1" w:line="240" w:lineRule="auto"/>
    </w:pPr>
    <w:rPr>
      <w:rFonts w:ascii="宋体" w:hAnsi="宋体" w:cs="宋体"/>
      <w:b/>
      <w:bCs/>
      <w:kern w:val="0"/>
      <w:szCs w:val="21"/>
    </w:rPr>
  </w:style>
  <w:style w:type="paragraph" w:customStyle="1" w:styleId="82">
    <w:name w:val="xl27"/>
    <w:basedOn w:val="1"/>
    <w:qFormat/>
    <w:uiPriority w:val="0"/>
    <w:pPr>
      <w:widowControl/>
      <w:pBdr>
        <w:bottom w:val="single" w:color="auto" w:sz="8" w:space="0"/>
        <w:right w:val="single" w:color="auto" w:sz="8" w:space="0"/>
      </w:pBdr>
      <w:spacing w:before="100" w:beforeAutospacing="1" w:after="100" w:afterAutospacing="1" w:line="240" w:lineRule="auto"/>
      <w:jc w:val="both"/>
    </w:pPr>
    <w:rPr>
      <w:rFonts w:ascii="宋体" w:hAnsi="宋体" w:cs="宋体"/>
      <w:color w:val="FF00FF"/>
      <w:kern w:val="0"/>
      <w:szCs w:val="21"/>
    </w:rPr>
  </w:style>
  <w:style w:type="paragraph" w:customStyle="1" w:styleId="83">
    <w:name w:val="xl53"/>
    <w:basedOn w:val="1"/>
    <w:qFormat/>
    <w:uiPriority w:val="0"/>
    <w:pPr>
      <w:widowControl/>
      <w:pBdr>
        <w:bottom w:val="single" w:color="auto" w:sz="8" w:space="0"/>
        <w:right w:val="single" w:color="auto" w:sz="8" w:space="0"/>
      </w:pBdr>
      <w:spacing w:before="100" w:beforeAutospacing="1" w:after="100" w:afterAutospacing="1" w:line="240" w:lineRule="auto"/>
    </w:pPr>
    <w:rPr>
      <w:kern w:val="0"/>
      <w:szCs w:val="21"/>
    </w:rPr>
  </w:style>
  <w:style w:type="paragraph" w:customStyle="1" w:styleId="84">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85">
    <w:name w:val="xl30"/>
    <w:basedOn w:val="1"/>
    <w:qFormat/>
    <w:uiPriority w:val="0"/>
    <w:pPr>
      <w:widowControl/>
      <w:pBdr>
        <w:bottom w:val="single" w:color="auto" w:sz="8" w:space="0"/>
        <w:right w:val="single" w:color="auto" w:sz="8" w:space="0"/>
      </w:pBdr>
      <w:spacing w:before="100" w:beforeAutospacing="1" w:after="100" w:afterAutospacing="1" w:line="240" w:lineRule="auto"/>
      <w:jc w:val="both"/>
    </w:pPr>
    <w:rPr>
      <w:color w:val="FF0000"/>
      <w:kern w:val="0"/>
      <w:szCs w:val="21"/>
    </w:rPr>
  </w:style>
  <w:style w:type="paragraph" w:customStyle="1" w:styleId="86">
    <w:name w:val="xl55"/>
    <w:basedOn w:val="1"/>
    <w:uiPriority w:val="0"/>
    <w:pPr>
      <w:widowControl/>
      <w:pBdr>
        <w:top w:val="single" w:color="auto" w:sz="8" w:space="0"/>
        <w:bottom w:val="single" w:color="auto" w:sz="8" w:space="0"/>
      </w:pBdr>
      <w:spacing w:before="100" w:beforeAutospacing="1" w:after="100" w:afterAutospacing="1" w:line="240" w:lineRule="auto"/>
      <w:jc w:val="both"/>
    </w:pPr>
    <w:rPr>
      <w:b/>
      <w:bCs/>
      <w:kern w:val="0"/>
      <w:szCs w:val="21"/>
    </w:rPr>
  </w:style>
  <w:style w:type="paragraph" w:customStyle="1" w:styleId="87">
    <w:name w:val="Char Char Char Char Char Char Char Char Char Char Char Char Char"/>
    <w:basedOn w:val="1"/>
    <w:qFormat/>
    <w:uiPriority w:val="0"/>
    <w:pPr>
      <w:spacing w:line="240" w:lineRule="auto"/>
      <w:jc w:val="both"/>
    </w:pPr>
    <w:rPr>
      <w:rFonts w:ascii="Arial" w:hAnsi="Arial" w:cs="Arial"/>
      <w:sz w:val="20"/>
      <w:szCs w:val="20"/>
    </w:rPr>
  </w:style>
  <w:style w:type="paragraph" w:customStyle="1" w:styleId="88">
    <w:name w:val="表格文字"/>
    <w:basedOn w:val="1"/>
    <w:qFormat/>
    <w:uiPriority w:val="0"/>
    <w:pPr>
      <w:spacing w:line="240" w:lineRule="auto"/>
      <w:jc w:val="both"/>
    </w:pPr>
    <w:rPr>
      <w:rFonts w:ascii="宋体"/>
      <w:szCs w:val="20"/>
    </w:rPr>
  </w:style>
  <w:style w:type="paragraph" w:customStyle="1" w:styleId="89">
    <w:name w:val="xl43"/>
    <w:basedOn w:val="1"/>
    <w:qFormat/>
    <w:uiPriority w:val="0"/>
    <w:pPr>
      <w:widowControl/>
      <w:pBdr>
        <w:bottom w:val="single" w:color="auto" w:sz="8" w:space="0"/>
        <w:right w:val="double" w:color="auto" w:sz="6" w:space="0"/>
      </w:pBdr>
      <w:shd w:val="clear" w:color="auto" w:fill="FFFF00"/>
      <w:spacing w:before="100" w:beforeAutospacing="1" w:after="100" w:afterAutospacing="1" w:line="240" w:lineRule="auto"/>
      <w:jc w:val="center"/>
    </w:pPr>
    <w:rPr>
      <w:kern w:val="0"/>
      <w:szCs w:val="21"/>
    </w:rPr>
  </w:style>
  <w:style w:type="paragraph" w:customStyle="1" w:styleId="90">
    <w:name w:val="样式 首行缩进:  0.85 厘米 段前: 1.2 磅 段后: 1.2 磅 行距: 1.5 倍行距"/>
    <w:basedOn w:val="1"/>
    <w:qFormat/>
    <w:uiPriority w:val="0"/>
    <w:pPr>
      <w:spacing w:before="24" w:after="24"/>
      <w:ind w:firstLine="482"/>
      <w:jc w:val="both"/>
    </w:pPr>
    <w:rPr>
      <w:rFonts w:cs="宋体"/>
      <w:sz w:val="28"/>
      <w:szCs w:val="20"/>
    </w:rPr>
  </w:style>
  <w:style w:type="paragraph" w:customStyle="1" w:styleId="91">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9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3">
    <w:name w:val="xl56"/>
    <w:basedOn w:val="1"/>
    <w:qFormat/>
    <w:uiPriority w:val="0"/>
    <w:pPr>
      <w:widowControl/>
      <w:pBdr>
        <w:top w:val="single" w:color="auto" w:sz="8" w:space="0"/>
        <w:bottom w:val="single" w:color="auto" w:sz="8" w:space="0"/>
        <w:right w:val="double" w:color="auto" w:sz="6" w:space="0"/>
      </w:pBdr>
      <w:spacing w:before="100" w:beforeAutospacing="1" w:after="100" w:afterAutospacing="1" w:line="240" w:lineRule="auto"/>
      <w:jc w:val="both"/>
    </w:pPr>
    <w:rPr>
      <w:b/>
      <w:bCs/>
      <w:kern w:val="0"/>
      <w:szCs w:val="21"/>
    </w:rPr>
  </w:style>
  <w:style w:type="paragraph" w:customStyle="1" w:styleId="94">
    <w:name w:val="pa-3"/>
    <w:basedOn w:val="1"/>
    <w:qFormat/>
    <w:uiPriority w:val="0"/>
    <w:pPr>
      <w:widowControl/>
      <w:spacing w:before="150" w:after="150" w:line="240" w:lineRule="auto"/>
    </w:pPr>
    <w:rPr>
      <w:rFonts w:ascii="宋体" w:hAnsi="宋体" w:cs="宋体"/>
      <w:kern w:val="0"/>
      <w:sz w:val="24"/>
    </w:rPr>
  </w:style>
  <w:style w:type="paragraph" w:customStyle="1" w:styleId="95">
    <w:name w:val="默认段落字体 Para Char Char Char Char Char Char Char Char Char Char"/>
    <w:basedOn w:val="1"/>
    <w:uiPriority w:val="0"/>
    <w:pPr>
      <w:spacing w:line="240" w:lineRule="auto"/>
      <w:jc w:val="both"/>
    </w:pPr>
    <w:rPr>
      <w:rFonts w:ascii="Tahoma" w:hAnsi="Tahoma"/>
      <w:sz w:val="24"/>
      <w:szCs w:val="20"/>
    </w:rPr>
  </w:style>
  <w:style w:type="paragraph" w:customStyle="1" w:styleId="96">
    <w:name w:val="xl57"/>
    <w:basedOn w:val="1"/>
    <w:qFormat/>
    <w:uiPriority w:val="0"/>
    <w:pPr>
      <w:widowControl/>
      <w:pBdr>
        <w:top w:val="single" w:color="auto" w:sz="8" w:space="0"/>
        <w:left w:val="double" w:color="auto" w:sz="6" w:space="0"/>
        <w:bottom w:val="single" w:color="auto" w:sz="8" w:space="0"/>
      </w:pBdr>
      <w:spacing w:before="100" w:beforeAutospacing="1" w:after="100" w:afterAutospacing="1" w:line="240" w:lineRule="auto"/>
    </w:pPr>
    <w:rPr>
      <w:rFonts w:ascii="宋体" w:hAnsi="宋体" w:cs="宋体"/>
      <w:b/>
      <w:bCs/>
      <w:kern w:val="0"/>
      <w:szCs w:val="21"/>
    </w:rPr>
  </w:style>
  <w:style w:type="paragraph" w:customStyle="1" w:styleId="97">
    <w:name w:val="样式 标题 2 + 段前: 0.8 行 段后: 0.2 行"/>
    <w:basedOn w:val="2"/>
    <w:qFormat/>
    <w:uiPriority w:val="0"/>
    <w:pPr>
      <w:numPr>
        <w:numId w:val="0"/>
      </w:numPr>
      <w:adjustRightInd w:val="0"/>
      <w:spacing w:beforeLines="80" w:afterLines="20"/>
      <w:textAlignment w:val="baseline"/>
    </w:pPr>
    <w:rPr>
      <w:rFonts w:ascii="Times New Roman" w:hAnsi="Times New Roman" w:eastAsia="宋体" w:cs="宋体"/>
      <w:bCs w:val="0"/>
      <w:kern w:val="0"/>
      <w:sz w:val="32"/>
      <w:szCs w:val="20"/>
    </w:rPr>
  </w:style>
  <w:style w:type="paragraph" w:customStyle="1" w:styleId="98">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99">
    <w:name w:val="xl51"/>
    <w:basedOn w:val="1"/>
    <w:qFormat/>
    <w:uiPriority w:val="0"/>
    <w:pPr>
      <w:widowControl/>
      <w:pBdr>
        <w:left w:val="double" w:color="auto" w:sz="6" w:space="0"/>
        <w:bottom w:val="single" w:color="auto" w:sz="8" w:space="0"/>
      </w:pBdr>
      <w:spacing w:before="100" w:beforeAutospacing="1" w:after="100" w:afterAutospacing="1" w:line="240" w:lineRule="auto"/>
      <w:jc w:val="center"/>
    </w:pPr>
    <w:rPr>
      <w:kern w:val="0"/>
      <w:szCs w:val="21"/>
    </w:rPr>
  </w:style>
  <w:style w:type="paragraph" w:customStyle="1" w:styleId="100">
    <w:name w:val="xl26"/>
    <w:basedOn w:val="1"/>
    <w:qFormat/>
    <w:uiPriority w:val="0"/>
    <w:pPr>
      <w:widowControl/>
      <w:pBdr>
        <w:bottom w:val="single" w:color="auto" w:sz="8" w:space="0"/>
        <w:right w:val="single" w:color="auto" w:sz="8" w:space="0"/>
      </w:pBdr>
      <w:spacing w:before="100" w:beforeAutospacing="1" w:after="100" w:afterAutospacing="1" w:line="240" w:lineRule="auto"/>
      <w:jc w:val="both"/>
    </w:pPr>
    <w:rPr>
      <w:rFonts w:ascii="宋体" w:hAnsi="宋体" w:cs="宋体"/>
      <w:color w:val="FF0000"/>
      <w:kern w:val="0"/>
      <w:szCs w:val="21"/>
    </w:rPr>
  </w:style>
  <w:style w:type="paragraph" w:customStyle="1" w:styleId="101">
    <w:name w:val="font10"/>
    <w:basedOn w:val="1"/>
    <w:qFormat/>
    <w:uiPriority w:val="0"/>
    <w:pPr>
      <w:widowControl/>
      <w:spacing w:before="100" w:beforeAutospacing="1" w:after="100" w:afterAutospacing="1" w:line="240" w:lineRule="auto"/>
    </w:pPr>
    <w:rPr>
      <w:rFonts w:ascii="宋体" w:hAnsi="宋体" w:cs="宋体"/>
      <w:color w:val="FF00FF"/>
      <w:kern w:val="0"/>
      <w:szCs w:val="21"/>
    </w:rPr>
  </w:style>
  <w:style w:type="paragraph" w:styleId="102">
    <w:name w:val="List Paragraph"/>
    <w:basedOn w:val="1"/>
    <w:qFormat/>
    <w:uiPriority w:val="0"/>
    <w:pPr>
      <w:spacing w:line="240" w:lineRule="auto"/>
      <w:ind w:firstLine="420" w:firstLineChars="200"/>
      <w:jc w:val="both"/>
    </w:pPr>
    <w:rPr>
      <w:rFonts w:ascii="Calibri" w:hAnsi="Calibri"/>
      <w:szCs w:val="22"/>
    </w:rPr>
  </w:style>
  <w:style w:type="paragraph" w:customStyle="1" w:styleId="103">
    <w:name w:val="Char Char Char"/>
    <w:basedOn w:val="1"/>
    <w:qFormat/>
    <w:uiPriority w:val="0"/>
    <w:pPr>
      <w:spacing w:line="240" w:lineRule="auto"/>
      <w:jc w:val="both"/>
    </w:pPr>
    <w:rPr>
      <w:rFonts w:ascii="宋体" w:hAnsi="宋体"/>
      <w:b/>
      <w:sz w:val="28"/>
      <w:szCs w:val="28"/>
    </w:rPr>
  </w:style>
  <w:style w:type="paragraph" w:customStyle="1" w:styleId="104">
    <w:name w:val="Char Char Char Char Char Char"/>
    <w:basedOn w:val="1"/>
    <w:qFormat/>
    <w:uiPriority w:val="0"/>
    <w:pPr>
      <w:spacing w:line="240" w:lineRule="auto"/>
      <w:jc w:val="both"/>
    </w:pPr>
  </w:style>
  <w:style w:type="paragraph" w:customStyle="1" w:styleId="105">
    <w:name w:val="xl37"/>
    <w:basedOn w:val="1"/>
    <w:qFormat/>
    <w:uiPriority w:val="0"/>
    <w:pPr>
      <w:widowControl/>
      <w:pBdr>
        <w:bottom w:val="single" w:color="auto" w:sz="8" w:space="0"/>
        <w:right w:val="single" w:color="auto" w:sz="8" w:space="0"/>
      </w:pBdr>
      <w:spacing w:before="100" w:beforeAutospacing="1" w:after="100" w:afterAutospacing="1" w:line="240" w:lineRule="auto"/>
      <w:jc w:val="center"/>
    </w:pPr>
    <w:rPr>
      <w:rFonts w:ascii="宋体" w:hAnsi="宋体" w:cs="宋体"/>
      <w:kern w:val="0"/>
      <w:szCs w:val="21"/>
    </w:rPr>
  </w:style>
  <w:style w:type="paragraph" w:customStyle="1" w:styleId="106">
    <w:name w:val="样式 普通文字 + (符号) Times New Roman 小四 首行缩进:  1.05 厘米 行距: 1.5 倍行距"/>
    <w:basedOn w:val="25"/>
    <w:qFormat/>
    <w:uiPriority w:val="0"/>
    <w:pPr>
      <w:spacing w:line="360" w:lineRule="auto"/>
      <w:ind w:firstLine="567"/>
    </w:pPr>
    <w:rPr>
      <w:rFonts w:ascii="Times New Roman" w:hAnsi="Times New Roman" w:cs="黑体"/>
      <w:kern w:val="20"/>
      <w:sz w:val="24"/>
      <w:szCs w:val="20"/>
    </w:rPr>
  </w:style>
  <w:style w:type="paragraph" w:customStyle="1" w:styleId="107">
    <w:name w:val="用户标题1"/>
    <w:basedOn w:val="63"/>
    <w:qFormat/>
    <w:uiPriority w:val="0"/>
    <w:pPr>
      <w:ind w:firstLine="0"/>
      <w:jc w:val="center"/>
    </w:pPr>
    <w:rPr>
      <w:rFonts w:ascii="Arial" w:hAnsi="Arial" w:eastAsia="黑体" w:cs="Arial"/>
      <w:b/>
      <w:bCs/>
      <w:kern w:val="2"/>
      <w:sz w:val="32"/>
      <w:szCs w:val="32"/>
    </w:rPr>
  </w:style>
  <w:style w:type="paragraph" w:customStyle="1" w:styleId="108">
    <w:name w:val="样式 标题 4 + (西文) Times New Roman (中文) 宋体 小四 段前: 2.4 磅 段后: 2.4 ..."/>
    <w:basedOn w:val="5"/>
    <w:qFormat/>
    <w:uiPriority w:val="0"/>
    <w:pPr>
      <w:numPr>
        <w:numId w:val="0"/>
      </w:numPr>
      <w:spacing w:before="48" w:after="48" w:line="360" w:lineRule="auto"/>
      <w:jc w:val="both"/>
    </w:pPr>
    <w:rPr>
      <w:rFonts w:ascii="Times New Roman" w:hAnsi="Times New Roman" w:eastAsia="宋体" w:cs="宋体"/>
      <w:sz w:val="28"/>
      <w:szCs w:val="20"/>
    </w:rPr>
  </w:style>
  <w:style w:type="paragraph" w:customStyle="1" w:styleId="109">
    <w:name w:val="正文1"/>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1"/>
      <w:lang w:val="en-US" w:eastAsia="zh-CN" w:bidi="ar-SA"/>
    </w:rPr>
  </w:style>
  <w:style w:type="paragraph" w:customStyle="1" w:styleId="110">
    <w:name w:val="样式 标题 4 + Times New Roman 小四 段前: 2.4 磅 段后: 2.4 磅 行距: 1.5 倍行距"/>
    <w:basedOn w:val="5"/>
    <w:qFormat/>
    <w:uiPriority w:val="0"/>
    <w:pPr>
      <w:tabs>
        <w:tab w:val="left" w:pos="864"/>
        <w:tab w:val="clear" w:pos="0"/>
      </w:tabs>
      <w:spacing w:before="48" w:after="48" w:line="360" w:lineRule="auto"/>
      <w:ind w:left="864" w:hanging="864"/>
      <w:jc w:val="both"/>
    </w:pPr>
    <w:rPr>
      <w:rFonts w:ascii="Times New Roman" w:hAnsi="Times New Roman" w:cs="宋体"/>
      <w:sz w:val="28"/>
      <w:szCs w:val="20"/>
    </w:rPr>
  </w:style>
  <w:style w:type="paragraph" w:customStyle="1" w:styleId="111">
    <w:name w:val="正文（缩进）"/>
    <w:basedOn w:val="1"/>
    <w:qFormat/>
    <w:uiPriority w:val="0"/>
    <w:pPr>
      <w:spacing w:beforeLines="50" w:afterLines="50"/>
      <w:ind w:firstLine="480" w:firstLineChars="200"/>
      <w:jc w:val="both"/>
    </w:pPr>
    <w:rPr>
      <w:sz w:val="24"/>
    </w:rPr>
  </w:style>
  <w:style w:type="paragraph" w:customStyle="1" w:styleId="112">
    <w:name w:val="正文（黑体）"/>
    <w:basedOn w:val="1"/>
    <w:next w:val="1"/>
    <w:qFormat/>
    <w:uiPriority w:val="0"/>
    <w:pPr>
      <w:spacing w:beforeLines="50" w:afterLines="50"/>
      <w:ind w:firstLine="480" w:firstLineChars="200"/>
      <w:jc w:val="both"/>
    </w:pPr>
    <w:rPr>
      <w:rFonts w:ascii="黑体" w:eastAsia="黑体"/>
      <w:color w:val="000080"/>
      <w:sz w:val="24"/>
    </w:rPr>
  </w:style>
  <w:style w:type="paragraph" w:customStyle="1" w:styleId="113">
    <w:name w:val="bf"/>
    <w:basedOn w:val="1"/>
    <w:qFormat/>
    <w:uiPriority w:val="0"/>
    <w:pPr>
      <w:autoSpaceDE w:val="0"/>
      <w:autoSpaceDN w:val="0"/>
      <w:adjustRightInd w:val="0"/>
      <w:spacing w:beforeLines="50" w:afterLines="50" w:line="400" w:lineRule="atLeast"/>
      <w:ind w:left="1134" w:hanging="1134"/>
    </w:pPr>
    <w:rPr>
      <w:rFonts w:ascii="Arial" w:hAnsi="Arial" w:cs="Arial"/>
      <w:b/>
      <w:color w:val="000000"/>
      <w:spacing w:val="10"/>
      <w:kern w:val="0"/>
      <w:sz w:val="32"/>
    </w:rPr>
  </w:style>
  <w:style w:type="paragraph" w:customStyle="1" w:styleId="114">
    <w:name w:val="样式 标题 2 + 段前: 0.8 行 行距: 固定值 20 磅"/>
    <w:basedOn w:val="2"/>
    <w:qFormat/>
    <w:uiPriority w:val="0"/>
    <w:pPr>
      <w:numPr>
        <w:numId w:val="0"/>
      </w:numPr>
      <w:adjustRightInd w:val="0"/>
      <w:spacing w:beforeLines="80" w:afterLines="20" w:line="400" w:lineRule="exact"/>
      <w:textAlignment w:val="baseline"/>
    </w:pPr>
    <w:rPr>
      <w:rFonts w:ascii="Times New Roman" w:hAnsi="Times New Roman" w:eastAsia="宋体" w:cs="宋体"/>
      <w:bCs w:val="0"/>
      <w:kern w:val="0"/>
      <w:sz w:val="32"/>
      <w:szCs w:val="20"/>
    </w:rPr>
  </w:style>
  <w:style w:type="paragraph" w:customStyle="1" w:styleId="115">
    <w:name w:val="样式 首行缩进:  0.85 厘米 段前: 7.2 磅 段后: 2.4 磅 行距: 1.5 倍行距"/>
    <w:basedOn w:val="1"/>
    <w:qFormat/>
    <w:uiPriority w:val="0"/>
    <w:pPr>
      <w:spacing w:before="144" w:after="48"/>
      <w:ind w:firstLine="482"/>
      <w:jc w:val="both"/>
    </w:pPr>
    <w:rPr>
      <w:rFonts w:cs="宋体"/>
      <w:sz w:val="28"/>
      <w:szCs w:val="20"/>
    </w:rPr>
  </w:style>
  <w:style w:type="paragraph" w:customStyle="1" w:styleId="116">
    <w:name w:val="xl24"/>
    <w:basedOn w:val="1"/>
    <w:qFormat/>
    <w:uiPriority w:val="0"/>
    <w:pPr>
      <w:widowControl/>
      <w:pBdr>
        <w:bottom w:val="single" w:color="auto" w:sz="8" w:space="0"/>
        <w:right w:val="single" w:color="auto" w:sz="8" w:space="0"/>
      </w:pBdr>
      <w:spacing w:before="100" w:beforeAutospacing="1" w:after="100" w:afterAutospacing="1" w:line="240" w:lineRule="auto"/>
      <w:jc w:val="both"/>
    </w:pPr>
    <w:rPr>
      <w:rFonts w:ascii="宋体" w:hAnsi="宋体" w:cs="宋体"/>
      <w:kern w:val="0"/>
      <w:szCs w:val="21"/>
    </w:rPr>
  </w:style>
  <w:style w:type="paragraph" w:customStyle="1" w:styleId="117">
    <w:name w:val="封面"/>
    <w:basedOn w:val="1"/>
    <w:qFormat/>
    <w:uiPriority w:val="0"/>
    <w:pPr>
      <w:widowControl/>
      <w:tabs>
        <w:tab w:val="left" w:pos="6240"/>
      </w:tabs>
      <w:autoSpaceDE w:val="0"/>
      <w:autoSpaceDN w:val="0"/>
      <w:adjustRightInd w:val="0"/>
      <w:snapToGrid w:val="0"/>
      <w:spacing w:line="240" w:lineRule="auto"/>
      <w:jc w:val="center"/>
      <w:textAlignment w:val="bottom"/>
    </w:pPr>
    <w:rPr>
      <w:b/>
      <w:w w:val="90"/>
      <w:kern w:val="0"/>
      <w:sz w:val="48"/>
      <w:szCs w:val="48"/>
    </w:rPr>
  </w:style>
  <w:style w:type="paragraph" w:customStyle="1" w:styleId="118">
    <w:name w:val="xl61"/>
    <w:basedOn w:val="1"/>
    <w:qFormat/>
    <w:uiPriority w:val="0"/>
    <w:pPr>
      <w:widowControl/>
      <w:pBdr>
        <w:top w:val="single" w:color="auto" w:sz="8" w:space="0"/>
        <w:bottom w:val="single" w:color="auto" w:sz="8" w:space="0"/>
      </w:pBdr>
      <w:spacing w:before="100" w:beforeAutospacing="1" w:after="100" w:afterAutospacing="1" w:line="240" w:lineRule="auto"/>
    </w:pPr>
    <w:rPr>
      <w:rFonts w:ascii="宋体" w:hAnsi="宋体" w:cs="宋体"/>
      <w:b/>
      <w:bCs/>
      <w:kern w:val="0"/>
      <w:szCs w:val="21"/>
    </w:rPr>
  </w:style>
  <w:style w:type="paragraph" w:customStyle="1" w:styleId="119">
    <w:name w:val="表内文1"/>
    <w:basedOn w:val="1"/>
    <w:qFormat/>
    <w:uiPriority w:val="0"/>
    <w:pPr>
      <w:tabs>
        <w:tab w:val="left" w:pos="360"/>
      </w:tabs>
      <w:autoSpaceDE w:val="0"/>
      <w:autoSpaceDN w:val="0"/>
      <w:adjustRightInd w:val="0"/>
      <w:snapToGrid w:val="0"/>
      <w:spacing w:line="240" w:lineRule="auto"/>
      <w:ind w:right="113" w:firstLine="2400" w:firstLineChars="1000"/>
      <w:jc w:val="center"/>
    </w:pPr>
    <w:rPr>
      <w:rFonts w:ascii="宋体" w:hAnsi="宋体"/>
      <w:kern w:val="0"/>
      <w:sz w:val="24"/>
      <w:szCs w:val="20"/>
    </w:rPr>
  </w:style>
  <w:style w:type="paragraph" w:customStyle="1" w:styleId="120">
    <w:name w:val="font15"/>
    <w:basedOn w:val="1"/>
    <w:qFormat/>
    <w:uiPriority w:val="0"/>
    <w:pPr>
      <w:widowControl/>
      <w:spacing w:before="100" w:beforeAutospacing="1" w:after="100" w:afterAutospacing="1" w:line="240" w:lineRule="auto"/>
    </w:pPr>
    <w:rPr>
      <w:color w:val="FF0000"/>
      <w:kern w:val="0"/>
      <w:szCs w:val="21"/>
    </w:rPr>
  </w:style>
  <w:style w:type="paragraph" w:customStyle="1" w:styleId="121">
    <w:name w:val="样式 段前: 1.2 磅 段后: 1.2 磅 行距: 1.5 倍行距"/>
    <w:basedOn w:val="1"/>
    <w:qFormat/>
    <w:uiPriority w:val="0"/>
    <w:pPr>
      <w:spacing w:before="24" w:after="24"/>
      <w:ind w:firstLine="480" w:firstLineChars="200"/>
      <w:jc w:val="both"/>
    </w:pPr>
    <w:rPr>
      <w:rFonts w:cs="宋体"/>
      <w:sz w:val="28"/>
      <w:szCs w:val="20"/>
    </w:rPr>
  </w:style>
  <w:style w:type="paragraph" w:customStyle="1" w:styleId="122">
    <w:name w:val="Char Char Char Char Char"/>
    <w:basedOn w:val="1"/>
    <w:qFormat/>
    <w:uiPriority w:val="0"/>
    <w:pPr>
      <w:spacing w:line="240" w:lineRule="auto"/>
      <w:jc w:val="both"/>
    </w:pPr>
    <w:rPr>
      <w:sz w:val="24"/>
      <w:szCs w:val="20"/>
    </w:rPr>
  </w:style>
  <w:style w:type="paragraph" w:customStyle="1" w:styleId="123">
    <w:name w:val="Char Char Char Char Char1 Char Char Char Char"/>
    <w:basedOn w:val="1"/>
    <w:qFormat/>
    <w:uiPriority w:val="0"/>
    <w:pPr>
      <w:spacing w:line="240" w:lineRule="auto"/>
      <w:jc w:val="both"/>
    </w:pPr>
    <w:rPr>
      <w:sz w:val="24"/>
      <w:szCs w:val="20"/>
    </w:rPr>
  </w:style>
  <w:style w:type="paragraph" w:customStyle="1" w:styleId="124">
    <w:name w:val="正文11"/>
    <w:basedOn w:val="1"/>
    <w:qFormat/>
    <w:uiPriority w:val="0"/>
    <w:pPr>
      <w:adjustRightInd w:val="0"/>
      <w:spacing w:line="400" w:lineRule="atLeast"/>
      <w:ind w:firstLine="1134"/>
      <w:textAlignment w:val="baseline"/>
    </w:pPr>
    <w:rPr>
      <w:rFonts w:ascii="宋体"/>
      <w:kern w:val="0"/>
      <w:sz w:val="24"/>
      <w:szCs w:val="20"/>
    </w:rPr>
  </w:style>
  <w:style w:type="paragraph" w:customStyle="1" w:styleId="125">
    <w:name w:val="font5"/>
    <w:basedOn w:val="1"/>
    <w:qFormat/>
    <w:uiPriority w:val="0"/>
    <w:pPr>
      <w:widowControl/>
      <w:spacing w:before="100" w:beforeAutospacing="1" w:after="100" w:afterAutospacing="1" w:line="240" w:lineRule="auto"/>
    </w:pPr>
    <w:rPr>
      <w:rFonts w:ascii="宋体" w:hAnsi="宋体" w:cs="宋体"/>
      <w:kern w:val="0"/>
      <w:sz w:val="18"/>
      <w:szCs w:val="18"/>
    </w:rPr>
  </w:style>
  <w:style w:type="paragraph" w:customStyle="1" w:styleId="126">
    <w:name w:val="样式2"/>
    <w:basedOn w:val="1"/>
    <w:qFormat/>
    <w:uiPriority w:val="0"/>
    <w:pPr>
      <w:spacing w:line="240" w:lineRule="auto"/>
      <w:jc w:val="both"/>
    </w:pPr>
    <w:rPr>
      <w:b/>
      <w:sz w:val="24"/>
      <w:szCs w:val="20"/>
    </w:rPr>
  </w:style>
  <w:style w:type="paragraph" w:customStyle="1" w:styleId="127">
    <w:name w:val="表头1"/>
    <w:basedOn w:val="1"/>
    <w:qFormat/>
    <w:uiPriority w:val="0"/>
    <w:pPr>
      <w:adjustRightInd w:val="0"/>
      <w:snapToGrid w:val="0"/>
      <w:jc w:val="right"/>
    </w:pPr>
    <w:rPr>
      <w:rFonts w:ascii="宋体" w:hAnsi="宋体"/>
      <w:kern w:val="0"/>
      <w:sz w:val="24"/>
      <w:szCs w:val="20"/>
    </w:rPr>
  </w:style>
  <w:style w:type="paragraph" w:customStyle="1" w:styleId="128">
    <w:name w:val="样式 标题 2 + 段前: 0.8 行"/>
    <w:basedOn w:val="2"/>
    <w:qFormat/>
    <w:uiPriority w:val="0"/>
    <w:pPr>
      <w:numPr>
        <w:numId w:val="0"/>
      </w:numPr>
      <w:adjustRightInd w:val="0"/>
      <w:spacing w:beforeLines="80" w:afterLines="20"/>
      <w:textAlignment w:val="baseline"/>
    </w:pPr>
    <w:rPr>
      <w:rFonts w:ascii="Times New Roman" w:hAnsi="Times New Roman" w:eastAsia="宋体" w:cs="宋体"/>
      <w:bCs w:val="0"/>
      <w:kern w:val="0"/>
      <w:sz w:val="32"/>
      <w:szCs w:val="20"/>
    </w:rPr>
  </w:style>
  <w:style w:type="paragraph" w:customStyle="1" w:styleId="129">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130">
    <w:name w:val="xl31"/>
    <w:basedOn w:val="1"/>
    <w:qFormat/>
    <w:uiPriority w:val="0"/>
    <w:pPr>
      <w:widowControl/>
      <w:pBdr>
        <w:bottom w:val="single" w:color="auto" w:sz="8" w:space="0"/>
        <w:right w:val="single" w:color="auto" w:sz="8" w:space="0"/>
      </w:pBdr>
      <w:spacing w:before="100" w:beforeAutospacing="1" w:after="100" w:afterAutospacing="1" w:line="240" w:lineRule="auto"/>
      <w:jc w:val="both"/>
    </w:pPr>
    <w:rPr>
      <w:color w:val="FF00FF"/>
      <w:kern w:val="0"/>
      <w:sz w:val="24"/>
    </w:rPr>
  </w:style>
  <w:style w:type="paragraph" w:customStyle="1" w:styleId="131">
    <w:name w:val="标题4"/>
    <w:basedOn w:val="4"/>
    <w:qFormat/>
    <w:uiPriority w:val="0"/>
    <w:pPr>
      <w:numPr>
        <w:ilvl w:val="2"/>
        <w:numId w:val="2"/>
      </w:numPr>
      <w:adjustRightInd w:val="0"/>
      <w:snapToGrid w:val="0"/>
      <w:spacing w:beforeLines="50" w:afterLines="50"/>
      <w:ind w:firstLine="482"/>
    </w:pPr>
    <w:rPr>
      <w:rFonts w:ascii="宋体" w:hAnsi="宋体" w:eastAsia="宋体"/>
      <w:bCs w:val="0"/>
      <w:kern w:val="0"/>
      <w:sz w:val="24"/>
      <w:szCs w:val="20"/>
    </w:rPr>
  </w:style>
  <w:style w:type="paragraph" w:customStyle="1" w:styleId="132">
    <w:name w:val="font7"/>
    <w:basedOn w:val="1"/>
    <w:qFormat/>
    <w:uiPriority w:val="0"/>
    <w:pPr>
      <w:widowControl/>
      <w:spacing w:before="100" w:beforeAutospacing="1" w:after="100" w:afterAutospacing="1" w:line="240" w:lineRule="auto"/>
    </w:pPr>
    <w:rPr>
      <w:rFonts w:hint="eastAsia" w:ascii="宋体" w:hAnsi="宋体"/>
      <w:kern w:val="0"/>
      <w:sz w:val="32"/>
      <w:szCs w:val="32"/>
    </w:rPr>
  </w:style>
  <w:style w:type="paragraph" w:customStyle="1" w:styleId="133">
    <w:name w:val="font8"/>
    <w:basedOn w:val="1"/>
    <w:qFormat/>
    <w:uiPriority w:val="0"/>
    <w:pPr>
      <w:widowControl/>
      <w:spacing w:before="100" w:beforeAutospacing="1" w:after="100" w:afterAutospacing="1" w:line="240" w:lineRule="auto"/>
    </w:pPr>
    <w:rPr>
      <w:rFonts w:ascii="宋体" w:hAnsi="宋体" w:cs="宋体"/>
      <w:kern w:val="0"/>
      <w:szCs w:val="21"/>
    </w:rPr>
  </w:style>
  <w:style w:type="paragraph" w:customStyle="1" w:styleId="134">
    <w:name w:val="Bullet 1"/>
    <w:basedOn w:val="1"/>
    <w:qFormat/>
    <w:uiPriority w:val="0"/>
    <w:pPr>
      <w:numPr>
        <w:ilvl w:val="0"/>
        <w:numId w:val="2"/>
      </w:numPr>
      <w:jc w:val="both"/>
    </w:pPr>
  </w:style>
  <w:style w:type="paragraph" w:customStyle="1" w:styleId="135">
    <w:name w:val="n"/>
    <w:basedOn w:val="1"/>
    <w:qFormat/>
    <w:uiPriority w:val="0"/>
    <w:pPr>
      <w:autoSpaceDE w:val="0"/>
      <w:autoSpaceDN w:val="0"/>
      <w:adjustRightInd w:val="0"/>
      <w:spacing w:line="400" w:lineRule="atLeast"/>
      <w:jc w:val="both"/>
      <w:textAlignment w:val="baseline"/>
    </w:pPr>
    <w:rPr>
      <w:rFonts w:ascii="宋体"/>
      <w:kern w:val="0"/>
      <w:sz w:val="24"/>
      <w:szCs w:val="20"/>
    </w:rPr>
  </w:style>
  <w:style w:type="paragraph" w:customStyle="1" w:styleId="136">
    <w:name w:val="表头2"/>
    <w:basedOn w:val="127"/>
    <w:qFormat/>
    <w:uiPriority w:val="0"/>
    <w:pPr>
      <w:tabs>
        <w:tab w:val="left" w:pos="360"/>
      </w:tabs>
      <w:autoSpaceDE w:val="0"/>
      <w:autoSpaceDN w:val="0"/>
      <w:spacing w:before="60" w:after="60" w:line="500" w:lineRule="exact"/>
      <w:ind w:left="-528" w:right="240" w:firstLine="480"/>
    </w:pPr>
    <w:rPr>
      <w:b/>
      <w:bCs/>
    </w:rPr>
  </w:style>
  <w:style w:type="paragraph" w:customStyle="1" w:styleId="137">
    <w:name w:val="Char"/>
    <w:basedOn w:val="1"/>
    <w:qFormat/>
    <w:uiPriority w:val="0"/>
    <w:pPr>
      <w:spacing w:line="240" w:lineRule="auto"/>
      <w:jc w:val="both"/>
    </w:pPr>
  </w:style>
  <w:style w:type="paragraph" w:customStyle="1" w:styleId="138">
    <w:name w:val="Char Char Char Char Char Char2 Char Char Char Char Char Char1"/>
    <w:basedOn w:val="1"/>
    <w:qFormat/>
    <w:uiPriority w:val="0"/>
    <w:pPr>
      <w:spacing w:line="240" w:lineRule="auto"/>
      <w:jc w:val="both"/>
    </w:pPr>
    <w:rPr>
      <w:sz w:val="24"/>
      <w:szCs w:val="20"/>
    </w:rPr>
  </w:style>
  <w:style w:type="paragraph" w:customStyle="1" w:styleId="139">
    <w:name w:val="font12"/>
    <w:basedOn w:val="1"/>
    <w:qFormat/>
    <w:uiPriority w:val="0"/>
    <w:pPr>
      <w:widowControl/>
      <w:spacing w:before="100" w:beforeAutospacing="1" w:after="100" w:afterAutospacing="1" w:line="240" w:lineRule="auto"/>
    </w:pPr>
    <w:rPr>
      <w:b/>
      <w:bCs/>
      <w:kern w:val="0"/>
      <w:szCs w:val="21"/>
    </w:rPr>
  </w:style>
  <w:style w:type="paragraph" w:customStyle="1" w:styleId="140">
    <w:name w:val="font13"/>
    <w:basedOn w:val="1"/>
    <w:qFormat/>
    <w:uiPriority w:val="0"/>
    <w:pPr>
      <w:widowControl/>
      <w:spacing w:before="100" w:beforeAutospacing="1" w:after="100" w:afterAutospacing="1" w:line="240" w:lineRule="auto"/>
    </w:pPr>
    <w:rPr>
      <w:color w:val="FF00FF"/>
      <w:kern w:val="0"/>
      <w:szCs w:val="21"/>
    </w:rPr>
  </w:style>
  <w:style w:type="paragraph" w:customStyle="1" w:styleId="141">
    <w:name w:val="xl54"/>
    <w:basedOn w:val="1"/>
    <w:qFormat/>
    <w:uiPriority w:val="0"/>
    <w:pPr>
      <w:widowControl/>
      <w:pBdr>
        <w:bottom w:val="double" w:color="auto" w:sz="6" w:space="0"/>
      </w:pBdr>
      <w:spacing w:before="100" w:beforeAutospacing="1" w:after="100" w:afterAutospacing="1" w:line="240" w:lineRule="auto"/>
      <w:jc w:val="center"/>
    </w:pPr>
    <w:rPr>
      <w:b/>
      <w:bCs/>
      <w:kern w:val="0"/>
      <w:sz w:val="24"/>
    </w:rPr>
  </w:style>
  <w:style w:type="paragraph" w:customStyle="1" w:styleId="142">
    <w:name w:val="xl33"/>
    <w:basedOn w:val="1"/>
    <w:qFormat/>
    <w:uiPriority w:val="0"/>
    <w:pPr>
      <w:widowControl/>
      <w:pBdr>
        <w:top w:val="single" w:color="auto" w:sz="8" w:space="0"/>
        <w:bottom w:val="single" w:color="auto" w:sz="8" w:space="0"/>
      </w:pBdr>
      <w:spacing w:before="100" w:beforeAutospacing="1" w:after="100" w:afterAutospacing="1" w:line="240" w:lineRule="auto"/>
      <w:jc w:val="both"/>
    </w:pPr>
    <w:rPr>
      <w:color w:val="FF00FF"/>
      <w:kern w:val="0"/>
      <w:szCs w:val="21"/>
    </w:rPr>
  </w:style>
  <w:style w:type="paragraph" w:customStyle="1" w:styleId="143">
    <w:name w:val="1.1.1.1"/>
    <w:basedOn w:val="1"/>
    <w:qFormat/>
    <w:uiPriority w:val="0"/>
    <w:pPr>
      <w:tabs>
        <w:tab w:val="left" w:pos="1134"/>
      </w:tabs>
      <w:adjustRightInd w:val="0"/>
      <w:spacing w:before="60" w:after="60" w:line="360" w:lineRule="atLeast"/>
      <w:ind w:left="1134" w:hanging="1134"/>
      <w:jc w:val="both"/>
      <w:textAlignment w:val="baseline"/>
    </w:pPr>
    <w:rPr>
      <w:rFonts w:ascii="Arial" w:hAnsi="Arial"/>
      <w:kern w:val="0"/>
      <w:sz w:val="24"/>
      <w:szCs w:val="20"/>
    </w:rPr>
  </w:style>
  <w:style w:type="paragraph" w:customStyle="1" w:styleId="144">
    <w:name w:val="xl39"/>
    <w:basedOn w:val="1"/>
    <w:qFormat/>
    <w:uiPriority w:val="0"/>
    <w:pPr>
      <w:widowControl/>
      <w:pBdr>
        <w:bottom w:val="single" w:color="auto" w:sz="8" w:space="0"/>
        <w:right w:val="double" w:color="auto" w:sz="6" w:space="0"/>
      </w:pBdr>
      <w:spacing w:before="100" w:beforeAutospacing="1" w:after="100" w:afterAutospacing="1" w:line="240" w:lineRule="auto"/>
      <w:jc w:val="center"/>
    </w:pPr>
    <w:rPr>
      <w:rFonts w:ascii="宋体" w:hAnsi="宋体" w:cs="宋体"/>
      <w:b/>
      <w:bCs/>
      <w:kern w:val="0"/>
      <w:sz w:val="24"/>
    </w:rPr>
  </w:style>
  <w:style w:type="paragraph" w:customStyle="1" w:styleId="145">
    <w:name w:val="xl42"/>
    <w:basedOn w:val="1"/>
    <w:qFormat/>
    <w:uiPriority w:val="0"/>
    <w:pPr>
      <w:widowControl/>
      <w:pBdr>
        <w:bottom w:val="single" w:color="auto" w:sz="8" w:space="0"/>
        <w:right w:val="double" w:color="auto" w:sz="6" w:space="0"/>
      </w:pBdr>
      <w:spacing w:before="100" w:beforeAutospacing="1" w:after="100" w:afterAutospacing="1" w:line="240" w:lineRule="auto"/>
      <w:jc w:val="center"/>
    </w:pPr>
    <w:rPr>
      <w:kern w:val="0"/>
      <w:szCs w:val="21"/>
    </w:rPr>
  </w:style>
  <w:style w:type="paragraph" w:customStyle="1" w:styleId="146">
    <w:name w:val="样式 标题 4 + Times New Roman 小四 段前: 0.6 磅 段后: 0.6 磅 行距: 1.5 倍行距"/>
    <w:basedOn w:val="5"/>
    <w:qFormat/>
    <w:uiPriority w:val="0"/>
    <w:pPr>
      <w:numPr>
        <w:numId w:val="0"/>
      </w:numPr>
      <w:spacing w:before="12" w:after="12" w:line="360" w:lineRule="auto"/>
      <w:jc w:val="both"/>
    </w:pPr>
    <w:rPr>
      <w:rFonts w:ascii="Times New Roman" w:hAnsi="Times New Roman" w:cs="宋体"/>
      <w:sz w:val="28"/>
      <w:szCs w:val="20"/>
    </w:rPr>
  </w:style>
  <w:style w:type="paragraph" w:customStyle="1" w:styleId="147">
    <w:name w:val="xl63"/>
    <w:basedOn w:val="1"/>
    <w:qFormat/>
    <w:uiPriority w:val="0"/>
    <w:pPr>
      <w:widowControl/>
      <w:pBdr>
        <w:bottom w:val="double" w:color="auto" w:sz="6" w:space="0"/>
      </w:pBdr>
      <w:spacing w:before="100" w:beforeAutospacing="1" w:after="100" w:afterAutospacing="1" w:line="240" w:lineRule="auto"/>
    </w:pPr>
    <w:rPr>
      <w:rFonts w:ascii="宋体" w:hAnsi="宋体" w:cs="宋体"/>
      <w:b/>
      <w:bCs/>
      <w:kern w:val="0"/>
      <w:sz w:val="24"/>
    </w:rPr>
  </w:style>
  <w:style w:type="paragraph" w:customStyle="1" w:styleId="148">
    <w:name w:val="xl35"/>
    <w:basedOn w:val="1"/>
    <w:qFormat/>
    <w:uiPriority w:val="0"/>
    <w:pPr>
      <w:widowControl/>
      <w:pBdr>
        <w:top w:val="single" w:color="auto" w:sz="8" w:space="0"/>
        <w:bottom w:val="single" w:color="auto" w:sz="8" w:space="0"/>
      </w:pBdr>
      <w:spacing w:before="100" w:beforeAutospacing="1" w:after="100" w:afterAutospacing="1" w:line="240" w:lineRule="auto"/>
      <w:jc w:val="center"/>
    </w:pPr>
    <w:rPr>
      <w:color w:val="FF00FF"/>
      <w:kern w:val="0"/>
      <w:szCs w:val="21"/>
    </w:rPr>
  </w:style>
  <w:style w:type="paragraph" w:customStyle="1" w:styleId="149">
    <w:name w:val="xl29"/>
    <w:basedOn w:val="1"/>
    <w:qFormat/>
    <w:uiPriority w:val="0"/>
    <w:pPr>
      <w:widowControl/>
      <w:pBdr>
        <w:bottom w:val="single" w:color="auto" w:sz="8" w:space="0"/>
        <w:right w:val="single" w:color="auto" w:sz="8" w:space="0"/>
      </w:pBdr>
      <w:spacing w:before="100" w:beforeAutospacing="1" w:after="100" w:afterAutospacing="1" w:line="240" w:lineRule="auto"/>
      <w:jc w:val="both"/>
    </w:pPr>
    <w:rPr>
      <w:kern w:val="0"/>
      <w:szCs w:val="21"/>
    </w:rPr>
  </w:style>
  <w:style w:type="paragraph" w:customStyle="1" w:styleId="150">
    <w:name w:val="样式 首行缩进:  0.85 厘米 段前: 2.4 磅 段后: 2.4 磅 行距: 固定值 22 磅"/>
    <w:basedOn w:val="1"/>
    <w:qFormat/>
    <w:uiPriority w:val="0"/>
    <w:pPr>
      <w:spacing w:before="48" w:after="48" w:line="440" w:lineRule="exact"/>
      <w:ind w:firstLine="480"/>
      <w:jc w:val="both"/>
    </w:pPr>
    <w:rPr>
      <w:rFonts w:cs="宋体"/>
      <w:sz w:val="28"/>
      <w:szCs w:val="20"/>
    </w:rPr>
  </w:style>
  <w:style w:type="paragraph" w:customStyle="1" w:styleId="151">
    <w:name w:val="xl28"/>
    <w:basedOn w:val="1"/>
    <w:qFormat/>
    <w:uiPriority w:val="0"/>
    <w:pPr>
      <w:widowControl/>
      <w:pBdr>
        <w:bottom w:val="single" w:color="auto" w:sz="8" w:space="0"/>
        <w:right w:val="single" w:color="auto" w:sz="8" w:space="0"/>
      </w:pBdr>
      <w:spacing w:before="100" w:beforeAutospacing="1" w:after="100" w:afterAutospacing="1" w:line="240" w:lineRule="auto"/>
      <w:jc w:val="both"/>
    </w:pPr>
    <w:rPr>
      <w:color w:val="FF00FF"/>
      <w:kern w:val="0"/>
      <w:szCs w:val="21"/>
    </w:rPr>
  </w:style>
  <w:style w:type="paragraph" w:customStyle="1" w:styleId="152">
    <w:name w:val="xl48"/>
    <w:basedOn w:val="1"/>
    <w:qFormat/>
    <w:uiPriority w:val="0"/>
    <w:pPr>
      <w:widowControl/>
      <w:pBdr>
        <w:left w:val="double" w:color="auto" w:sz="6" w:space="0"/>
        <w:bottom w:val="single" w:color="auto" w:sz="8" w:space="0"/>
        <w:right w:val="single" w:color="auto" w:sz="8" w:space="0"/>
      </w:pBdr>
      <w:spacing w:before="100" w:beforeAutospacing="1" w:after="100" w:afterAutospacing="1" w:line="240" w:lineRule="auto"/>
      <w:jc w:val="center"/>
    </w:pPr>
    <w:rPr>
      <w:kern w:val="0"/>
      <w:szCs w:val="21"/>
    </w:rPr>
  </w:style>
  <w:style w:type="paragraph" w:customStyle="1" w:styleId="153">
    <w:name w:val="xl34"/>
    <w:basedOn w:val="1"/>
    <w:qFormat/>
    <w:uiPriority w:val="0"/>
    <w:pPr>
      <w:widowControl/>
      <w:pBdr>
        <w:bottom w:val="single" w:color="auto" w:sz="8" w:space="0"/>
        <w:right w:val="single" w:color="auto" w:sz="8" w:space="0"/>
      </w:pBdr>
      <w:spacing w:before="100" w:beforeAutospacing="1" w:after="100" w:afterAutospacing="1" w:line="240" w:lineRule="auto"/>
      <w:jc w:val="center"/>
    </w:pPr>
    <w:rPr>
      <w:rFonts w:ascii="宋体" w:hAnsi="宋体" w:cs="宋体"/>
      <w:b/>
      <w:bCs/>
      <w:kern w:val="0"/>
      <w:sz w:val="24"/>
    </w:rPr>
  </w:style>
  <w:style w:type="paragraph" w:customStyle="1" w:styleId="154">
    <w:name w:val="内容"/>
    <w:basedOn w:val="1"/>
    <w:qFormat/>
    <w:uiPriority w:val="0"/>
    <w:pPr>
      <w:spacing w:line="312" w:lineRule="auto"/>
      <w:ind w:firstLine="420" w:firstLineChars="200"/>
      <w:jc w:val="both"/>
    </w:pPr>
    <w:rPr>
      <w:rFonts w:ascii="Arial" w:hAnsi="Arial" w:eastAsia="幼圆"/>
    </w:rPr>
  </w:style>
  <w:style w:type="paragraph" w:customStyle="1" w:styleId="155">
    <w:name w:val="样式3"/>
    <w:basedOn w:val="31"/>
    <w:qFormat/>
    <w:uiPriority w:val="0"/>
    <w:pPr>
      <w:pBdr>
        <w:bottom w:val="double" w:color="00FF00" w:sz="6" w:space="1"/>
      </w:pBdr>
      <w:snapToGrid/>
      <w:spacing w:line="240" w:lineRule="atLeast"/>
    </w:pPr>
    <w:rPr>
      <w:rFonts w:ascii="长城楷体" w:eastAsia="长城楷体"/>
      <w:b/>
      <w:sz w:val="21"/>
      <w:szCs w:val="20"/>
    </w:rPr>
  </w:style>
  <w:style w:type="paragraph" w:customStyle="1" w:styleId="156">
    <w:name w:val="xl52"/>
    <w:basedOn w:val="1"/>
    <w:qFormat/>
    <w:uiPriority w:val="0"/>
    <w:pPr>
      <w:widowControl/>
      <w:pBdr>
        <w:top w:val="single" w:color="auto" w:sz="8" w:space="0"/>
        <w:bottom w:val="single" w:color="auto" w:sz="8" w:space="0"/>
      </w:pBdr>
      <w:spacing w:before="100" w:beforeAutospacing="1" w:after="100" w:afterAutospacing="1" w:line="240" w:lineRule="auto"/>
      <w:jc w:val="center"/>
    </w:pPr>
    <w:rPr>
      <w:rFonts w:ascii="宋体" w:hAnsi="宋体" w:cs="宋体"/>
      <w:color w:val="FF00FF"/>
      <w:kern w:val="0"/>
      <w:szCs w:val="21"/>
    </w:rPr>
  </w:style>
  <w:style w:type="paragraph" w:customStyle="1" w:styleId="157">
    <w:name w:val="xl58"/>
    <w:basedOn w:val="1"/>
    <w:qFormat/>
    <w:uiPriority w:val="0"/>
    <w:pPr>
      <w:widowControl/>
      <w:pBdr>
        <w:top w:val="single" w:color="auto" w:sz="8" w:space="0"/>
        <w:bottom w:val="single" w:color="auto" w:sz="8" w:space="0"/>
      </w:pBdr>
      <w:spacing w:before="100" w:beforeAutospacing="1" w:after="100" w:afterAutospacing="1" w:line="240" w:lineRule="auto"/>
    </w:pPr>
    <w:rPr>
      <w:b/>
      <w:bCs/>
      <w:kern w:val="0"/>
      <w:szCs w:val="21"/>
    </w:rPr>
  </w:style>
  <w:style w:type="paragraph" w:customStyle="1" w:styleId="158">
    <w:name w:val="Char Char Char Char Char Char1"/>
    <w:basedOn w:val="1"/>
    <w:qFormat/>
    <w:uiPriority w:val="0"/>
    <w:pPr>
      <w:spacing w:line="240" w:lineRule="auto"/>
      <w:jc w:val="both"/>
    </w:pPr>
  </w:style>
  <w:style w:type="paragraph" w:customStyle="1" w:styleId="159">
    <w:name w:val="xl45"/>
    <w:basedOn w:val="1"/>
    <w:qFormat/>
    <w:uiPriority w:val="0"/>
    <w:pPr>
      <w:widowControl/>
      <w:pBdr>
        <w:bottom w:val="single" w:color="auto" w:sz="8" w:space="0"/>
        <w:right w:val="double" w:color="auto" w:sz="6" w:space="0"/>
      </w:pBdr>
      <w:spacing w:before="100" w:beforeAutospacing="1" w:after="100" w:afterAutospacing="1" w:line="240" w:lineRule="auto"/>
      <w:jc w:val="center"/>
    </w:pPr>
    <w:rPr>
      <w:color w:val="FF0000"/>
      <w:kern w:val="0"/>
      <w:szCs w:val="21"/>
    </w:rPr>
  </w:style>
  <w:style w:type="paragraph" w:customStyle="1" w:styleId="160">
    <w:name w:val="表头3"/>
    <w:basedOn w:val="127"/>
    <w:qFormat/>
    <w:uiPriority w:val="0"/>
    <w:pPr>
      <w:spacing w:line="500" w:lineRule="exact"/>
      <w:ind w:left="-528" w:right="240" w:firstLine="480"/>
    </w:pPr>
    <w:rPr>
      <w:bCs/>
      <w:sz w:val="21"/>
      <w:szCs w:val="21"/>
    </w:rPr>
  </w:style>
  <w:style w:type="paragraph" w:customStyle="1" w:styleId="161">
    <w:name w:val="样式 段前: 2.4 磅 段后: 2.4 磅 行距: 1.5 倍行距2"/>
    <w:basedOn w:val="1"/>
    <w:qFormat/>
    <w:uiPriority w:val="0"/>
    <w:pPr>
      <w:spacing w:before="48" w:after="48"/>
      <w:ind w:firstLine="480" w:firstLineChars="200"/>
      <w:jc w:val="both"/>
    </w:pPr>
    <w:rPr>
      <w:rFonts w:cs="宋体"/>
      <w:sz w:val="28"/>
      <w:szCs w:val="20"/>
    </w:rPr>
  </w:style>
  <w:style w:type="paragraph" w:customStyle="1" w:styleId="162">
    <w:name w:val="1."/>
    <w:basedOn w:val="1"/>
    <w:qFormat/>
    <w:uiPriority w:val="0"/>
    <w:pPr>
      <w:tabs>
        <w:tab w:val="left" w:pos="0"/>
        <w:tab w:val="left" w:pos="426"/>
      </w:tabs>
      <w:adjustRightInd w:val="0"/>
      <w:spacing w:before="60" w:after="60" w:line="360" w:lineRule="atLeast"/>
      <w:ind w:left="426" w:hanging="426"/>
      <w:jc w:val="both"/>
      <w:textAlignment w:val="baseline"/>
    </w:pPr>
    <w:rPr>
      <w:rFonts w:ascii="Arial" w:hAnsi="Arial"/>
      <w:kern w:val="0"/>
      <w:szCs w:val="20"/>
    </w:rPr>
  </w:style>
  <w:style w:type="paragraph" w:customStyle="1" w:styleId="163">
    <w:name w:val="l9标题2"/>
    <w:basedOn w:val="1"/>
    <w:qFormat/>
    <w:uiPriority w:val="0"/>
    <w:pPr>
      <w:tabs>
        <w:tab w:val="left" w:pos="900"/>
        <w:tab w:val="left" w:pos="1080"/>
      </w:tabs>
      <w:ind w:left="180" w:hanging="180"/>
      <w:jc w:val="both"/>
    </w:pPr>
    <w:rPr>
      <w:rFonts w:ascii="宋体" w:hAnsi="宋体"/>
      <w:color w:val="000000"/>
      <w:sz w:val="24"/>
      <w:szCs w:val="20"/>
    </w:rPr>
  </w:style>
  <w:style w:type="paragraph" w:customStyle="1" w:styleId="164">
    <w:name w:val="表内容`"/>
    <w:basedOn w:val="1"/>
    <w:qFormat/>
    <w:uiPriority w:val="0"/>
    <w:pPr>
      <w:adjustRightInd w:val="0"/>
      <w:spacing w:line="240" w:lineRule="auto"/>
      <w:jc w:val="center"/>
      <w:textAlignment w:val="baseline"/>
    </w:pPr>
    <w:rPr>
      <w:sz w:val="24"/>
    </w:rPr>
  </w:style>
  <w:style w:type="paragraph" w:customStyle="1" w:styleId="165">
    <w:name w:val="样式 标题 4 + Times New Roman 小四 段前: 1.2 磅 段后: 2.4 磅 行距: 1.5 倍行距"/>
    <w:basedOn w:val="5"/>
    <w:qFormat/>
    <w:uiPriority w:val="0"/>
    <w:pPr>
      <w:numPr>
        <w:numId w:val="0"/>
      </w:numPr>
      <w:spacing w:before="24" w:after="48" w:line="360" w:lineRule="auto"/>
      <w:jc w:val="both"/>
    </w:pPr>
    <w:rPr>
      <w:rFonts w:ascii="Times New Roman" w:hAnsi="Times New Roman" w:cs="宋体"/>
      <w:sz w:val="28"/>
      <w:szCs w:val="20"/>
    </w:rPr>
  </w:style>
  <w:style w:type="paragraph" w:customStyle="1" w:styleId="166">
    <w:name w:val="表内文"/>
    <w:basedOn w:val="1"/>
    <w:qFormat/>
    <w:uiPriority w:val="0"/>
    <w:pPr>
      <w:adjustRightInd w:val="0"/>
      <w:snapToGrid w:val="0"/>
      <w:spacing w:line="240" w:lineRule="auto"/>
      <w:jc w:val="center"/>
    </w:pPr>
    <w:rPr>
      <w:rFonts w:ascii="宋体" w:hAnsi="宋体"/>
      <w:kern w:val="0"/>
      <w:szCs w:val="21"/>
    </w:rPr>
  </w:style>
  <w:style w:type="paragraph" w:customStyle="1" w:styleId="167">
    <w:name w:val="xl40"/>
    <w:basedOn w:val="1"/>
    <w:qFormat/>
    <w:uiPriority w:val="0"/>
    <w:pPr>
      <w:widowControl/>
      <w:pBdr>
        <w:top w:val="single" w:color="auto" w:sz="8" w:space="0"/>
        <w:bottom w:val="single" w:color="auto" w:sz="8" w:space="0"/>
        <w:right w:val="double" w:color="auto" w:sz="6" w:space="0"/>
      </w:pBdr>
      <w:spacing w:before="100" w:beforeAutospacing="1" w:after="100" w:afterAutospacing="1" w:line="240" w:lineRule="auto"/>
      <w:jc w:val="center"/>
    </w:pPr>
    <w:rPr>
      <w:color w:val="FF00FF"/>
      <w:kern w:val="0"/>
      <w:szCs w:val="21"/>
    </w:rPr>
  </w:style>
  <w:style w:type="paragraph" w:customStyle="1" w:styleId="168">
    <w:name w:val="xl46"/>
    <w:basedOn w:val="1"/>
    <w:qFormat/>
    <w:uiPriority w:val="0"/>
    <w:pPr>
      <w:widowControl/>
      <w:pBdr>
        <w:bottom w:val="single" w:color="auto" w:sz="8" w:space="0"/>
        <w:right w:val="double" w:color="auto" w:sz="6" w:space="0"/>
      </w:pBdr>
      <w:spacing w:before="100" w:beforeAutospacing="1" w:after="100" w:afterAutospacing="1" w:line="240" w:lineRule="auto"/>
      <w:jc w:val="center"/>
    </w:pPr>
    <w:rPr>
      <w:b/>
      <w:bCs/>
      <w:color w:val="0000FF"/>
      <w:kern w:val="0"/>
      <w:szCs w:val="21"/>
    </w:rPr>
  </w:style>
  <w:style w:type="paragraph" w:customStyle="1" w:styleId="169">
    <w:name w:val="表号"/>
    <w:basedOn w:val="1"/>
    <w:qFormat/>
    <w:uiPriority w:val="0"/>
    <w:pPr>
      <w:autoSpaceDE w:val="0"/>
      <w:autoSpaceDN w:val="0"/>
      <w:adjustRightInd w:val="0"/>
      <w:spacing w:line="240" w:lineRule="auto"/>
      <w:jc w:val="right"/>
      <w:textAlignment w:val="bottom"/>
    </w:pPr>
    <w:rPr>
      <w:kern w:val="0"/>
      <w:szCs w:val="21"/>
    </w:rPr>
  </w:style>
  <w:style w:type="paragraph" w:customStyle="1" w:styleId="170">
    <w:name w:val="1.1.1.1A"/>
    <w:basedOn w:val="1"/>
    <w:qFormat/>
    <w:uiPriority w:val="0"/>
    <w:pPr>
      <w:tabs>
        <w:tab w:val="left" w:pos="1134"/>
        <w:tab w:val="left" w:pos="1843"/>
      </w:tabs>
      <w:adjustRightInd w:val="0"/>
      <w:spacing w:before="60" w:after="60" w:line="360" w:lineRule="atLeast"/>
      <w:ind w:left="1560" w:hanging="426"/>
      <w:jc w:val="both"/>
      <w:textAlignment w:val="baseline"/>
    </w:pPr>
    <w:rPr>
      <w:rFonts w:ascii="Arial" w:hAnsi="Arial"/>
      <w:kern w:val="0"/>
      <w:szCs w:val="20"/>
    </w:rPr>
  </w:style>
  <w:style w:type="paragraph" w:customStyle="1" w:styleId="171">
    <w:name w:val="xl47"/>
    <w:basedOn w:val="1"/>
    <w:qFormat/>
    <w:uiPriority w:val="0"/>
    <w:pPr>
      <w:widowControl/>
      <w:pBdr>
        <w:left w:val="double" w:color="auto" w:sz="6" w:space="0"/>
        <w:bottom w:val="single" w:color="auto" w:sz="8" w:space="0"/>
        <w:right w:val="single" w:color="auto" w:sz="8" w:space="0"/>
      </w:pBdr>
      <w:spacing w:before="100" w:beforeAutospacing="1" w:after="100" w:afterAutospacing="1" w:line="240" w:lineRule="auto"/>
      <w:jc w:val="center"/>
    </w:pPr>
    <w:rPr>
      <w:rFonts w:ascii="宋体" w:hAnsi="宋体" w:cs="宋体"/>
      <w:b/>
      <w:bCs/>
      <w:kern w:val="0"/>
      <w:sz w:val="24"/>
    </w:rPr>
  </w:style>
  <w:style w:type="paragraph" w:customStyle="1" w:styleId="172">
    <w:name w:val="Char1"/>
    <w:basedOn w:val="1"/>
    <w:qFormat/>
    <w:uiPriority w:val="0"/>
    <w:pPr>
      <w:tabs>
        <w:tab w:val="left" w:pos="360"/>
      </w:tabs>
      <w:spacing w:line="240" w:lineRule="auto"/>
      <w:jc w:val="both"/>
    </w:pPr>
    <w:rPr>
      <w:sz w:val="24"/>
    </w:rPr>
  </w:style>
  <w:style w:type="paragraph" w:customStyle="1" w:styleId="173">
    <w:name w:val="样式 首行缩进:  0.85 厘米 段前: 2.4 磅 段后: 2.4 磅 行距: 1.5 倍行距"/>
    <w:basedOn w:val="1"/>
    <w:qFormat/>
    <w:uiPriority w:val="0"/>
    <w:pPr>
      <w:spacing w:before="48" w:after="48"/>
      <w:ind w:firstLine="480"/>
      <w:jc w:val="both"/>
    </w:pPr>
    <w:rPr>
      <w:rFonts w:cs="宋体"/>
      <w:sz w:val="28"/>
      <w:szCs w:val="20"/>
    </w:rPr>
  </w:style>
  <w:style w:type="paragraph" w:customStyle="1" w:styleId="174">
    <w:name w:val="标准"/>
    <w:basedOn w:val="1"/>
    <w:qFormat/>
    <w:uiPriority w:val="0"/>
    <w:pPr>
      <w:adjustRightInd w:val="0"/>
      <w:spacing w:line="312" w:lineRule="atLeast"/>
      <w:jc w:val="both"/>
      <w:textAlignment w:val="baseline"/>
    </w:pPr>
    <w:rPr>
      <w:kern w:val="0"/>
      <w:sz w:val="24"/>
      <w:szCs w:val="20"/>
    </w:rPr>
  </w:style>
  <w:style w:type="paragraph" w:customStyle="1" w:styleId="175">
    <w:name w:val="indent"/>
    <w:basedOn w:val="1"/>
    <w:qFormat/>
    <w:uiPriority w:val="0"/>
    <w:pPr>
      <w:widowControl/>
      <w:spacing w:before="100" w:beforeAutospacing="1" w:after="100" w:afterAutospacing="1" w:line="240" w:lineRule="auto"/>
    </w:pPr>
    <w:rPr>
      <w:rFonts w:ascii="宋体" w:hAnsi="宋体"/>
      <w:kern w:val="0"/>
      <w:sz w:val="24"/>
    </w:rPr>
  </w:style>
  <w:style w:type="paragraph" w:customStyle="1" w:styleId="176">
    <w:name w:val="表内容"/>
    <w:basedOn w:val="1"/>
    <w:qFormat/>
    <w:uiPriority w:val="0"/>
    <w:pPr>
      <w:autoSpaceDE w:val="0"/>
      <w:autoSpaceDN w:val="0"/>
      <w:adjustRightInd w:val="0"/>
      <w:spacing w:beforeLines="15" w:afterLines="15" w:line="240" w:lineRule="auto"/>
      <w:jc w:val="both"/>
      <w:textAlignment w:val="bottom"/>
    </w:pPr>
    <w:rPr>
      <w:kern w:val="0"/>
      <w:szCs w:val="21"/>
    </w:rPr>
  </w:style>
  <w:style w:type="paragraph" w:customStyle="1" w:styleId="177">
    <w:name w:val="样式4"/>
    <w:qFormat/>
    <w:uiPriority w:val="0"/>
    <w:pPr>
      <w:widowControl w:val="0"/>
      <w:adjustRightInd w:val="0"/>
      <w:spacing w:line="360" w:lineRule="atLeast"/>
      <w:textAlignment w:val="baseline"/>
    </w:pPr>
    <w:rPr>
      <w:rFonts w:ascii="长城仿宋" w:hAnsi="Times New Roman" w:eastAsia="长城仿宋" w:cs="Times New Roman"/>
      <w:b/>
      <w:sz w:val="24"/>
      <w:lang w:val="en-US" w:eastAsia="zh-CN" w:bidi="ar-SA"/>
    </w:rPr>
  </w:style>
  <w:style w:type="paragraph" w:customStyle="1" w:styleId="178">
    <w:name w:val="样式 标题 2 + 段前: 0.8 行 行距: 固定值 22 磅"/>
    <w:basedOn w:val="2"/>
    <w:qFormat/>
    <w:uiPriority w:val="0"/>
    <w:pPr>
      <w:numPr>
        <w:numId w:val="0"/>
      </w:numPr>
      <w:adjustRightInd w:val="0"/>
      <w:spacing w:beforeLines="80" w:afterLines="20" w:line="440" w:lineRule="exact"/>
      <w:textAlignment w:val="baseline"/>
    </w:pPr>
    <w:rPr>
      <w:rFonts w:ascii="Times New Roman" w:hAnsi="Times New Roman" w:eastAsia="宋体" w:cs="宋体"/>
      <w:bCs w:val="0"/>
      <w:kern w:val="0"/>
      <w:sz w:val="32"/>
      <w:szCs w:val="20"/>
    </w:rPr>
  </w:style>
  <w:style w:type="paragraph" w:customStyle="1" w:styleId="179">
    <w:name w:val="表内容1"/>
    <w:basedOn w:val="176"/>
    <w:qFormat/>
    <w:uiPriority w:val="0"/>
    <w:pPr>
      <w:tabs>
        <w:tab w:val="left" w:pos="0"/>
      </w:tabs>
      <w:snapToGrid w:val="0"/>
    </w:pPr>
    <w:rPr>
      <w:b/>
      <w:bCs/>
      <w:sz w:val="24"/>
      <w:szCs w:val="24"/>
    </w:rPr>
  </w:style>
  <w:style w:type="paragraph" w:customStyle="1" w:styleId="180">
    <w:name w:val="xl44"/>
    <w:basedOn w:val="1"/>
    <w:qFormat/>
    <w:uiPriority w:val="0"/>
    <w:pPr>
      <w:widowControl/>
      <w:pBdr>
        <w:bottom w:val="single" w:color="auto" w:sz="8" w:space="0"/>
        <w:right w:val="double" w:color="auto" w:sz="6" w:space="0"/>
      </w:pBdr>
      <w:shd w:val="clear" w:color="auto" w:fill="FFFF00"/>
      <w:spacing w:before="100" w:beforeAutospacing="1" w:after="100" w:afterAutospacing="1" w:line="240" w:lineRule="auto"/>
      <w:jc w:val="center"/>
    </w:pPr>
    <w:rPr>
      <w:color w:val="FF0000"/>
      <w:kern w:val="0"/>
      <w:szCs w:val="21"/>
    </w:rPr>
  </w:style>
  <w:style w:type="paragraph" w:customStyle="1" w:styleId="181">
    <w:name w:val="font6"/>
    <w:basedOn w:val="1"/>
    <w:qFormat/>
    <w:uiPriority w:val="0"/>
    <w:pPr>
      <w:widowControl/>
      <w:spacing w:before="100" w:beforeAutospacing="1" w:after="100" w:afterAutospacing="1" w:line="240" w:lineRule="auto"/>
    </w:pPr>
    <w:rPr>
      <w:rFonts w:ascii="宋体" w:hAnsi="宋体" w:cs="宋体"/>
      <w:b/>
      <w:bCs/>
      <w:kern w:val="0"/>
      <w:sz w:val="24"/>
    </w:rPr>
  </w:style>
  <w:style w:type="paragraph" w:customStyle="1" w:styleId="182">
    <w:name w:val="xl62"/>
    <w:basedOn w:val="1"/>
    <w:qFormat/>
    <w:uiPriority w:val="0"/>
    <w:pPr>
      <w:widowControl/>
      <w:pBdr>
        <w:bottom w:val="single" w:color="auto" w:sz="8" w:space="0"/>
        <w:right w:val="single" w:color="auto" w:sz="8" w:space="0"/>
      </w:pBdr>
      <w:spacing w:before="100" w:beforeAutospacing="1" w:after="100" w:afterAutospacing="1" w:line="240" w:lineRule="auto"/>
      <w:jc w:val="center"/>
    </w:pPr>
    <w:rPr>
      <w:kern w:val="0"/>
      <w:sz w:val="24"/>
    </w:rPr>
  </w:style>
  <w:style w:type="paragraph" w:customStyle="1" w:styleId="183">
    <w:name w:val="样式 标题 4 + Times New Roman 小四 段前: 2.4 磅 段后: 2.4 磅 行距: 固定值 22 磅"/>
    <w:basedOn w:val="5"/>
    <w:qFormat/>
    <w:uiPriority w:val="0"/>
    <w:pPr>
      <w:numPr>
        <w:numId w:val="0"/>
      </w:numPr>
      <w:spacing w:before="48" w:after="48" w:line="440" w:lineRule="exact"/>
      <w:jc w:val="both"/>
    </w:pPr>
    <w:rPr>
      <w:rFonts w:ascii="Times New Roman" w:hAnsi="Times New Roman" w:cs="宋体"/>
      <w:sz w:val="28"/>
      <w:szCs w:val="20"/>
    </w:rPr>
  </w:style>
  <w:style w:type="paragraph" w:customStyle="1" w:styleId="184">
    <w:name w:val="xl60"/>
    <w:basedOn w:val="1"/>
    <w:uiPriority w:val="0"/>
    <w:pPr>
      <w:widowControl/>
      <w:pBdr>
        <w:top w:val="single" w:color="auto" w:sz="8" w:space="0"/>
        <w:bottom w:val="single" w:color="auto" w:sz="8" w:space="0"/>
        <w:right w:val="double" w:color="auto" w:sz="6" w:space="0"/>
      </w:pBdr>
      <w:spacing w:before="100" w:beforeAutospacing="1" w:after="100" w:afterAutospacing="1" w:line="240" w:lineRule="auto"/>
      <w:jc w:val="center"/>
    </w:pPr>
    <w:rPr>
      <w:b/>
      <w:bCs/>
      <w:kern w:val="0"/>
      <w:szCs w:val="21"/>
    </w:rPr>
  </w:style>
  <w:style w:type="paragraph" w:customStyle="1" w:styleId="185">
    <w:name w:val="cjk"/>
    <w:basedOn w:val="1"/>
    <w:qFormat/>
    <w:uiPriority w:val="0"/>
    <w:pPr>
      <w:widowControl/>
      <w:spacing w:before="100" w:beforeAutospacing="1" w:after="119" w:line="240" w:lineRule="auto"/>
      <w:jc w:val="both"/>
    </w:pPr>
    <w:rPr>
      <w:rFonts w:ascii="宋体" w:hAnsi="宋体" w:cs="宋体"/>
      <w:color w:val="000000"/>
      <w:kern w:val="0"/>
      <w:sz w:val="20"/>
      <w:szCs w:val="20"/>
    </w:rPr>
  </w:style>
  <w:style w:type="paragraph" w:customStyle="1" w:styleId="186">
    <w:name w:val="样式 段前: 2.4 磅 段后: 2.4 磅 行距: 1.5 倍行距1"/>
    <w:basedOn w:val="1"/>
    <w:qFormat/>
    <w:uiPriority w:val="0"/>
    <w:pPr>
      <w:spacing w:before="48" w:after="48"/>
      <w:jc w:val="both"/>
    </w:pPr>
    <w:rPr>
      <w:rFonts w:cs="宋体"/>
      <w:sz w:val="28"/>
      <w:szCs w:val="20"/>
    </w:rPr>
  </w:style>
  <w:style w:type="paragraph" w:customStyle="1" w:styleId="187">
    <w:name w:val="正文5"/>
    <w:basedOn w:val="1"/>
    <w:qFormat/>
    <w:uiPriority w:val="0"/>
    <w:pPr>
      <w:autoSpaceDE w:val="0"/>
      <w:autoSpaceDN w:val="0"/>
      <w:adjustRightInd w:val="0"/>
      <w:spacing w:line="500" w:lineRule="exact"/>
      <w:ind w:right="113" w:firstLine="482"/>
      <w:jc w:val="both"/>
    </w:pPr>
    <w:rPr>
      <w:rFonts w:ascii="宋体" w:hAnsi="宋体"/>
      <w:kern w:val="0"/>
      <w:sz w:val="24"/>
    </w:rPr>
  </w:style>
  <w:style w:type="paragraph" w:customStyle="1" w:styleId="188">
    <w:name w:val="bf.1"/>
    <w:basedOn w:val="1"/>
    <w:qFormat/>
    <w:uiPriority w:val="0"/>
    <w:pPr>
      <w:autoSpaceDE w:val="0"/>
      <w:autoSpaceDN w:val="0"/>
      <w:adjustRightInd w:val="0"/>
      <w:spacing w:line="240" w:lineRule="atLeast"/>
      <w:jc w:val="both"/>
    </w:pPr>
    <w:rPr>
      <w:rFonts w:ascii="宋体" w:hAnsi="Arial"/>
      <w:b/>
      <w:sz w:val="30"/>
      <w:szCs w:val="20"/>
    </w:rPr>
  </w:style>
  <w:style w:type="paragraph" w:customStyle="1" w:styleId="189">
    <w:name w:val="xl41"/>
    <w:basedOn w:val="1"/>
    <w:qFormat/>
    <w:uiPriority w:val="0"/>
    <w:pPr>
      <w:widowControl/>
      <w:pBdr>
        <w:bottom w:val="single" w:color="auto" w:sz="8" w:space="0"/>
        <w:right w:val="double" w:color="auto" w:sz="6" w:space="0"/>
      </w:pBdr>
      <w:spacing w:before="100" w:beforeAutospacing="1" w:after="100" w:afterAutospacing="1" w:line="240" w:lineRule="auto"/>
      <w:jc w:val="center"/>
    </w:pPr>
    <w:rPr>
      <w:color w:val="FF00FF"/>
      <w:kern w:val="0"/>
      <w:szCs w:val="21"/>
    </w:rPr>
  </w:style>
  <w:style w:type="paragraph" w:customStyle="1" w:styleId="190">
    <w:name w:val="font11"/>
    <w:basedOn w:val="1"/>
    <w:qFormat/>
    <w:uiPriority w:val="0"/>
    <w:pPr>
      <w:widowControl/>
      <w:spacing w:before="100" w:beforeAutospacing="1" w:after="100" w:afterAutospacing="1" w:line="240" w:lineRule="auto"/>
    </w:pPr>
    <w:rPr>
      <w:b/>
      <w:bCs/>
      <w:kern w:val="0"/>
      <w:sz w:val="24"/>
    </w:rPr>
  </w:style>
  <w:style w:type="paragraph" w:customStyle="1" w:styleId="191">
    <w:name w:val="表内1"/>
    <w:basedOn w:val="1"/>
    <w:qFormat/>
    <w:uiPriority w:val="0"/>
    <w:pPr>
      <w:adjustRightInd w:val="0"/>
      <w:snapToGrid w:val="0"/>
      <w:spacing w:line="240" w:lineRule="auto"/>
      <w:jc w:val="both"/>
    </w:pPr>
    <w:rPr>
      <w:rFonts w:ascii="宋体" w:hAnsi="宋体"/>
      <w:kern w:val="0"/>
      <w:sz w:val="24"/>
    </w:rPr>
  </w:style>
  <w:style w:type="paragraph" w:customStyle="1" w:styleId="192">
    <w:name w:val="样式 正文文本缩进 + 四号 两端对齐 首行缩进:  0.85 厘米 段前: 2.4 磅 段后: 2.4 磅"/>
    <w:basedOn w:val="21"/>
    <w:qFormat/>
    <w:uiPriority w:val="0"/>
    <w:pPr>
      <w:tabs>
        <w:tab w:val="clear" w:pos="8640"/>
      </w:tabs>
      <w:adjustRightInd w:val="0"/>
      <w:spacing w:before="48" w:after="48" w:line="360" w:lineRule="auto"/>
      <w:ind w:left="0" w:firstLine="480"/>
      <w:textAlignment w:val="baseline"/>
    </w:pPr>
    <w:rPr>
      <w:rFonts w:cs="宋体"/>
      <w:kern w:val="0"/>
      <w:sz w:val="28"/>
    </w:rPr>
  </w:style>
  <w:style w:type="paragraph" w:customStyle="1" w:styleId="193">
    <w:name w:val="font9"/>
    <w:basedOn w:val="1"/>
    <w:qFormat/>
    <w:uiPriority w:val="0"/>
    <w:pPr>
      <w:widowControl/>
      <w:spacing w:before="100" w:beforeAutospacing="1" w:after="100" w:afterAutospacing="1" w:line="240" w:lineRule="auto"/>
    </w:pPr>
    <w:rPr>
      <w:rFonts w:ascii="宋体" w:hAnsi="宋体" w:cs="宋体"/>
      <w:color w:val="FF0000"/>
      <w:kern w:val="0"/>
      <w:szCs w:val="21"/>
    </w:rPr>
  </w:style>
  <w:style w:type="paragraph" w:customStyle="1" w:styleId="194">
    <w:name w:val="a"/>
    <w:basedOn w:val="1"/>
    <w:qFormat/>
    <w:uiPriority w:val="0"/>
    <w:pPr>
      <w:adjustRightInd w:val="0"/>
      <w:spacing w:line="240" w:lineRule="auto"/>
      <w:jc w:val="both"/>
      <w:textAlignment w:val="baseline"/>
    </w:pPr>
    <w:rPr>
      <w:rFonts w:ascii="Arial" w:hAnsi="Arial" w:cs="Arial"/>
      <w:b/>
      <w:bCs/>
      <w:kern w:val="0"/>
      <w:sz w:val="28"/>
      <w:szCs w:val="20"/>
    </w:rPr>
  </w:style>
  <w:style w:type="paragraph" w:customStyle="1" w:styleId="195">
    <w:name w:val="表内2"/>
    <w:basedOn w:val="191"/>
    <w:qFormat/>
    <w:uiPriority w:val="0"/>
    <w:pPr>
      <w:tabs>
        <w:tab w:val="left" w:pos="360"/>
      </w:tabs>
      <w:adjustRightInd/>
      <w:spacing w:line="360" w:lineRule="exact"/>
      <w:ind w:left="-528" w:right="240"/>
      <w:jc w:val="right"/>
    </w:pPr>
    <w:rPr>
      <w:bCs/>
      <w:spacing w:val="-20"/>
      <w:kern w:val="2"/>
      <w:szCs w:val="20"/>
    </w:rPr>
  </w:style>
  <w:style w:type="paragraph" w:customStyle="1" w:styleId="196">
    <w:name w:val="tabletext"/>
    <w:basedOn w:val="1"/>
    <w:qFormat/>
    <w:uiPriority w:val="0"/>
    <w:pPr>
      <w:widowControl/>
      <w:spacing w:before="100" w:beforeAutospacing="1" w:after="100" w:afterAutospacing="1" w:line="240" w:lineRule="auto"/>
    </w:pPr>
    <w:rPr>
      <w:rFonts w:ascii="宋体" w:hAnsi="宋体" w:cs="宋体"/>
      <w:kern w:val="0"/>
      <w:sz w:val="24"/>
    </w:rPr>
  </w:style>
  <w:style w:type="paragraph" w:customStyle="1" w:styleId="197">
    <w:name w:val="xl50"/>
    <w:basedOn w:val="1"/>
    <w:qFormat/>
    <w:uiPriority w:val="0"/>
    <w:pPr>
      <w:widowControl/>
      <w:pBdr>
        <w:bottom w:val="single" w:color="auto" w:sz="8" w:space="0"/>
      </w:pBdr>
      <w:spacing w:before="100" w:beforeAutospacing="1" w:after="100" w:afterAutospacing="1" w:line="240" w:lineRule="auto"/>
      <w:jc w:val="center"/>
    </w:pPr>
    <w:rPr>
      <w:color w:val="FF00FF"/>
      <w:kern w:val="0"/>
      <w:szCs w:val="21"/>
    </w:rPr>
  </w:style>
  <w:style w:type="paragraph" w:customStyle="1" w:styleId="198">
    <w:name w:val="xl49"/>
    <w:basedOn w:val="1"/>
    <w:qFormat/>
    <w:uiPriority w:val="0"/>
    <w:pPr>
      <w:widowControl/>
      <w:pBdr>
        <w:bottom w:val="single" w:color="auto" w:sz="8" w:space="0"/>
      </w:pBdr>
      <w:spacing w:before="100" w:beforeAutospacing="1" w:after="100" w:afterAutospacing="1" w:line="240" w:lineRule="auto"/>
      <w:jc w:val="both"/>
    </w:pPr>
    <w:rPr>
      <w:color w:val="FF00FF"/>
      <w:kern w:val="0"/>
      <w:szCs w:val="21"/>
    </w:rPr>
  </w:style>
  <w:style w:type="paragraph" w:customStyle="1" w:styleId="199">
    <w:name w:val="xl38"/>
    <w:basedOn w:val="1"/>
    <w:qFormat/>
    <w:uiPriority w:val="0"/>
    <w:pPr>
      <w:widowControl/>
      <w:pBdr>
        <w:bottom w:val="single" w:color="auto" w:sz="8" w:space="0"/>
        <w:right w:val="single" w:color="auto" w:sz="8" w:space="0"/>
      </w:pBdr>
      <w:spacing w:before="100" w:beforeAutospacing="1" w:after="100" w:afterAutospacing="1" w:line="240" w:lineRule="auto"/>
      <w:jc w:val="center"/>
    </w:pPr>
    <w:rPr>
      <w:rFonts w:ascii="宋体" w:hAnsi="宋体" w:cs="宋体"/>
      <w:color w:val="FF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北通招标</Company>
  <Pages>61</Pages>
  <Words>23952</Words>
  <Characters>7564</Characters>
  <Lines>63</Lines>
  <Paragraphs>62</Paragraphs>
  <TotalTime>39</TotalTime>
  <ScaleCrop>false</ScaleCrop>
  <LinksUpToDate>false</LinksUpToDate>
  <CharactersWithSpaces>31454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2021-08-18T00:45:00Z</dcterms:created>
  <dc:creator>Administrator</dc:creator>
  <cp:lastModifiedBy>Administrator</cp:lastModifiedBy>
  <cp:lastPrinted>2020-07-21T08:39:00Z</cp:lastPrinted>
  <dcterms:modified xsi:type="dcterms:W3CDTF">2021-10-12T02:35:03Z</dcterms:modified>
  <dc:title>竞争性谈判文件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8EBF19DEB9AE4D6C83FD541DA66D9849</vt:lpwstr>
  </property>
</Properties>
</file>