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sz w:val="48"/>
          <w:szCs w:val="48"/>
          <w:shd w:val="clear" w:fill="FFFFFF"/>
        </w:rPr>
      </w:pPr>
    </w:p>
    <w:p>
      <w:pPr>
        <w:rPr>
          <w:rFonts w:hint="eastAsi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666666"/>
          <w:spacing w:val="0"/>
        </w:rPr>
      </w:pPr>
      <w:r>
        <w:rPr>
          <w:rFonts w:hint="eastAsia" w:ascii="微软雅黑" w:hAnsi="微软雅黑" w:eastAsia="微软雅黑" w:cs="微软雅黑"/>
          <w:b/>
          <w:bCs/>
          <w:i w:val="0"/>
          <w:iCs w:val="0"/>
          <w:caps w:val="0"/>
          <w:color w:val="666666"/>
          <w:spacing w:val="0"/>
          <w:sz w:val="48"/>
          <w:szCs w:val="48"/>
          <w:shd w:val="clear" w:fill="FFFFFF"/>
        </w:rPr>
        <w:t>黑  龙  江  省  政  府  采  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微软雅黑" w:hAnsi="微软雅黑" w:eastAsia="微软雅黑" w:cs="微软雅黑"/>
          <w:i w:val="0"/>
          <w:iCs w:val="0"/>
          <w:caps w:val="0"/>
          <w:color w:val="666666"/>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微软雅黑" w:hAnsi="微软雅黑" w:eastAsia="微软雅黑" w:cs="微软雅黑"/>
          <w:i w:val="0"/>
          <w:iCs w:val="0"/>
          <w:caps w:val="0"/>
          <w:color w:val="666666"/>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微软雅黑" w:hAnsi="微软雅黑" w:eastAsia="微软雅黑" w:cs="微软雅黑"/>
          <w:i w:val="0"/>
          <w:iCs w:val="0"/>
          <w:caps w:val="0"/>
          <w:color w:val="666666"/>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微软雅黑" w:hAnsi="微软雅黑" w:eastAsia="微软雅黑" w:cs="微软雅黑"/>
          <w:i w:val="0"/>
          <w:iCs w:val="0"/>
          <w:caps w:val="0"/>
          <w:color w:val="666666"/>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微软雅黑" w:hAnsi="微软雅黑" w:eastAsia="微软雅黑" w:cs="微软雅黑"/>
          <w:i w:val="0"/>
          <w:iCs w:val="0"/>
          <w:caps w:val="0"/>
          <w:color w:val="666666"/>
          <w:spacing w:val="0"/>
          <w:sz w:val="16"/>
          <w:szCs w:val="16"/>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i w:val="0"/>
          <w:iCs w:val="0"/>
          <w:caps w:val="0"/>
          <w:color w:val="666666"/>
          <w:spacing w:val="0"/>
          <w:sz w:val="72"/>
          <w:szCs w:val="72"/>
        </w:rPr>
        <w:t>竞争性磋商文件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666666"/>
          <w:spacing w:val="0"/>
          <w:sz w:val="16"/>
          <w:szCs w:val="16"/>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666666"/>
          <w:spacing w:val="0"/>
          <w:sz w:val="16"/>
          <w:szCs w:val="16"/>
        </w:rPr>
        <w:t>  </w:t>
      </w:r>
      <w:r>
        <w:rPr>
          <w:rFonts w:hint="eastAsia" w:ascii="微软雅黑" w:hAnsi="微软雅黑" w:eastAsia="微软雅黑" w:cs="微软雅黑"/>
          <w:i w:val="0"/>
          <w:iCs w:val="0"/>
          <w:caps w:val="0"/>
          <w:color w:val="666666"/>
          <w:spacing w:val="0"/>
          <w:kern w:val="0"/>
          <w:sz w:val="16"/>
          <w:szCs w:val="16"/>
          <w:lang w:val="en-US" w:eastAsia="zh-CN" w:bidi="ar"/>
        </w:rPr>
        <w:br w:type="textWrapping"/>
      </w:r>
      <w:r>
        <w:rPr>
          <w:rFonts w:hint="eastAsia" w:ascii="微软雅黑" w:hAnsi="微软雅黑" w:eastAsia="微软雅黑" w:cs="微软雅黑"/>
          <w:i w:val="0"/>
          <w:iCs w:val="0"/>
          <w:caps w:val="0"/>
          <w:color w:val="666666"/>
          <w:spacing w:val="0"/>
          <w:kern w:val="0"/>
          <w:sz w:val="16"/>
          <w:szCs w:val="16"/>
          <w:lang w:val="en-US" w:eastAsia="zh-CN" w:bidi="ar"/>
        </w:rPr>
        <w:br w:type="textWrapping"/>
      </w:r>
      <w:r>
        <w:rPr>
          <w:rFonts w:hint="eastAsia" w:ascii="微软雅黑" w:hAnsi="微软雅黑" w:eastAsia="微软雅黑" w:cs="微软雅黑"/>
          <w:i w:val="0"/>
          <w:iCs w:val="0"/>
          <w:caps w:val="0"/>
          <w:color w:val="666666"/>
          <w:spacing w:val="0"/>
          <w:kern w:val="0"/>
          <w:sz w:val="16"/>
          <w:szCs w:val="16"/>
          <w:lang w:val="en-US" w:eastAsia="zh-CN" w:bidi="ar"/>
        </w:rPr>
        <w:br w:type="textWrapping"/>
      </w:r>
      <w:r>
        <w:rPr>
          <w:rFonts w:hint="eastAsia" w:ascii="微软雅黑" w:hAnsi="微软雅黑" w:eastAsia="微软雅黑" w:cs="微软雅黑"/>
          <w:i w:val="0"/>
          <w:iCs w:val="0"/>
          <w:caps w:val="0"/>
          <w:color w:val="666666"/>
          <w:spacing w:val="0"/>
          <w:kern w:val="0"/>
          <w:sz w:val="16"/>
          <w:szCs w:val="16"/>
          <w:lang w:val="en-US" w:eastAsia="zh-CN" w:bidi="ar"/>
        </w:rPr>
        <w:br w:type="textWrapping"/>
      </w:r>
      <w:r>
        <w:rPr>
          <w:rFonts w:hint="eastAsia" w:ascii="微软雅黑" w:hAnsi="微软雅黑" w:eastAsia="微软雅黑" w:cs="微软雅黑"/>
          <w:i w:val="0"/>
          <w:iCs w:val="0"/>
          <w:caps w:val="0"/>
          <w:color w:val="666666"/>
          <w:spacing w:val="0"/>
          <w:kern w:val="0"/>
          <w:sz w:val="16"/>
          <w:szCs w:val="16"/>
          <w:lang w:val="en-US" w:eastAsia="zh-CN" w:bidi="ar"/>
        </w:rPr>
        <w:br w:type="textWrapping"/>
      </w:r>
      <w:r>
        <w:rPr>
          <w:rFonts w:hint="eastAsia" w:ascii="微软雅黑" w:hAnsi="微软雅黑" w:eastAsia="微软雅黑" w:cs="微软雅黑"/>
          <w:i w:val="0"/>
          <w:iCs w:val="0"/>
          <w:caps w:val="0"/>
          <w:color w:val="666666"/>
          <w:spacing w:val="0"/>
          <w:kern w:val="0"/>
          <w:sz w:val="16"/>
          <w:szCs w:val="16"/>
          <w:lang w:val="en-US" w:eastAsia="zh-CN" w:bidi="ar"/>
        </w:rPr>
        <w:br w:type="textWrapping"/>
      </w:r>
      <w:r>
        <w:rPr>
          <w:rFonts w:hint="eastAsia" w:ascii="微软雅黑" w:hAnsi="微软雅黑" w:eastAsia="微软雅黑" w:cs="微软雅黑"/>
          <w:i w:val="0"/>
          <w:iCs w:val="0"/>
          <w:caps w:val="0"/>
          <w:color w:val="666666"/>
          <w:spacing w:val="0"/>
          <w:kern w:val="0"/>
          <w:sz w:val="16"/>
          <w:szCs w:val="16"/>
          <w:lang w:val="en-US" w:eastAsia="zh-CN" w:bidi="ar"/>
        </w:rPr>
        <w:br w:type="textWrapp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666666"/>
          <w:spacing w:val="0"/>
          <w:sz w:val="27"/>
          <w:szCs w:val="27"/>
        </w:rPr>
        <w:t>项目名称：</w:t>
      </w:r>
      <w:r>
        <w:rPr>
          <w:rFonts w:hint="eastAsia" w:ascii="微软雅黑" w:hAnsi="微软雅黑" w:eastAsia="微软雅黑" w:cs="微软雅黑"/>
          <w:i w:val="0"/>
          <w:iCs w:val="0"/>
          <w:caps w:val="0"/>
          <w:color w:val="0A82E5"/>
          <w:spacing w:val="0"/>
          <w:sz w:val="27"/>
          <w:szCs w:val="27"/>
        </w:rPr>
        <w:t>房屋维修工程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666666"/>
          <w:spacing w:val="0"/>
          <w:sz w:val="27"/>
          <w:szCs w:val="27"/>
        </w:rPr>
        <w:t>项目编号：</w:t>
      </w:r>
      <w:r>
        <w:rPr>
          <w:rFonts w:hint="eastAsia" w:ascii="微软雅黑" w:hAnsi="微软雅黑" w:eastAsia="微软雅黑" w:cs="微软雅黑"/>
          <w:i w:val="0"/>
          <w:iCs w:val="0"/>
          <w:caps w:val="0"/>
          <w:color w:val="0A82E5"/>
          <w:spacing w:val="0"/>
          <w:sz w:val="27"/>
          <w:szCs w:val="27"/>
        </w:rPr>
        <w:t>YZC2021-004</w:t>
      </w:r>
    </w:p>
    <w:p>
      <w:pPr>
        <w:keepNext w:val="0"/>
        <w:keepLines w:val="0"/>
        <w:widowControl/>
        <w:suppressLineNumbers w:val="0"/>
        <w:spacing w:before="0" w:beforeAutospacing="0" w:after="240" w:afterAutospacing="0"/>
        <w:ind w:left="0" w:right="0"/>
        <w:jc w:val="left"/>
      </w:pPr>
      <w:r>
        <w:rPr>
          <w:rFonts w:hint="eastAsia" w:ascii="微软雅黑" w:hAnsi="微软雅黑" w:eastAsia="微软雅黑" w:cs="微软雅黑"/>
          <w:i w:val="0"/>
          <w:iCs w:val="0"/>
          <w:caps w:val="0"/>
          <w:color w:val="666666"/>
          <w:spacing w:val="0"/>
          <w:kern w:val="0"/>
          <w:sz w:val="16"/>
          <w:szCs w:val="16"/>
          <w:lang w:val="en-US" w:eastAsia="zh-CN" w:bidi="ar"/>
        </w:rPr>
        <w:br w:type="textWrapping"/>
      </w:r>
      <w:r>
        <w:rPr>
          <w:rFonts w:hint="eastAsia" w:ascii="微软雅黑" w:hAnsi="微软雅黑" w:eastAsia="微软雅黑" w:cs="微软雅黑"/>
          <w:i w:val="0"/>
          <w:iCs w:val="0"/>
          <w:caps w:val="0"/>
          <w:color w:val="666666"/>
          <w:spacing w:val="0"/>
          <w:kern w:val="0"/>
          <w:sz w:val="16"/>
          <w:szCs w:val="16"/>
          <w:lang w:val="en-US" w:eastAsia="zh-CN" w:bidi="ar"/>
        </w:rPr>
        <w:br w:type="textWrapping"/>
      </w:r>
      <w:r>
        <w:rPr>
          <w:rFonts w:hint="eastAsia" w:ascii="微软雅黑" w:hAnsi="微软雅黑" w:eastAsia="微软雅黑" w:cs="微软雅黑"/>
          <w:i w:val="0"/>
          <w:iCs w:val="0"/>
          <w:caps w:val="0"/>
          <w:color w:val="666666"/>
          <w:spacing w:val="0"/>
          <w:kern w:val="0"/>
          <w:sz w:val="16"/>
          <w:szCs w:val="16"/>
          <w:lang w:val="en-US" w:eastAsia="zh-CN" w:bidi="ar"/>
        </w:rPr>
        <w:br w:type="textWrapping"/>
      </w:r>
      <w:r>
        <w:rPr>
          <w:rFonts w:hint="eastAsia" w:ascii="微软雅黑" w:hAnsi="微软雅黑" w:eastAsia="微软雅黑" w:cs="微软雅黑"/>
          <w:i w:val="0"/>
          <w:iCs w:val="0"/>
          <w:caps w:val="0"/>
          <w:color w:val="666666"/>
          <w:spacing w:val="0"/>
          <w:kern w:val="0"/>
          <w:sz w:val="16"/>
          <w:szCs w:val="16"/>
          <w:lang w:val="en-US" w:eastAsia="zh-CN" w:bidi="ar"/>
        </w:rPr>
        <w:br w:type="textWrapping"/>
      </w:r>
      <w:r>
        <w:rPr>
          <w:rFonts w:hint="eastAsia" w:ascii="微软雅黑" w:hAnsi="微软雅黑" w:eastAsia="微软雅黑" w:cs="微软雅黑"/>
          <w:i w:val="0"/>
          <w:iCs w:val="0"/>
          <w:caps w:val="0"/>
          <w:color w:val="666666"/>
          <w:spacing w:val="0"/>
          <w:kern w:val="0"/>
          <w:sz w:val="16"/>
          <w:szCs w:val="16"/>
          <w:lang w:val="en-US" w:eastAsia="zh-CN" w:bidi="ar"/>
        </w:rPr>
        <w:br w:type="textWrapping"/>
      </w:r>
      <w:r>
        <w:rPr>
          <w:rFonts w:hint="eastAsia" w:ascii="微软雅黑" w:hAnsi="微软雅黑" w:eastAsia="微软雅黑" w:cs="微软雅黑"/>
          <w:i w:val="0"/>
          <w:iCs w:val="0"/>
          <w:caps w:val="0"/>
          <w:color w:val="666666"/>
          <w:spacing w:val="0"/>
          <w:kern w:val="0"/>
          <w:sz w:val="16"/>
          <w:szCs w:val="16"/>
          <w:lang w:val="en-US" w:eastAsia="zh-CN" w:bidi="ar"/>
        </w:rPr>
        <w:br w:type="textWrapping"/>
      </w:r>
      <w:r>
        <w:rPr>
          <w:rFonts w:hint="eastAsia" w:ascii="微软雅黑" w:hAnsi="微软雅黑" w:eastAsia="微软雅黑" w:cs="微软雅黑"/>
          <w:i w:val="0"/>
          <w:iCs w:val="0"/>
          <w:caps w:val="0"/>
          <w:color w:val="666666"/>
          <w:spacing w:val="0"/>
          <w:kern w:val="0"/>
          <w:sz w:val="16"/>
          <w:szCs w:val="16"/>
          <w:lang w:val="en-US" w:eastAsia="zh-CN" w:bidi="ar"/>
        </w:rPr>
        <w:br w:type="textWrapping"/>
      </w:r>
      <w:r>
        <w:rPr>
          <w:rFonts w:hint="eastAsia" w:ascii="微软雅黑" w:hAnsi="微软雅黑" w:eastAsia="微软雅黑" w:cs="微软雅黑"/>
          <w:i w:val="0"/>
          <w:iCs w:val="0"/>
          <w:caps w:val="0"/>
          <w:color w:val="666666"/>
          <w:spacing w:val="0"/>
          <w:kern w:val="0"/>
          <w:sz w:val="16"/>
          <w:szCs w:val="16"/>
          <w:lang w:val="en-US" w:eastAsia="zh-CN" w:bidi="ar"/>
        </w:rPr>
        <w:br w:type="textWrapping"/>
      </w:r>
      <w:r>
        <w:rPr>
          <w:rFonts w:hint="eastAsia" w:ascii="微软雅黑" w:hAnsi="微软雅黑" w:eastAsia="微软雅黑" w:cs="微软雅黑"/>
          <w:i w:val="0"/>
          <w:iCs w:val="0"/>
          <w:caps w:val="0"/>
          <w:color w:val="666666"/>
          <w:spacing w:val="0"/>
          <w:kern w:val="0"/>
          <w:sz w:val="16"/>
          <w:szCs w:val="16"/>
          <w:lang w:val="en-US" w:eastAsia="zh-CN" w:bidi="ar"/>
        </w:rPr>
        <w:br w:type="textWrapp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A82E5"/>
          <w:spacing w:val="0"/>
          <w:sz w:val="27"/>
          <w:szCs w:val="27"/>
        </w:rPr>
        <w:t>黑龙江雨泽项目管理咨询有限公司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0A82E5"/>
          <w:spacing w:val="0"/>
          <w:sz w:val="27"/>
          <w:szCs w:val="27"/>
        </w:rPr>
        <w:t>2021年09月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666666"/>
          <w:spacing w:val="0"/>
          <w:sz w:val="16"/>
          <w:szCs w:val="16"/>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16"/>
          <w:szCs w:val="16"/>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666666"/>
          <w:spacing w:val="0"/>
          <w:sz w:val="16"/>
          <w:szCs w:val="16"/>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rPr>
      </w:pPr>
      <w:r>
        <w:rPr>
          <w:rFonts w:hint="eastAsia" w:ascii="微软雅黑" w:hAnsi="微软雅黑" w:eastAsia="微软雅黑" w:cs="微软雅黑"/>
          <w:b/>
          <w:bCs/>
          <w:i w:val="0"/>
          <w:iCs w:val="0"/>
          <w:caps w:val="0"/>
          <w:color w:val="666666"/>
          <w:spacing w:val="0"/>
          <w:sz w:val="36"/>
          <w:szCs w:val="36"/>
        </w:rPr>
        <w:t>第一章 竞争性磋商邀请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666666"/>
          <w:spacing w:val="0"/>
          <w:sz w:val="24"/>
          <w:szCs w:val="24"/>
        </w:rPr>
        <w:t>      </w:t>
      </w:r>
      <w:r>
        <w:rPr>
          <w:rFonts w:hint="eastAsia" w:ascii="微软雅黑" w:hAnsi="微软雅黑" w:eastAsia="微软雅黑" w:cs="微软雅黑"/>
          <w:i w:val="0"/>
          <w:iCs w:val="0"/>
          <w:caps w:val="0"/>
          <w:color w:val="0A82E5"/>
          <w:spacing w:val="0"/>
          <w:sz w:val="24"/>
          <w:szCs w:val="24"/>
        </w:rPr>
        <w:t>黑龙江雨泽项目管理咨询有限公司</w:t>
      </w:r>
      <w:r>
        <w:rPr>
          <w:rFonts w:hint="eastAsia" w:ascii="微软雅黑" w:hAnsi="微软雅黑" w:eastAsia="微软雅黑" w:cs="微软雅黑"/>
          <w:i w:val="0"/>
          <w:iCs w:val="0"/>
          <w:caps w:val="0"/>
          <w:color w:val="666666"/>
          <w:spacing w:val="0"/>
          <w:sz w:val="24"/>
          <w:szCs w:val="24"/>
        </w:rPr>
        <w:t>受</w:t>
      </w:r>
      <w:r>
        <w:rPr>
          <w:rFonts w:hint="eastAsia" w:ascii="微软雅黑" w:hAnsi="微软雅黑" w:eastAsia="微软雅黑" w:cs="微软雅黑"/>
          <w:i w:val="0"/>
          <w:iCs w:val="0"/>
          <w:caps w:val="0"/>
          <w:color w:val="0A82E5"/>
          <w:spacing w:val="0"/>
          <w:sz w:val="24"/>
          <w:szCs w:val="24"/>
        </w:rPr>
        <w:t>黑龙江省无线电监测站</w:t>
      </w:r>
      <w:r>
        <w:rPr>
          <w:rFonts w:hint="eastAsia" w:ascii="微软雅黑" w:hAnsi="微软雅黑" w:eastAsia="微软雅黑" w:cs="微软雅黑"/>
          <w:i w:val="0"/>
          <w:iCs w:val="0"/>
          <w:caps w:val="0"/>
          <w:color w:val="666666"/>
          <w:spacing w:val="0"/>
          <w:sz w:val="24"/>
          <w:szCs w:val="24"/>
        </w:rPr>
        <w:t>委托，依据《政府采购法》及相关法规，对</w:t>
      </w:r>
      <w:r>
        <w:rPr>
          <w:rFonts w:hint="eastAsia" w:ascii="微软雅黑" w:hAnsi="微软雅黑" w:eastAsia="微软雅黑" w:cs="微软雅黑"/>
          <w:i w:val="0"/>
          <w:iCs w:val="0"/>
          <w:caps w:val="0"/>
          <w:color w:val="0A82E5"/>
          <w:spacing w:val="0"/>
          <w:sz w:val="24"/>
          <w:szCs w:val="24"/>
        </w:rPr>
        <w:t>房屋维修工程</w:t>
      </w:r>
      <w:r>
        <w:rPr>
          <w:rFonts w:hint="eastAsia" w:ascii="微软雅黑" w:hAnsi="微软雅黑" w:eastAsia="微软雅黑" w:cs="微软雅黑"/>
          <w:i w:val="0"/>
          <w:iCs w:val="0"/>
          <w:caps w:val="0"/>
          <w:color w:val="666666"/>
          <w:spacing w:val="0"/>
          <w:sz w:val="24"/>
          <w:szCs w:val="24"/>
        </w:rPr>
        <w:t>采购及服务进行国内竞争性磋商，现欢迎国内合格供应商前来参加。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bCs/>
        </w:rPr>
      </w:pPr>
      <w:r>
        <w:rPr>
          <w:rFonts w:hint="eastAsia" w:ascii="微软雅黑" w:hAnsi="微软雅黑" w:eastAsia="微软雅黑" w:cs="微软雅黑"/>
          <w:b/>
          <w:bCs/>
          <w:i w:val="0"/>
          <w:iCs w:val="0"/>
          <w:caps w:val="0"/>
          <w:color w:val="666666"/>
          <w:spacing w:val="0"/>
          <w:sz w:val="24"/>
          <w:szCs w:val="24"/>
        </w:rPr>
        <w:t>一、项目名称：</w:t>
      </w:r>
      <w:r>
        <w:rPr>
          <w:rFonts w:hint="eastAsia" w:ascii="微软雅黑" w:hAnsi="微软雅黑" w:eastAsia="微软雅黑" w:cs="微软雅黑"/>
          <w:b w:val="0"/>
          <w:bCs w:val="0"/>
          <w:i w:val="0"/>
          <w:iCs w:val="0"/>
          <w:caps w:val="0"/>
          <w:color w:val="0A82E5"/>
          <w:spacing w:val="0"/>
          <w:sz w:val="24"/>
          <w:szCs w:val="24"/>
        </w:rPr>
        <w:t>房屋维修工程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bCs/>
        </w:rPr>
      </w:pPr>
      <w:r>
        <w:rPr>
          <w:rFonts w:hint="eastAsia" w:ascii="微软雅黑" w:hAnsi="微软雅黑" w:eastAsia="微软雅黑" w:cs="微软雅黑"/>
          <w:b/>
          <w:bCs/>
          <w:i w:val="0"/>
          <w:iCs w:val="0"/>
          <w:caps w:val="0"/>
          <w:color w:val="666666"/>
          <w:spacing w:val="0"/>
          <w:sz w:val="24"/>
          <w:szCs w:val="24"/>
        </w:rPr>
        <w:t>二、项目编号：</w:t>
      </w:r>
      <w:r>
        <w:rPr>
          <w:rFonts w:hint="eastAsia" w:ascii="微软雅黑" w:hAnsi="微软雅黑" w:eastAsia="微软雅黑" w:cs="微软雅黑"/>
          <w:b w:val="0"/>
          <w:bCs w:val="0"/>
          <w:i w:val="0"/>
          <w:iCs w:val="0"/>
          <w:caps w:val="0"/>
          <w:color w:val="0A82E5"/>
          <w:spacing w:val="0"/>
          <w:sz w:val="24"/>
          <w:szCs w:val="24"/>
        </w:rPr>
        <w:t>YZC2021-004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bCs/>
        </w:rPr>
      </w:pPr>
      <w:r>
        <w:rPr>
          <w:rFonts w:hint="eastAsia" w:ascii="微软雅黑" w:hAnsi="微软雅黑" w:eastAsia="微软雅黑" w:cs="微软雅黑"/>
          <w:b/>
          <w:bCs/>
          <w:i w:val="0"/>
          <w:iCs w:val="0"/>
          <w:caps w:val="0"/>
          <w:color w:val="666666"/>
          <w:spacing w:val="0"/>
          <w:sz w:val="24"/>
          <w:szCs w:val="24"/>
        </w:rPr>
        <w:t>三、磋商内容</w:t>
      </w:r>
    </w:p>
    <w:tbl>
      <w:tblPr>
        <w:tblStyle w:val="8"/>
        <w:tblW w:w="5000" w:type="pct"/>
        <w:jc w:val="center"/>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14"/>
        <w:gridCol w:w="2999"/>
        <w:gridCol w:w="714"/>
        <w:gridCol w:w="1857"/>
        <w:gridCol w:w="2142"/>
      </w:tblGrid>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PrEx>
        <w:trPr>
          <w:tblHeader/>
          <w:jc w:val="center"/>
        </w:trPr>
        <w:tc>
          <w:tcPr>
            <w:tcW w:w="0" w:type="auto"/>
            <w:tcBorders>
              <w:top w:val="single" w:color="B4C3D8" w:sz="4" w:space="0"/>
              <w:left w:val="single" w:color="B4C3D8" w:sz="4" w:space="0"/>
              <w:bottom w:val="single" w:color="B4C3D8" w:sz="4" w:space="0"/>
              <w:right w:val="single" w:color="B4C3D8" w:sz="4" w:space="0"/>
            </w:tcBorders>
            <w:shd w:val="clear" w:color="auto" w:fill="EEEEEE"/>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包号</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货物、服务和工程名称</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数量</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采购需求</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预算金额（元）</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0A82E5"/>
              </w:rPr>
            </w:pPr>
            <w:r>
              <w:rPr>
                <w:rFonts w:ascii="宋体" w:hAnsi="宋体" w:eastAsia="宋体" w:cs="宋体"/>
                <w:color w:val="0A82E5"/>
                <w:kern w:val="0"/>
                <w:sz w:val="24"/>
                <w:szCs w:val="24"/>
                <w:lang w:val="en-US" w:eastAsia="zh-CN" w:bidi="ar"/>
              </w:rPr>
              <w:t>1</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0A82E5"/>
              </w:rPr>
            </w:pPr>
            <w:r>
              <w:rPr>
                <w:rFonts w:ascii="宋体" w:hAnsi="宋体" w:eastAsia="宋体" w:cs="宋体"/>
                <w:color w:val="0A82E5"/>
                <w:kern w:val="0"/>
                <w:sz w:val="24"/>
                <w:szCs w:val="24"/>
                <w:lang w:val="en-US" w:eastAsia="zh-CN" w:bidi="ar"/>
              </w:rPr>
              <w:t>房屋维修</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0A82E5"/>
              </w:rPr>
            </w:pPr>
            <w:r>
              <w:rPr>
                <w:rFonts w:ascii="宋体" w:hAnsi="宋体" w:eastAsia="宋体" w:cs="宋体"/>
                <w:color w:val="0A82E5"/>
                <w:kern w:val="0"/>
                <w:sz w:val="24"/>
                <w:szCs w:val="24"/>
                <w:lang w:val="en-US" w:eastAsia="zh-CN" w:bidi="ar"/>
              </w:rPr>
              <w:t>1</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0A82E5"/>
              </w:rPr>
            </w:pPr>
            <w:r>
              <w:rPr>
                <w:rFonts w:ascii="宋体" w:hAnsi="宋体" w:eastAsia="宋体" w:cs="宋体"/>
                <w:color w:val="0A82E5"/>
                <w:kern w:val="0"/>
                <w:sz w:val="24"/>
                <w:szCs w:val="24"/>
                <w:lang w:val="en-US" w:eastAsia="zh-CN" w:bidi="ar"/>
              </w:rPr>
              <w:t>详见采购文件</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0A82E5"/>
              </w:rPr>
            </w:pPr>
            <w:r>
              <w:rPr>
                <w:rFonts w:ascii="宋体" w:hAnsi="宋体" w:eastAsia="宋体" w:cs="宋体"/>
                <w:color w:val="0A82E5"/>
                <w:kern w:val="0"/>
                <w:sz w:val="24"/>
                <w:szCs w:val="24"/>
                <w:lang w:val="en-US" w:eastAsia="zh-CN" w:bidi="ar"/>
              </w:rPr>
              <w:t>385,100.00</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bCs/>
        </w:rPr>
      </w:pPr>
      <w:r>
        <w:rPr>
          <w:rFonts w:hint="eastAsia" w:ascii="微软雅黑" w:hAnsi="微软雅黑" w:eastAsia="微软雅黑" w:cs="微软雅黑"/>
          <w:b/>
          <w:bCs/>
          <w:i w:val="0"/>
          <w:iCs w:val="0"/>
          <w:caps w:val="0"/>
          <w:color w:val="666666"/>
          <w:spacing w:val="0"/>
          <w:sz w:val="24"/>
          <w:szCs w:val="24"/>
        </w:rPr>
        <w:t>四、交货期限、地点：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val="0"/>
        </w:rPr>
      </w:pPr>
      <w:r>
        <w:rPr>
          <w:rFonts w:hint="eastAsia" w:ascii="微软雅黑" w:hAnsi="微软雅黑" w:eastAsia="微软雅黑" w:cs="微软雅黑"/>
          <w:b w:val="0"/>
          <w:bCs w:val="0"/>
          <w:i w:val="0"/>
          <w:iCs w:val="0"/>
          <w:caps w:val="0"/>
          <w:color w:val="666666"/>
          <w:spacing w:val="0"/>
          <w:sz w:val="24"/>
          <w:szCs w:val="24"/>
        </w:rPr>
        <w:t>      1.交货期：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A82E5"/>
          <w:spacing w:val="0"/>
          <w:kern w:val="0"/>
          <w:sz w:val="24"/>
          <w:szCs w:val="24"/>
          <w:lang w:val="en-US" w:eastAsia="zh-CN" w:bidi="ar"/>
        </w:rPr>
        <w:t>合同包1（房屋维修）：</w:t>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0A82E5"/>
          <w:spacing w:val="0"/>
          <w:kern w:val="0"/>
          <w:sz w:val="24"/>
          <w:szCs w:val="24"/>
          <w:lang w:val="en-US" w:eastAsia="zh-CN" w:bidi="ar"/>
        </w:rPr>
        <w:t>合同签订后2个月内完成。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val="0"/>
        </w:rPr>
      </w:pPr>
      <w:r>
        <w:rPr>
          <w:rFonts w:hint="eastAsia" w:ascii="微软雅黑" w:hAnsi="微软雅黑" w:eastAsia="微软雅黑" w:cs="微软雅黑"/>
          <w:b w:val="0"/>
          <w:bCs w:val="0"/>
          <w:i w:val="0"/>
          <w:iCs w:val="0"/>
          <w:caps w:val="0"/>
          <w:color w:val="666666"/>
          <w:spacing w:val="0"/>
          <w:sz w:val="24"/>
          <w:szCs w:val="24"/>
        </w:rPr>
        <w:t>      2.交货地点：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A82E5"/>
          <w:spacing w:val="0"/>
          <w:kern w:val="0"/>
          <w:sz w:val="24"/>
          <w:szCs w:val="24"/>
          <w:lang w:val="en-US" w:eastAsia="zh-CN" w:bidi="ar"/>
        </w:rPr>
        <w:t>合同包1（房屋维修）：</w:t>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0A82E5"/>
          <w:spacing w:val="0"/>
          <w:kern w:val="0"/>
          <w:sz w:val="24"/>
          <w:szCs w:val="24"/>
          <w:lang w:val="en-US" w:eastAsia="zh-CN" w:bidi="ar"/>
        </w:rPr>
        <w:t>采购单位指定地点。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bCs/>
        </w:rPr>
      </w:pPr>
      <w:r>
        <w:rPr>
          <w:rFonts w:hint="eastAsia" w:ascii="微软雅黑" w:hAnsi="微软雅黑" w:eastAsia="微软雅黑" w:cs="微软雅黑"/>
          <w:b/>
          <w:bCs/>
          <w:i w:val="0"/>
          <w:iCs w:val="0"/>
          <w:caps w:val="0"/>
          <w:color w:val="666666"/>
          <w:spacing w:val="0"/>
          <w:sz w:val="24"/>
          <w:szCs w:val="24"/>
        </w:rPr>
        <w:t>五、参加竞争性磋商的供应商要求：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（一）必须具备《政府采购法》第二十二条规定的条件。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（二）参加本项目磋商的供应商，须在黑龙江省内政府采购网注册登记并经审核合格。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（三）本项目的特定资质要求：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jc w:val="both"/>
      </w:pPr>
      <w:r>
        <w:rPr>
          <w:rFonts w:hint="eastAsia" w:ascii="微软雅黑" w:hAnsi="微软雅黑" w:eastAsia="微软雅黑" w:cs="微软雅黑"/>
          <w:i w:val="0"/>
          <w:iCs w:val="0"/>
          <w:caps w:val="0"/>
          <w:color w:val="0A82E5"/>
          <w:spacing w:val="0"/>
          <w:sz w:val="24"/>
          <w:szCs w:val="24"/>
        </w:rPr>
        <w:t>合同包1（房屋维修）：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80" w:firstLineChars="200"/>
        <w:jc w:val="both"/>
      </w:pPr>
      <w:r>
        <w:rPr>
          <w:rFonts w:hint="eastAsia" w:ascii="微软雅黑" w:hAnsi="微软雅黑" w:eastAsia="微软雅黑" w:cs="微软雅黑"/>
          <w:i w:val="0"/>
          <w:iCs w:val="0"/>
          <w:caps w:val="0"/>
          <w:color w:val="0A82E5"/>
          <w:spacing w:val="0"/>
          <w:sz w:val="24"/>
          <w:szCs w:val="24"/>
        </w:rPr>
        <w:t> 拟参加本项目的潜在供应商须具备建设行政主管部门核发的建筑装修装饰工程专业承包二级（含）以上资质，具备有效的安全生产许可证，并在人员、设备、资金等方面具有相应的施工能力。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80" w:firstLineChars="200"/>
        <w:jc w:val="both"/>
      </w:pPr>
      <w:r>
        <w:rPr>
          <w:rFonts w:hint="eastAsia" w:ascii="微软雅黑" w:hAnsi="微软雅黑" w:eastAsia="微软雅黑" w:cs="微软雅黑"/>
          <w:i w:val="0"/>
          <w:iCs w:val="0"/>
          <w:caps w:val="0"/>
          <w:color w:val="0A82E5"/>
          <w:spacing w:val="0"/>
          <w:sz w:val="24"/>
          <w:szCs w:val="24"/>
        </w:rPr>
        <w:t> 拟参加本项目的潜在供应商须提供项目班子成员的岗位证书，包括：拟投入本项目负责人1人，须具有建设行政主管部门颁发的建筑工程专业二级及以上注册建造师证书，具备有效的安全生产考核合格证书，且未担任其他在施建设项目工程（出具承诺书）；技术负责人需提供中级及以上职称证，施工员（工长）1人，须具备岗位证书；质量员（质量检查员）1人，须具备岗位证书；安全员1人，须具备有效的安全生产考核合格证。（上述人员证企必须相符，专业：建筑工程相关专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bCs/>
        </w:rPr>
      </w:pPr>
      <w:r>
        <w:rPr>
          <w:rFonts w:hint="eastAsia" w:ascii="微软雅黑" w:hAnsi="微软雅黑" w:eastAsia="微软雅黑" w:cs="微软雅黑"/>
          <w:b/>
          <w:bCs/>
          <w:i w:val="0"/>
          <w:iCs w:val="0"/>
          <w:caps w:val="0"/>
          <w:color w:val="666666"/>
          <w:spacing w:val="0"/>
          <w:sz w:val="24"/>
          <w:szCs w:val="24"/>
        </w:rPr>
        <w:t>六、参与资格和竞争性磋商文件获取方式、时间及地点：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1.磋商文件获取方式：采购文件公告期为5个工作日，供应商须在公告期内凭用户名和密码，登录黑龙江省政府采购网，选择“交易执行 → 应标 → 项目投标”，在“未参与项目”列表中选择需要参与的项目，确认参与后即可获取磋商文件。获取磋商文件的供应商，方具有投标和质疑资格。逾期报名，不再受理。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2.获取磋商文件的时间：详见磋商公告。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3.获取磋商文件的地点：详见磋商公告。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bCs/>
        </w:rPr>
      </w:pPr>
      <w:r>
        <w:rPr>
          <w:rFonts w:hint="eastAsia" w:ascii="微软雅黑" w:hAnsi="微软雅黑" w:eastAsia="微软雅黑" w:cs="微软雅黑"/>
          <w:b/>
          <w:bCs/>
          <w:i w:val="0"/>
          <w:iCs w:val="0"/>
          <w:caps w:val="0"/>
          <w:color w:val="666666"/>
          <w:spacing w:val="0"/>
          <w:sz w:val="24"/>
          <w:szCs w:val="24"/>
        </w:rPr>
        <w:t>七、磋商文件售价：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本次磋商文件的售价为 </w:t>
      </w:r>
      <w:r>
        <w:rPr>
          <w:rFonts w:hint="eastAsia" w:ascii="微软雅黑" w:hAnsi="微软雅黑" w:eastAsia="微软雅黑" w:cs="微软雅黑"/>
          <w:i w:val="0"/>
          <w:iCs w:val="0"/>
          <w:caps w:val="0"/>
          <w:color w:val="0A82E5"/>
          <w:spacing w:val="0"/>
          <w:sz w:val="24"/>
          <w:szCs w:val="24"/>
        </w:rPr>
        <w:t>500</w:t>
      </w:r>
      <w:r>
        <w:rPr>
          <w:rFonts w:hint="eastAsia" w:ascii="微软雅黑" w:hAnsi="微软雅黑" w:eastAsia="微软雅黑" w:cs="微软雅黑"/>
          <w:i w:val="0"/>
          <w:iCs w:val="0"/>
          <w:caps w:val="0"/>
          <w:color w:val="666666"/>
          <w:spacing w:val="0"/>
          <w:sz w:val="24"/>
          <w:szCs w:val="24"/>
        </w:rPr>
        <w:t> 元人民币。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bCs/>
        </w:rPr>
      </w:pPr>
      <w:r>
        <w:rPr>
          <w:rFonts w:hint="eastAsia" w:ascii="微软雅黑" w:hAnsi="微软雅黑" w:eastAsia="微软雅黑" w:cs="微软雅黑"/>
          <w:b/>
          <w:bCs/>
          <w:i w:val="0"/>
          <w:iCs w:val="0"/>
          <w:caps w:val="0"/>
          <w:color w:val="666666"/>
          <w:spacing w:val="0"/>
          <w:sz w:val="24"/>
          <w:szCs w:val="24"/>
        </w:rPr>
        <w:t>八、询问提起与受理：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供应商对政府采购活动有疑问或有异议的，可通过以下方式进行询问：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(一)对采购文件的询问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采购文件处项目经办人 详见磋商公告 电话：详见磋商公告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(二)对评审过程和结果的询问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递交响应文件的投标人应在评审现场以书面形式向代理机构提出。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bCs/>
        </w:rPr>
      </w:pPr>
      <w:r>
        <w:rPr>
          <w:rFonts w:hint="eastAsia" w:ascii="微软雅黑" w:hAnsi="微软雅黑" w:eastAsia="微软雅黑" w:cs="微软雅黑"/>
          <w:b/>
          <w:bCs/>
          <w:i w:val="0"/>
          <w:iCs w:val="0"/>
          <w:caps w:val="0"/>
          <w:color w:val="666666"/>
          <w:spacing w:val="0"/>
          <w:sz w:val="24"/>
          <w:szCs w:val="24"/>
        </w:rPr>
        <w:t>九、质疑提起与受理：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(一)对磋商文件的质疑：已注册供应商通过政府采购网登录系统，成功下载磋商文件后，方有资格对磋商文件提出质疑。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采购文件质疑联系人：</w:t>
      </w:r>
      <w:r>
        <w:rPr>
          <w:rFonts w:hint="eastAsia" w:ascii="微软雅黑" w:hAnsi="微软雅黑" w:eastAsia="微软雅黑" w:cs="微软雅黑"/>
          <w:i w:val="0"/>
          <w:iCs w:val="0"/>
          <w:caps w:val="0"/>
          <w:color w:val="0A82E5"/>
          <w:spacing w:val="0"/>
          <w:sz w:val="24"/>
          <w:szCs w:val="24"/>
        </w:rPr>
        <w:t> </w:t>
      </w:r>
      <w:r>
        <w:rPr>
          <w:rFonts w:hint="eastAsia" w:ascii="微软雅黑" w:hAnsi="微软雅黑" w:eastAsia="微软雅黑" w:cs="微软雅黑"/>
          <w:i w:val="0"/>
          <w:iCs w:val="0"/>
          <w:caps w:val="0"/>
          <w:color w:val="666666"/>
          <w:spacing w:val="0"/>
          <w:sz w:val="24"/>
          <w:szCs w:val="24"/>
        </w:rPr>
        <w:t> </w:t>
      </w:r>
      <w:r>
        <w:rPr>
          <w:rFonts w:hint="eastAsia" w:ascii="微软雅黑" w:hAnsi="微软雅黑" w:eastAsia="微软雅黑" w:cs="微软雅黑"/>
          <w:i w:val="0"/>
          <w:iCs w:val="0"/>
          <w:caps w:val="0"/>
          <w:color w:val="0A82E5"/>
          <w:spacing w:val="0"/>
          <w:sz w:val="24"/>
          <w:szCs w:val="24"/>
          <w:lang w:val="en-US" w:eastAsia="zh-CN"/>
        </w:rPr>
        <w:t>田丰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采购文件质疑联系电话：</w:t>
      </w:r>
      <w:r>
        <w:rPr>
          <w:rFonts w:hint="eastAsia" w:ascii="微软雅黑" w:hAnsi="微软雅黑" w:eastAsia="微软雅黑" w:cs="微软雅黑"/>
          <w:i w:val="0"/>
          <w:iCs w:val="0"/>
          <w:caps w:val="0"/>
          <w:color w:val="0A82E5"/>
          <w:spacing w:val="0"/>
          <w:sz w:val="24"/>
          <w:szCs w:val="24"/>
        </w:rPr>
        <w:t> 0451-84864485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（二）对磋商过程和结果的质疑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1.提出质疑的供应商应当是参与所质疑项目采购活动的供应商；质疑供应商应当在法定期内一次性提交质疑材料；对采购过程提出质疑的，为各采购程序环节结束之日起7个工作日提出；对成交结果提出质疑的，为成交结果公告期限届满之日起7个工作日提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2.质疑供应商应当以书面形式向本代理机构提交《质疑函》。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磋商过程和结果质疑：详见成交公告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bCs/>
        </w:rPr>
      </w:pPr>
      <w:r>
        <w:rPr>
          <w:rFonts w:hint="eastAsia" w:ascii="微软雅黑" w:hAnsi="微软雅黑" w:eastAsia="微软雅黑" w:cs="微软雅黑"/>
          <w:b/>
          <w:bCs/>
          <w:i w:val="0"/>
          <w:iCs w:val="0"/>
          <w:caps w:val="0"/>
          <w:color w:val="666666"/>
          <w:spacing w:val="0"/>
          <w:sz w:val="24"/>
          <w:szCs w:val="24"/>
        </w:rPr>
        <w:t>十、提交竞争性磋商首次响应文件截止时间及磋商时间、地点：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递交响应文件截止时间：详见磋商公告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递交响应文件地点：详见磋商公告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响应文件开启时间：详见磋商公告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响应文件开启地点：详见磋商公告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备注：所有电子响应文件应在递交响应文件截止时间前递交至黑龙江省政府采购云平台，逾期递交的响应文件，为无效投标文件，平台将拒收。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bCs/>
        </w:rPr>
      </w:pPr>
      <w:r>
        <w:rPr>
          <w:rFonts w:hint="eastAsia" w:ascii="微软雅黑" w:hAnsi="微软雅黑" w:eastAsia="微软雅黑" w:cs="微软雅黑"/>
          <w:b/>
          <w:bCs/>
          <w:i w:val="0"/>
          <w:iCs w:val="0"/>
          <w:caps w:val="0"/>
          <w:color w:val="666666"/>
          <w:spacing w:val="0"/>
          <w:sz w:val="24"/>
          <w:szCs w:val="24"/>
        </w:rPr>
        <w:t>十一、发布公告的媒介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中国政府采购网（www.ccgp.gov.cn），黑龙江政府采购网（https://hljcg.hlj.gov.cn）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bCs/>
        </w:rPr>
      </w:pPr>
      <w:r>
        <w:rPr>
          <w:rFonts w:hint="eastAsia" w:ascii="微软雅黑" w:hAnsi="微软雅黑" w:eastAsia="微软雅黑" w:cs="微软雅黑"/>
          <w:b/>
          <w:bCs/>
          <w:i w:val="0"/>
          <w:iCs w:val="0"/>
          <w:caps w:val="0"/>
          <w:color w:val="666666"/>
          <w:spacing w:val="0"/>
          <w:sz w:val="24"/>
          <w:szCs w:val="24"/>
        </w:rPr>
        <w:t>十二、联系信息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1.采购人信息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采购单位：</w:t>
      </w:r>
      <w:r>
        <w:rPr>
          <w:rFonts w:hint="eastAsia" w:ascii="微软雅黑" w:hAnsi="微软雅黑" w:eastAsia="微软雅黑" w:cs="微软雅黑"/>
          <w:i w:val="0"/>
          <w:iCs w:val="0"/>
          <w:caps w:val="0"/>
          <w:color w:val="0A82E5"/>
          <w:spacing w:val="0"/>
          <w:sz w:val="24"/>
          <w:szCs w:val="24"/>
        </w:rPr>
        <w:t>黑龙江省无线电监测站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采购单位联系人： </w:t>
      </w:r>
      <w:r>
        <w:rPr>
          <w:rFonts w:hint="eastAsia" w:ascii="微软雅黑" w:hAnsi="微软雅黑" w:eastAsia="微软雅黑" w:cs="微软雅黑"/>
          <w:i w:val="0"/>
          <w:iCs w:val="0"/>
          <w:caps w:val="0"/>
          <w:color w:val="0A82E5"/>
          <w:spacing w:val="0"/>
          <w:sz w:val="24"/>
          <w:szCs w:val="24"/>
        </w:rPr>
        <w:t>李萍萍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地址： </w:t>
      </w:r>
      <w:r>
        <w:rPr>
          <w:rFonts w:hint="eastAsia" w:ascii="微软雅黑" w:hAnsi="微软雅黑" w:eastAsia="微软雅黑" w:cs="微软雅黑"/>
          <w:i w:val="0"/>
          <w:iCs w:val="0"/>
          <w:caps w:val="0"/>
          <w:color w:val="0A82E5"/>
          <w:spacing w:val="0"/>
          <w:sz w:val="24"/>
          <w:szCs w:val="24"/>
        </w:rPr>
        <w:t>哈尔滨市南岗区一曼街12号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联系方式： </w:t>
      </w:r>
      <w:r>
        <w:rPr>
          <w:rFonts w:hint="eastAsia" w:ascii="微软雅黑" w:hAnsi="微软雅黑" w:eastAsia="微软雅黑" w:cs="微软雅黑"/>
          <w:i w:val="0"/>
          <w:iCs w:val="0"/>
          <w:caps w:val="0"/>
          <w:color w:val="0A82E5"/>
          <w:spacing w:val="0"/>
          <w:sz w:val="24"/>
          <w:szCs w:val="24"/>
        </w:rPr>
        <w:t>82531022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2.采购代理机构信息（如有）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名称：</w:t>
      </w:r>
      <w:r>
        <w:rPr>
          <w:rFonts w:hint="eastAsia" w:ascii="微软雅黑" w:hAnsi="微软雅黑" w:eastAsia="微软雅黑" w:cs="微软雅黑"/>
          <w:i w:val="0"/>
          <w:iCs w:val="0"/>
          <w:caps w:val="0"/>
          <w:color w:val="0A82E5"/>
          <w:spacing w:val="0"/>
          <w:sz w:val="24"/>
          <w:szCs w:val="24"/>
        </w:rPr>
        <w:t>黑龙江雨泽项目管理咨询有限公司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地址： </w:t>
      </w:r>
      <w:r>
        <w:rPr>
          <w:rFonts w:hint="eastAsia" w:ascii="微软雅黑" w:hAnsi="微软雅黑" w:eastAsia="微软雅黑" w:cs="微软雅黑"/>
          <w:i w:val="0"/>
          <w:iCs w:val="0"/>
          <w:caps w:val="0"/>
          <w:color w:val="0A82E5"/>
          <w:spacing w:val="0"/>
          <w:sz w:val="24"/>
          <w:szCs w:val="24"/>
        </w:rPr>
        <w:t>黑龙江省哈尔滨市道里区丽江路2474号1层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联系方式： </w:t>
      </w:r>
      <w:r>
        <w:rPr>
          <w:rFonts w:hint="eastAsia" w:ascii="微软雅黑" w:hAnsi="微软雅黑" w:eastAsia="微软雅黑" w:cs="微软雅黑"/>
          <w:i w:val="0"/>
          <w:iCs w:val="0"/>
          <w:caps w:val="0"/>
          <w:color w:val="0A82E5"/>
          <w:spacing w:val="0"/>
          <w:sz w:val="24"/>
          <w:szCs w:val="24"/>
        </w:rPr>
        <w:t>0451-84864485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3.项目联系方式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eastAsia="微软雅黑"/>
          <w:lang w:eastAsia="zh-CN"/>
        </w:rPr>
      </w:pPr>
      <w:r>
        <w:rPr>
          <w:rFonts w:hint="eastAsia" w:ascii="微软雅黑" w:hAnsi="微软雅黑" w:eastAsia="微软雅黑" w:cs="微软雅黑"/>
          <w:i w:val="0"/>
          <w:iCs w:val="0"/>
          <w:caps w:val="0"/>
          <w:color w:val="666666"/>
          <w:spacing w:val="0"/>
          <w:sz w:val="24"/>
          <w:szCs w:val="24"/>
        </w:rPr>
        <w:t>         项目联系人： </w:t>
      </w:r>
      <w:r>
        <w:rPr>
          <w:rFonts w:hint="eastAsia" w:ascii="微软雅黑" w:hAnsi="微软雅黑" w:eastAsia="微软雅黑" w:cs="微软雅黑"/>
          <w:i w:val="0"/>
          <w:iCs w:val="0"/>
          <w:caps w:val="0"/>
          <w:color w:val="0A82E5"/>
          <w:spacing w:val="0"/>
          <w:sz w:val="24"/>
          <w:szCs w:val="24"/>
          <w:lang w:val="en-US" w:eastAsia="zh-CN"/>
        </w:rPr>
        <w:t>田丰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666666"/>
          <w:spacing w:val="0"/>
          <w:sz w:val="24"/>
          <w:szCs w:val="24"/>
        </w:rPr>
        <w:t>         联系方式： </w:t>
      </w:r>
      <w:r>
        <w:rPr>
          <w:rFonts w:hint="eastAsia" w:ascii="微软雅黑" w:hAnsi="微软雅黑" w:eastAsia="微软雅黑" w:cs="微软雅黑"/>
          <w:i w:val="0"/>
          <w:iCs w:val="0"/>
          <w:caps w:val="0"/>
          <w:color w:val="0A82E5"/>
          <w:spacing w:val="0"/>
          <w:sz w:val="24"/>
          <w:szCs w:val="24"/>
        </w:rPr>
        <w:t>0451-84864485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8" w:afterAutospacing="0"/>
        <w:ind w:left="0" w:right="0" w:firstLine="0"/>
        <w:jc w:val="center"/>
        <w:rPr>
          <w:rFonts w:hint="eastAsia" w:ascii="微软雅黑" w:hAnsi="微软雅黑" w:eastAsia="微软雅黑" w:cs="微软雅黑"/>
          <w:i w:val="0"/>
          <w:iCs w:val="0"/>
          <w:caps w:val="0"/>
          <w:color w:val="666666"/>
          <w:spacing w:val="0"/>
          <w:sz w:val="16"/>
          <w:szCs w:val="16"/>
        </w:rPr>
      </w:pPr>
      <w:r>
        <w:rPr>
          <w:rFonts w:hint="eastAsia" w:ascii="微软雅黑" w:hAnsi="微软雅黑" w:eastAsia="微软雅黑" w:cs="微软雅黑"/>
          <w:i w:val="0"/>
          <w:iCs w:val="0"/>
          <w:caps w:val="0"/>
          <w:color w:val="666666"/>
          <w:spacing w:val="0"/>
          <w:kern w:val="0"/>
          <w:sz w:val="24"/>
          <w:szCs w:val="24"/>
          <w:lang w:val="en-US" w:eastAsia="zh-CN" w:bidi="ar"/>
        </w:rPr>
        <w:br w:type="textWrapp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00"/>
        <w:jc w:val="right"/>
      </w:pPr>
      <w:r>
        <w:rPr>
          <w:rFonts w:hint="eastAsia" w:ascii="微软雅黑" w:hAnsi="微软雅黑" w:eastAsia="微软雅黑" w:cs="微软雅黑"/>
          <w:i w:val="0"/>
          <w:iCs w:val="0"/>
          <w:caps w:val="0"/>
          <w:color w:val="0A82E5"/>
          <w:spacing w:val="0"/>
          <w:sz w:val="24"/>
          <w:szCs w:val="24"/>
        </w:rPr>
        <w:t>黑龙江雨泽项目管理咨询有限公司</w:t>
      </w:r>
      <w:r>
        <w:rPr>
          <w:rFonts w:hint="eastAsia" w:ascii="微软雅黑" w:hAnsi="微软雅黑" w:eastAsia="微软雅黑" w:cs="微软雅黑"/>
          <w:i w:val="0"/>
          <w:iCs w:val="0"/>
          <w:caps w:val="0"/>
          <w:color w:val="666666"/>
          <w:spacing w:val="0"/>
          <w:sz w:val="24"/>
          <w:szCs w:val="24"/>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00"/>
        <w:jc w:val="right"/>
      </w:pPr>
      <w:r>
        <w:rPr>
          <w:rFonts w:hint="eastAsia" w:ascii="微软雅黑" w:hAnsi="微软雅黑" w:eastAsia="微软雅黑" w:cs="微软雅黑"/>
          <w:i w:val="0"/>
          <w:iCs w:val="0"/>
          <w:caps w:val="0"/>
          <w:color w:val="0A82E5"/>
          <w:spacing w:val="0"/>
          <w:sz w:val="24"/>
          <w:szCs w:val="24"/>
        </w:rPr>
        <w:t>2021年09月</w:t>
      </w:r>
      <w:r>
        <w:rPr>
          <w:rFonts w:hint="eastAsia" w:ascii="微软雅黑" w:hAnsi="微软雅黑" w:eastAsia="微软雅黑" w:cs="微软雅黑"/>
          <w:i w:val="0"/>
          <w:iCs w:val="0"/>
          <w:caps w:val="0"/>
          <w:color w:val="666666"/>
          <w:spacing w:val="0"/>
          <w:sz w:val="24"/>
          <w:szCs w:val="24"/>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36"/>
          <w:szCs w:val="36"/>
          <w:lang w:val="en-US" w:eastAsia="zh-CN" w:bidi="ar"/>
        </w:rPr>
        <w:t>第二章 采购人需求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bCs/>
          <w:i w:val="0"/>
          <w:iCs w:val="0"/>
          <w:caps w:val="0"/>
          <w:color w:val="666666"/>
          <w:spacing w:val="0"/>
          <w:sz w:val="27"/>
          <w:szCs w:val="27"/>
        </w:rPr>
        <w:t>一.项目概况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A82E5"/>
          <w:spacing w:val="0"/>
          <w:sz w:val="27"/>
          <w:szCs w:val="27"/>
        </w:rPr>
        <w:t>黑龙江省无线电监测站一曼街12号房屋、南通大街231号房屋及呼兰分站房屋零星维修。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A82E5"/>
        </w:rPr>
      </w:pPr>
      <w:r>
        <w:rPr>
          <w:rFonts w:hint="eastAsia" w:ascii="微软雅黑" w:hAnsi="微软雅黑" w:eastAsia="微软雅黑" w:cs="微软雅黑"/>
          <w:b w:val="0"/>
          <w:bCs w:val="0"/>
          <w:i w:val="0"/>
          <w:iCs w:val="0"/>
          <w:caps w:val="0"/>
          <w:color w:val="0A82E5"/>
          <w:spacing w:val="0"/>
          <w:sz w:val="24"/>
          <w:szCs w:val="24"/>
        </w:rPr>
        <w:t>合同包1（房屋维修）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val="0"/>
          <w:bCs w:val="0"/>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lang w:val="en-US" w:eastAsia="zh-CN" w:bidi="ar"/>
        </w:rPr>
        <w:t>1.主要商务要求</w:t>
      </w:r>
    </w:p>
    <w:tbl>
      <w:tblPr>
        <w:tblStyle w:val="8"/>
        <w:tblW w:w="5000" w:type="pct"/>
        <w:tblInd w:w="0" w:type="dxa"/>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195"/>
        <w:gridCol w:w="5231"/>
      </w:tblGrid>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195"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标的提供的时间</w:t>
            </w:r>
          </w:p>
        </w:tc>
        <w:tc>
          <w:tcPr>
            <w:tcW w:w="5231"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合同签订后2个月内完成。</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195"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标的提供的地点</w:t>
            </w:r>
          </w:p>
        </w:tc>
        <w:tc>
          <w:tcPr>
            <w:tcW w:w="5231"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采购单位指定地点。</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195"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投标有效期</w:t>
            </w:r>
          </w:p>
        </w:tc>
        <w:tc>
          <w:tcPr>
            <w:tcW w:w="5231"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从提交投标（响应）文件的截止之日起90日历天</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195"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付款方式</w:t>
            </w:r>
          </w:p>
        </w:tc>
        <w:tc>
          <w:tcPr>
            <w:tcW w:w="5231"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1期：支付比例100%，项目验收合格之后，一次性支付。</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195"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验收要求</w:t>
            </w:r>
          </w:p>
        </w:tc>
        <w:tc>
          <w:tcPr>
            <w:tcW w:w="5231"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0A82E5"/>
              </w:rPr>
            </w:pPr>
            <w:r>
              <w:rPr>
                <w:rFonts w:hint="eastAsia" w:ascii="宋体" w:hAnsi="宋体" w:eastAsia="宋体" w:cs="宋体"/>
                <w:color w:val="0A82E5"/>
                <w:kern w:val="0"/>
                <w:sz w:val="24"/>
                <w:szCs w:val="24"/>
                <w:lang w:val="en-US" w:eastAsia="zh-CN" w:bidi="ar"/>
              </w:rPr>
              <w:t>执行国家、黑龙江省现行验收规范</w:t>
            </w:r>
            <w:r>
              <w:rPr>
                <w:rFonts w:ascii="宋体" w:hAnsi="宋体" w:eastAsia="宋体" w:cs="宋体"/>
                <w:color w:val="0A82E5"/>
                <w:kern w:val="0"/>
                <w:sz w:val="24"/>
                <w:szCs w:val="24"/>
                <w:lang w:val="en-US" w:eastAsia="zh-CN" w:bidi="ar"/>
              </w:rPr>
              <w:t>。</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195"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履约保证金</w:t>
            </w:r>
          </w:p>
        </w:tc>
        <w:tc>
          <w:tcPr>
            <w:tcW w:w="5231"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不收取</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195"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ascii="宋体" w:hAnsi="宋体" w:eastAsia="宋体" w:cs="宋体"/>
                <w:color w:val="0A82E5"/>
                <w:kern w:val="0"/>
                <w:sz w:val="24"/>
                <w:szCs w:val="24"/>
                <w:lang w:val="en-US" w:eastAsia="zh-CN" w:bidi="ar"/>
              </w:rPr>
            </w:pPr>
            <w:r>
              <w:rPr>
                <w:rFonts w:ascii="宋体" w:hAnsi="宋体" w:eastAsia="宋体" w:cs="宋体"/>
                <w:color w:val="666666"/>
                <w:kern w:val="0"/>
                <w:sz w:val="24"/>
                <w:szCs w:val="24"/>
                <w:lang w:val="en-US" w:eastAsia="zh-CN" w:bidi="ar"/>
              </w:rPr>
              <w:t>其他</w:t>
            </w:r>
          </w:p>
        </w:tc>
        <w:tc>
          <w:tcPr>
            <w:tcW w:w="5231"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color w:val="0A82E5"/>
                <w:kern w:val="0"/>
                <w:sz w:val="24"/>
                <w:szCs w:val="24"/>
                <w:lang w:val="en-US" w:eastAsia="zh-CN" w:bidi="ar"/>
              </w:rPr>
            </w:pPr>
            <w:r>
              <w:rPr>
                <w:rFonts w:hint="eastAsia" w:ascii="宋体" w:hAnsi="宋体" w:eastAsia="宋体" w:cs="宋体"/>
                <w:color w:val="0A82E5"/>
                <w:kern w:val="0"/>
                <w:sz w:val="24"/>
                <w:szCs w:val="24"/>
                <w:highlight w:val="none"/>
                <w:lang w:val="en-US" w:eastAsia="zh-CN" w:bidi="ar"/>
              </w:rPr>
              <w:t>质保期：国家、行业及地方对质量保证期有明确规定时限的，取其最长时限；没有规定的，不少于12个月。</w:t>
            </w:r>
          </w:p>
        </w:tc>
      </w:tr>
    </w:tbl>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bCs/>
          <w:i w:val="0"/>
          <w:iCs w:val="0"/>
          <w:caps w:val="0"/>
          <w:color w:val="666666"/>
          <w:spacing w:val="0"/>
          <w:kern w:val="0"/>
          <w:sz w:val="24"/>
          <w:szCs w:val="24"/>
          <w:lang w:val="en-US" w:eastAsia="zh-CN" w:bidi="ar"/>
        </w:rPr>
        <w:t>2.技术标准与要求</w:t>
      </w:r>
    </w:p>
    <w:tbl>
      <w:tblPr>
        <w:tblStyle w:val="8"/>
        <w:tblW w:w="5000" w:type="pct"/>
        <w:tblInd w:w="0" w:type="dxa"/>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397"/>
        <w:gridCol w:w="980"/>
        <w:gridCol w:w="706"/>
        <w:gridCol w:w="600"/>
        <w:gridCol w:w="467"/>
        <w:gridCol w:w="693"/>
        <w:gridCol w:w="1489"/>
        <w:gridCol w:w="1285"/>
        <w:gridCol w:w="426"/>
        <w:gridCol w:w="667"/>
        <w:gridCol w:w="716"/>
      </w:tblGrid>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Header/>
        </w:trPr>
        <w:tc>
          <w:tcPr>
            <w:tcW w:w="397" w:type="dxa"/>
            <w:tcBorders>
              <w:top w:val="single" w:color="B4C3D8" w:sz="4" w:space="0"/>
              <w:left w:val="single" w:color="B4C3D8" w:sz="4" w:space="0"/>
              <w:bottom w:val="nil"/>
              <w:right w:val="single" w:color="B4C3D8" w:sz="4" w:space="0"/>
            </w:tcBorders>
            <w:shd w:val="clear" w:color="auto" w:fill="EEEEEE"/>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序号</w:t>
            </w:r>
          </w:p>
        </w:tc>
        <w:tc>
          <w:tcPr>
            <w:tcW w:w="980" w:type="dxa"/>
            <w:tcBorders>
              <w:top w:val="single" w:color="B4C3D8" w:sz="4" w:space="0"/>
              <w:left w:val="single" w:color="B4C3D8" w:sz="4" w:space="0"/>
              <w:bottom w:val="nil"/>
              <w:right w:val="single" w:color="B4C3D8" w:sz="4" w:space="0"/>
            </w:tcBorders>
            <w:shd w:val="clear" w:color="auto" w:fill="EEEEEE"/>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核心产品（“△”）</w:t>
            </w:r>
          </w:p>
        </w:tc>
        <w:tc>
          <w:tcPr>
            <w:tcW w:w="706" w:type="dxa"/>
            <w:tcBorders>
              <w:top w:val="single" w:color="B4C3D8" w:sz="4" w:space="0"/>
              <w:left w:val="single" w:color="B4C3D8" w:sz="4" w:space="0"/>
              <w:bottom w:val="nil"/>
              <w:right w:val="single" w:color="B4C3D8" w:sz="4" w:space="0"/>
            </w:tcBorders>
            <w:shd w:val="clear" w:color="auto" w:fill="EEEEEE"/>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品目名称</w:t>
            </w:r>
          </w:p>
        </w:tc>
        <w:tc>
          <w:tcPr>
            <w:tcW w:w="600" w:type="dxa"/>
            <w:tcBorders>
              <w:top w:val="single" w:color="B4C3D8" w:sz="4" w:space="0"/>
              <w:left w:val="single" w:color="B4C3D8" w:sz="4" w:space="0"/>
              <w:bottom w:val="nil"/>
              <w:right w:val="single" w:color="B4C3D8" w:sz="4" w:space="0"/>
            </w:tcBorders>
            <w:shd w:val="clear" w:color="auto" w:fill="EEEEEE"/>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标的名称</w:t>
            </w:r>
          </w:p>
        </w:tc>
        <w:tc>
          <w:tcPr>
            <w:tcW w:w="467" w:type="dxa"/>
            <w:tcBorders>
              <w:top w:val="single" w:color="B4C3D8" w:sz="4" w:space="0"/>
              <w:left w:val="single" w:color="B4C3D8" w:sz="4" w:space="0"/>
              <w:bottom w:val="nil"/>
              <w:right w:val="single" w:color="B4C3D8" w:sz="4" w:space="0"/>
            </w:tcBorders>
            <w:shd w:val="clear" w:color="auto" w:fill="EEEEEE"/>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单位</w:t>
            </w:r>
          </w:p>
        </w:tc>
        <w:tc>
          <w:tcPr>
            <w:tcW w:w="693" w:type="dxa"/>
            <w:tcBorders>
              <w:top w:val="single" w:color="B4C3D8" w:sz="4" w:space="0"/>
              <w:left w:val="single" w:color="B4C3D8" w:sz="4" w:space="0"/>
              <w:bottom w:val="nil"/>
              <w:right w:val="single" w:color="B4C3D8" w:sz="4" w:space="0"/>
            </w:tcBorders>
            <w:shd w:val="clear" w:color="auto" w:fill="EEEEEE"/>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数量</w:t>
            </w:r>
          </w:p>
        </w:tc>
        <w:tc>
          <w:tcPr>
            <w:tcW w:w="1489" w:type="dxa"/>
            <w:tcBorders>
              <w:top w:val="single" w:color="B4C3D8" w:sz="4" w:space="0"/>
              <w:left w:val="single" w:color="B4C3D8" w:sz="4" w:space="0"/>
              <w:bottom w:val="nil"/>
              <w:right w:val="single" w:color="B4C3D8" w:sz="4" w:space="0"/>
            </w:tcBorders>
            <w:shd w:val="clear" w:color="auto" w:fill="EEEEEE"/>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分项预算单价（元）</w:t>
            </w:r>
          </w:p>
        </w:tc>
        <w:tc>
          <w:tcPr>
            <w:tcW w:w="1285" w:type="dxa"/>
            <w:tcBorders>
              <w:top w:val="single" w:color="B4C3D8" w:sz="4" w:space="0"/>
              <w:left w:val="single" w:color="B4C3D8" w:sz="4" w:space="0"/>
              <w:bottom w:val="nil"/>
              <w:right w:val="single" w:color="B4C3D8" w:sz="4" w:space="0"/>
            </w:tcBorders>
            <w:shd w:val="clear" w:color="auto" w:fill="EEEEEE"/>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分项预算总价（元）</w:t>
            </w:r>
          </w:p>
        </w:tc>
        <w:tc>
          <w:tcPr>
            <w:tcW w:w="426" w:type="dxa"/>
            <w:tcBorders>
              <w:top w:val="single" w:color="B4C3D8" w:sz="4" w:space="0"/>
              <w:left w:val="single" w:color="B4C3D8" w:sz="4" w:space="0"/>
              <w:bottom w:val="nil"/>
              <w:right w:val="single" w:color="B4C3D8" w:sz="4" w:space="0"/>
            </w:tcBorders>
            <w:shd w:val="clear" w:color="auto" w:fill="EEEEEE"/>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面向对象情况</w:t>
            </w:r>
          </w:p>
        </w:tc>
        <w:tc>
          <w:tcPr>
            <w:tcW w:w="667" w:type="dxa"/>
            <w:tcBorders>
              <w:top w:val="single" w:color="B4C3D8" w:sz="4" w:space="0"/>
              <w:left w:val="single" w:color="B4C3D8" w:sz="4" w:space="0"/>
              <w:bottom w:val="nil"/>
              <w:right w:val="single" w:color="B4C3D8" w:sz="4" w:space="0"/>
            </w:tcBorders>
            <w:shd w:val="clear" w:color="auto" w:fill="EEEEEE"/>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所属行业</w:t>
            </w:r>
          </w:p>
        </w:tc>
        <w:tc>
          <w:tcPr>
            <w:tcW w:w="716" w:type="dxa"/>
            <w:tcBorders>
              <w:top w:val="single" w:color="B4C3D8" w:sz="4" w:space="0"/>
              <w:left w:val="single" w:color="B4C3D8" w:sz="4" w:space="0"/>
              <w:bottom w:val="nil"/>
              <w:right w:val="single" w:color="B4C3D8" w:sz="4" w:space="0"/>
            </w:tcBorders>
            <w:shd w:val="clear" w:color="auto" w:fill="EEEEEE"/>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招标技术要求</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360" w:hRule="atLeast"/>
        </w:trPr>
        <w:tc>
          <w:tcPr>
            <w:tcW w:w="397" w:type="dxa"/>
            <w:tcBorders>
              <w:top w:val="nil"/>
              <w:left w:val="nil"/>
              <w:bottom w:val="nil"/>
              <w:right w:val="nil"/>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0A82E5"/>
              </w:rPr>
            </w:pPr>
            <w:r>
              <w:rPr>
                <w:rFonts w:ascii="宋体" w:hAnsi="宋体" w:eastAsia="宋体" w:cs="宋体"/>
                <w:color w:val="0A82E5"/>
                <w:kern w:val="0"/>
                <w:sz w:val="24"/>
                <w:szCs w:val="24"/>
                <w:lang w:val="en-US" w:eastAsia="zh-CN" w:bidi="ar"/>
              </w:rPr>
              <w:t>1</w:t>
            </w:r>
          </w:p>
        </w:tc>
        <w:tc>
          <w:tcPr>
            <w:tcW w:w="980" w:type="dxa"/>
            <w:tcBorders>
              <w:top w:val="nil"/>
              <w:left w:val="nil"/>
              <w:bottom w:val="nil"/>
              <w:right w:val="nil"/>
            </w:tcBorders>
            <w:shd w:val="clear" w:color="auto" w:fill="auto"/>
            <w:tcMar>
              <w:top w:w="0" w:type="dxa"/>
              <w:left w:w="60" w:type="dxa"/>
              <w:bottom w:w="0" w:type="dxa"/>
              <w:right w:w="60" w:type="dxa"/>
            </w:tcMar>
            <w:vAlign w:val="center"/>
          </w:tcPr>
          <w:p>
            <w:pPr>
              <w:jc w:val="center"/>
              <w:rPr>
                <w:rFonts w:hint="eastAsia" w:ascii="宋体"/>
                <w:color w:val="0A82E5"/>
                <w:sz w:val="24"/>
                <w:szCs w:val="24"/>
              </w:rPr>
            </w:pPr>
          </w:p>
        </w:tc>
        <w:tc>
          <w:tcPr>
            <w:tcW w:w="706" w:type="dxa"/>
            <w:tcBorders>
              <w:top w:val="nil"/>
              <w:left w:val="nil"/>
              <w:bottom w:val="nil"/>
              <w:right w:val="nil"/>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房屋修缮</w:t>
            </w:r>
          </w:p>
        </w:tc>
        <w:tc>
          <w:tcPr>
            <w:tcW w:w="600" w:type="dxa"/>
            <w:tcBorders>
              <w:top w:val="nil"/>
              <w:left w:val="nil"/>
              <w:bottom w:val="nil"/>
              <w:right w:val="nil"/>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房屋修缮</w:t>
            </w:r>
          </w:p>
        </w:tc>
        <w:tc>
          <w:tcPr>
            <w:tcW w:w="467" w:type="dxa"/>
            <w:tcBorders>
              <w:top w:val="nil"/>
              <w:left w:val="nil"/>
              <w:bottom w:val="nil"/>
              <w:right w:val="nil"/>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项</w:t>
            </w:r>
          </w:p>
        </w:tc>
        <w:tc>
          <w:tcPr>
            <w:tcW w:w="693" w:type="dxa"/>
            <w:tcBorders>
              <w:top w:val="nil"/>
              <w:left w:val="nil"/>
              <w:bottom w:val="nil"/>
              <w:right w:val="nil"/>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right"/>
              <w:rPr>
                <w:color w:val="0A82E5"/>
              </w:rPr>
            </w:pPr>
            <w:r>
              <w:rPr>
                <w:rFonts w:ascii="宋体" w:hAnsi="宋体" w:eastAsia="宋体" w:cs="宋体"/>
                <w:color w:val="0A82E5"/>
                <w:kern w:val="0"/>
                <w:sz w:val="24"/>
                <w:szCs w:val="24"/>
                <w:lang w:val="en-US" w:eastAsia="zh-CN" w:bidi="ar"/>
              </w:rPr>
              <w:t>1.00</w:t>
            </w:r>
          </w:p>
        </w:tc>
        <w:tc>
          <w:tcPr>
            <w:tcW w:w="1489" w:type="dxa"/>
            <w:tcBorders>
              <w:top w:val="nil"/>
              <w:left w:val="nil"/>
              <w:bottom w:val="nil"/>
              <w:right w:val="nil"/>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385,100.00</w:t>
            </w:r>
          </w:p>
        </w:tc>
        <w:tc>
          <w:tcPr>
            <w:tcW w:w="1285" w:type="dxa"/>
            <w:tcBorders>
              <w:top w:val="nil"/>
              <w:left w:val="nil"/>
              <w:bottom w:val="nil"/>
              <w:right w:val="nil"/>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385,100.00</w:t>
            </w:r>
          </w:p>
        </w:tc>
        <w:tc>
          <w:tcPr>
            <w:tcW w:w="426" w:type="dxa"/>
            <w:tcBorders>
              <w:top w:val="nil"/>
              <w:left w:val="nil"/>
              <w:bottom w:val="nil"/>
              <w:right w:val="nil"/>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0A82E5"/>
              </w:rPr>
            </w:pPr>
            <w:r>
              <w:rPr>
                <w:rFonts w:ascii="宋体" w:hAnsi="宋体" w:eastAsia="宋体" w:cs="宋体"/>
                <w:color w:val="0A82E5"/>
                <w:kern w:val="0"/>
                <w:sz w:val="24"/>
                <w:szCs w:val="24"/>
                <w:lang w:val="en-US" w:eastAsia="zh-CN" w:bidi="ar"/>
              </w:rPr>
              <w:t>否</w:t>
            </w:r>
          </w:p>
        </w:tc>
        <w:tc>
          <w:tcPr>
            <w:tcW w:w="667" w:type="dxa"/>
            <w:tcBorders>
              <w:top w:val="nil"/>
              <w:left w:val="nil"/>
              <w:bottom w:val="nil"/>
              <w:right w:val="nil"/>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0A82E5"/>
              </w:rPr>
            </w:pPr>
            <w:r>
              <w:rPr>
                <w:rFonts w:ascii="宋体" w:hAnsi="宋体" w:eastAsia="宋体" w:cs="宋体"/>
                <w:color w:val="0A82E5"/>
                <w:kern w:val="0"/>
                <w:sz w:val="24"/>
                <w:szCs w:val="24"/>
                <w:lang w:val="en-US" w:eastAsia="zh-CN" w:bidi="ar"/>
              </w:rPr>
              <w:t>建筑业</w:t>
            </w:r>
          </w:p>
        </w:tc>
        <w:tc>
          <w:tcPr>
            <w:tcW w:w="716" w:type="dxa"/>
            <w:tcBorders>
              <w:top w:val="nil"/>
              <w:left w:val="nil"/>
              <w:bottom w:val="nil"/>
              <w:right w:val="nil"/>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0A82E5"/>
              </w:rPr>
            </w:pPr>
            <w:r>
              <w:rPr>
                <w:rFonts w:ascii="宋体" w:hAnsi="宋体" w:eastAsia="宋体" w:cs="宋体"/>
                <w:color w:val="0A82E5"/>
                <w:kern w:val="0"/>
                <w:sz w:val="24"/>
                <w:szCs w:val="24"/>
                <w:lang w:val="en-US" w:eastAsia="zh-CN" w:bidi="ar"/>
              </w:rPr>
              <w:t>详见附表一</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val="0"/>
          <w:bCs w:val="0"/>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lang w:val="en-US" w:eastAsia="zh-CN" w:bidi="ar"/>
        </w:rPr>
        <w:t>附表一：</w:t>
      </w:r>
      <w:r>
        <w:rPr>
          <w:rFonts w:hint="eastAsia" w:ascii="微软雅黑" w:hAnsi="微软雅黑" w:eastAsia="微软雅黑" w:cs="微软雅黑"/>
          <w:b/>
          <w:bCs/>
          <w:i w:val="0"/>
          <w:iCs w:val="0"/>
          <w:caps w:val="0"/>
          <w:color w:val="0A82E5"/>
          <w:spacing w:val="0"/>
          <w:kern w:val="0"/>
          <w:sz w:val="24"/>
          <w:szCs w:val="24"/>
          <w:lang w:val="en-US" w:eastAsia="zh-CN" w:bidi="ar"/>
        </w:rPr>
        <w:t>房屋修缮</w:t>
      </w:r>
    </w:p>
    <w:tbl>
      <w:tblPr>
        <w:tblStyle w:val="8"/>
        <w:tblpPr w:leftFromText="180" w:rightFromText="180" w:vertAnchor="text" w:tblpXSpec="left" w:tblpY="1"/>
        <w:tblOverlap w:val="never"/>
        <w:tblW w:w="4998" w:type="pct"/>
        <w:tblInd w:w="0" w:type="dxa"/>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Layout w:type="autofit"/>
        <w:tblCellMar>
          <w:top w:w="17" w:type="dxa"/>
          <w:left w:w="17" w:type="dxa"/>
          <w:bottom w:w="17" w:type="dxa"/>
          <w:right w:w="17" w:type="dxa"/>
        </w:tblCellMar>
      </w:tblPr>
      <w:tblGrid>
        <w:gridCol w:w="1381"/>
        <w:gridCol w:w="841"/>
        <w:gridCol w:w="6201"/>
      </w:tblGrid>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tblCellMar>
            <w:top w:w="17" w:type="dxa"/>
            <w:left w:w="17" w:type="dxa"/>
            <w:bottom w:w="17" w:type="dxa"/>
            <w:right w:w="17" w:type="dxa"/>
          </w:tblCellMar>
        </w:tblPrEx>
        <w:tc>
          <w:tcPr>
            <w:tcW w:w="820" w:type="pct"/>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参数性质</w:t>
            </w:r>
          </w:p>
        </w:tc>
        <w:tc>
          <w:tcPr>
            <w:tcW w:w="499" w:type="pct"/>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序号</w:t>
            </w:r>
          </w:p>
        </w:tc>
        <w:tc>
          <w:tcPr>
            <w:tcW w:w="3679" w:type="pct"/>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具体技术(参数)要求</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tblCellMar>
            <w:top w:w="17" w:type="dxa"/>
            <w:left w:w="17" w:type="dxa"/>
            <w:bottom w:w="17" w:type="dxa"/>
            <w:right w:w="17" w:type="dxa"/>
          </w:tblCellMar>
        </w:tblPrEx>
        <w:tc>
          <w:tcPr>
            <w:tcW w:w="820" w:type="pct"/>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jc w:val="center"/>
              <w:rPr>
                <w:rFonts w:hint="eastAsia" w:ascii="宋体"/>
                <w:color w:val="0A82E5"/>
                <w:sz w:val="24"/>
                <w:szCs w:val="24"/>
              </w:rPr>
            </w:pPr>
          </w:p>
        </w:tc>
        <w:tc>
          <w:tcPr>
            <w:tcW w:w="499" w:type="pct"/>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0A82E5"/>
              </w:rPr>
            </w:pPr>
            <w:r>
              <w:rPr>
                <w:rFonts w:ascii="宋体" w:hAnsi="宋体" w:eastAsia="宋体" w:cs="宋体"/>
                <w:color w:val="0A82E5"/>
                <w:kern w:val="0"/>
                <w:sz w:val="24"/>
                <w:szCs w:val="24"/>
                <w:lang w:val="en-US" w:eastAsia="zh-CN" w:bidi="ar"/>
              </w:rPr>
              <w:t>1</w:t>
            </w:r>
          </w:p>
        </w:tc>
        <w:tc>
          <w:tcPr>
            <w:tcW w:w="3679" w:type="pct"/>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eastAsia"/>
                <w:color w:val="0A82E5"/>
              </w:rPr>
              <w:t>满足招标文件及清单内全部内容</w:t>
            </w:r>
            <w:r>
              <w:rPr>
                <w:color w:val="0A82E5"/>
              </w:rPr>
              <w:t>。</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7" w:type="dxa"/>
            <w:left w:w="17" w:type="dxa"/>
            <w:bottom w:w="17" w:type="dxa"/>
            <w:right w:w="17" w:type="dxa"/>
          </w:tblCellMar>
        </w:tblPrEx>
        <w:tc>
          <w:tcPr>
            <w:tcW w:w="820" w:type="pct"/>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说明</w:t>
            </w:r>
          </w:p>
        </w:tc>
        <w:tc>
          <w:tcPr>
            <w:tcW w:w="4179" w:type="pct"/>
            <w:gridSpan w:val="2"/>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打“★”号条款为实质性条款，若有任何一条负偏离或不满足则导致投标无效。</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36"/>
          <w:szCs w:val="36"/>
          <w:lang w:val="en-US" w:eastAsia="zh-CN" w:bidi="ar"/>
        </w:rPr>
        <w:t>第三章 投标人须知</w:t>
      </w:r>
    </w:p>
    <w:p>
      <w:pPr>
        <w:keepNext w:val="0"/>
        <w:keepLines w:val="0"/>
        <w:widowControl/>
        <w:suppressLineNumbers w:val="0"/>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lang w:val="en-US" w:eastAsia="zh-CN" w:bidi="ar"/>
        </w:rPr>
        <w:t>一.前附表</w:t>
      </w:r>
    </w:p>
    <w:tbl>
      <w:tblPr>
        <w:tblStyle w:val="8"/>
        <w:tblW w:w="5000" w:type="pct"/>
        <w:jc w:val="center"/>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06"/>
        <w:gridCol w:w="1727"/>
        <w:gridCol w:w="6193"/>
      </w:tblGrid>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00" w:type="pct"/>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序号</w:t>
            </w:r>
          </w:p>
        </w:tc>
        <w:tc>
          <w:tcPr>
            <w:tcW w:w="1025" w:type="pct"/>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条款名称</w:t>
            </w:r>
          </w:p>
        </w:tc>
        <w:tc>
          <w:tcPr>
            <w:tcW w:w="0" w:type="auto"/>
            <w:tcBorders>
              <w:top w:val="single" w:color="B4C3D8" w:sz="4" w:space="0"/>
              <w:left w:val="single" w:color="B4C3D8" w:sz="4" w:space="0"/>
              <w:bottom w:val="single" w:color="B4C3D8" w:sz="4" w:space="0"/>
              <w:right w:val="single" w:color="B4C3D8" w:sz="4" w:space="0"/>
            </w:tcBorders>
            <w:shd w:val="clear" w:color="auto" w:fill="EEEEEE"/>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内容及要求</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1</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计划编号</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0A82E5"/>
                <w:kern w:val="0"/>
                <w:sz w:val="24"/>
                <w:szCs w:val="24"/>
                <w:lang w:val="en-US" w:eastAsia="zh-CN" w:bidi="ar"/>
              </w:rPr>
              <w:t>黑财购核字[2021]06384号</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2</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项目编号</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0A82E5"/>
                <w:kern w:val="0"/>
                <w:sz w:val="24"/>
                <w:szCs w:val="24"/>
                <w:lang w:val="en-US" w:eastAsia="zh-CN" w:bidi="ar"/>
              </w:rPr>
              <w:t>YZC2021-004</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3</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项目名称</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0A82E5"/>
                <w:kern w:val="0"/>
                <w:sz w:val="24"/>
                <w:szCs w:val="24"/>
                <w:lang w:val="en-US" w:eastAsia="zh-CN" w:bidi="ar"/>
              </w:rPr>
              <w:t>房屋维修工程</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4</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包组情况</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color w:val="666666"/>
              </w:rPr>
              <w:t>共</w:t>
            </w:r>
            <w:r>
              <w:rPr>
                <w:color w:val="0A82E5"/>
              </w:rPr>
              <w:t>1</w:t>
            </w:r>
            <w:r>
              <w:rPr>
                <w:color w:val="666666"/>
              </w:rPr>
              <w:t>包</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5</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color w:val="666666"/>
              </w:rPr>
              <w:t>是否专门面向中小企业采购</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合同包1（房屋维修）：否</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6</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采购资金预算金额</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385,100.00</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7</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采购方式</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0A82E5"/>
                <w:kern w:val="0"/>
                <w:sz w:val="24"/>
                <w:szCs w:val="24"/>
                <w:lang w:val="en-US" w:eastAsia="zh-CN" w:bidi="ar"/>
              </w:rPr>
              <w:t>竞争性磋商</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8</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开标方式</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0A82E5"/>
                <w:kern w:val="0"/>
                <w:sz w:val="24"/>
                <w:szCs w:val="24"/>
                <w:lang w:val="en-US" w:eastAsia="zh-CN" w:bidi="ar"/>
              </w:rPr>
              <w:t>现场网上开标</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9</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评标方式</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0A82E5"/>
                <w:kern w:val="0"/>
                <w:sz w:val="24"/>
                <w:szCs w:val="24"/>
                <w:lang w:val="en-US" w:eastAsia="zh-CN" w:bidi="ar"/>
              </w:rPr>
              <w:t>现场网上评标</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10</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评标办法</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合同包1（房屋维修）：综合评分法</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11</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现场踏勘</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否</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12</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保证金缴纳截止时间（同递交投标文件截止时间） </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color w:val="666666"/>
              </w:rPr>
              <w:t>详见采购公告</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13</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电子响应文件递交</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电子响应文件在响应截止时间前递交至黑龙江省项目采购电子交易系统</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14</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响应有效期</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color w:val="0A82E5"/>
              </w:rPr>
            </w:pPr>
            <w:r>
              <w:rPr>
                <w:color w:val="0A82E5"/>
              </w:rPr>
              <w:t>从提交投标（响应）文件的截止之日起90日历天</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15</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投标文件要求</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color w:val="666666"/>
              </w:rPr>
              <w:t>（1）加密的电子响应文件 1 份（需在投标截止时间前上传至“黑龙江省项目采购电子交易系统”）。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color w:val="666666"/>
              </w:rPr>
              <w:t>（2）若现场无法使用系统进行电子开评标的，投标供应商须开标现场递交非加密电子版响应文件U盘（或光盘）</w:t>
            </w:r>
            <w:r>
              <w:rPr>
                <w:rFonts w:hint="eastAsia"/>
                <w:color w:val="666666"/>
                <w:lang w:val="en-US" w:eastAsia="zh-CN"/>
              </w:rPr>
              <w:t>1</w:t>
            </w:r>
            <w:r>
              <w:rPr>
                <w:color w:val="666666"/>
              </w:rPr>
              <w:t>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color w:val="666666"/>
              </w:rPr>
              <w:t>（3）纸质响应文件正本</w:t>
            </w:r>
            <w:r>
              <w:rPr>
                <w:rFonts w:hint="eastAsia"/>
                <w:color w:val="666666"/>
                <w:lang w:val="en-US" w:eastAsia="zh-CN"/>
              </w:rPr>
              <w:t>1</w:t>
            </w:r>
            <w:r>
              <w:rPr>
                <w:color w:val="666666"/>
              </w:rPr>
              <w:t>份，纸质响应文件副本</w:t>
            </w:r>
            <w:r>
              <w:rPr>
                <w:rFonts w:hint="eastAsia"/>
                <w:color w:val="666666"/>
                <w:lang w:val="en-US" w:eastAsia="zh-CN"/>
              </w:rPr>
              <w:t>1</w:t>
            </w:r>
            <w:r>
              <w:rPr>
                <w:color w:val="666666"/>
              </w:rPr>
              <w:t>份。</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16</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中标候选人推荐家数</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合同包1（房屋维修）： 3</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17</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中标供应商确定</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0A82E5"/>
                <w:kern w:val="0"/>
                <w:sz w:val="24"/>
                <w:szCs w:val="24"/>
                <w:lang w:val="en-US" w:eastAsia="zh-CN" w:bidi="ar"/>
              </w:rPr>
              <w:t>采购人授权磋商小组按照评审原则直接确定中标（成交）人。</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18</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备选方案</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不允许</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19</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联合体投标</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包1： 不接受</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20</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代理服务费</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0A82E5"/>
                <w:kern w:val="0"/>
                <w:sz w:val="24"/>
                <w:szCs w:val="24"/>
                <w:lang w:val="en-US" w:eastAsia="zh-CN" w:bidi="ar"/>
              </w:rPr>
              <w:t>收取</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21</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代理服务费收取方式</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rFonts w:ascii="宋体" w:hAnsi="宋体" w:eastAsia="宋体" w:cs="宋体"/>
                <w:color w:val="0A82E5"/>
                <w:kern w:val="0"/>
                <w:sz w:val="24"/>
                <w:szCs w:val="24"/>
                <w:lang w:val="en-US" w:eastAsia="zh-CN" w:bidi="ar"/>
              </w:rPr>
            </w:pPr>
            <w:r>
              <w:rPr>
                <w:rFonts w:ascii="宋体" w:hAnsi="宋体" w:eastAsia="宋体" w:cs="宋体"/>
                <w:color w:val="0A82E5"/>
                <w:kern w:val="0"/>
                <w:sz w:val="24"/>
                <w:szCs w:val="24"/>
                <w:lang w:val="en-US" w:eastAsia="zh-CN" w:bidi="ar"/>
              </w:rPr>
              <w:t>收取。</w:t>
            </w:r>
            <w:r>
              <w:rPr>
                <w:rFonts w:ascii="宋体" w:hAnsi="宋体" w:eastAsia="宋体" w:cs="宋体"/>
                <w:color w:val="666666"/>
                <w:kern w:val="0"/>
                <w:sz w:val="24"/>
                <w:szCs w:val="24"/>
                <w:lang w:val="en-US" w:eastAsia="zh-CN" w:bidi="ar"/>
              </w:rPr>
              <w:t> </w:t>
            </w:r>
            <w:r>
              <w:rPr>
                <w:rFonts w:ascii="宋体" w:hAnsi="宋体" w:eastAsia="宋体" w:cs="宋体"/>
                <w:color w:val="0A82E5"/>
                <w:kern w:val="0"/>
                <w:sz w:val="24"/>
                <w:szCs w:val="24"/>
                <w:lang w:val="en-US" w:eastAsia="zh-CN" w:bidi="ar"/>
              </w:rPr>
              <w:t xml:space="preserve">采购机构代理服务收费标准：本项目招标代理服务费以实际成交价为基价，参照国家计委关于《招标代理服务收费管理暂行办法》的通知【2002】1980号文件和国家发展改革办公厅关于招标代理服务收费问题通知（发改办价格【2003】857号、发改价格[2011]534号）中规定的计取，由成交供应商支付。 </w:t>
            </w:r>
          </w:p>
          <w:p>
            <w:pPr>
              <w:keepNext w:val="0"/>
              <w:keepLines w:val="0"/>
              <w:widowControl/>
              <w:suppressLineNumbers w:val="0"/>
              <w:spacing w:before="0" w:beforeAutospacing="0" w:after="0" w:afterAutospacing="0" w:line="360" w:lineRule="atLeast"/>
              <w:ind w:left="0" w:right="0" w:firstLine="480" w:firstLineChars="200"/>
              <w:jc w:val="left"/>
              <w:rPr>
                <w:rFonts w:ascii="宋体" w:hAnsi="宋体" w:eastAsia="宋体" w:cs="宋体"/>
                <w:color w:val="0A82E5"/>
                <w:kern w:val="0"/>
                <w:sz w:val="24"/>
                <w:szCs w:val="24"/>
                <w:lang w:val="en-US" w:eastAsia="zh-CN" w:bidi="ar"/>
              </w:rPr>
            </w:pPr>
            <w:r>
              <w:rPr>
                <w:rFonts w:hint="eastAsia" w:ascii="宋体" w:hAnsi="宋体" w:eastAsia="宋体" w:cs="宋体"/>
                <w:color w:val="0A82E5"/>
                <w:kern w:val="0"/>
                <w:sz w:val="24"/>
                <w:szCs w:val="24"/>
                <w:lang w:val="en-US" w:eastAsia="zh-CN" w:bidi="ar"/>
              </w:rPr>
              <w:t>代理费不足叁仟时，依据《国家发展改革委关于进一步放开建设项目专业服务价格的通知》（发改价格[2015]299 号）规定，本项目招标代理服务费若不足叁仟元人民币则实行市场调节价，收取人民币叁仟元。</w:t>
            </w:r>
          </w:p>
          <w:p>
            <w:pPr>
              <w:keepNext w:val="0"/>
              <w:keepLines w:val="0"/>
              <w:widowControl/>
              <w:suppressLineNumbers w:val="0"/>
              <w:spacing w:before="0" w:beforeAutospacing="0" w:after="0" w:afterAutospacing="0" w:line="360" w:lineRule="atLeast"/>
              <w:ind w:left="0" w:right="0"/>
              <w:jc w:val="left"/>
              <w:rPr>
                <w:rFonts w:ascii="宋体" w:hAnsi="宋体" w:eastAsia="宋体" w:cs="宋体"/>
                <w:color w:val="0A82E5"/>
                <w:kern w:val="0"/>
                <w:sz w:val="24"/>
                <w:szCs w:val="24"/>
                <w:lang w:val="en-US" w:eastAsia="zh-CN" w:bidi="ar"/>
              </w:rPr>
            </w:pPr>
            <w:r>
              <w:rPr>
                <w:rFonts w:ascii="宋体" w:hAnsi="宋体" w:eastAsia="宋体" w:cs="宋体"/>
                <w:color w:val="0A82E5"/>
                <w:kern w:val="0"/>
                <w:sz w:val="24"/>
                <w:szCs w:val="24"/>
                <w:lang w:val="en-US" w:eastAsia="zh-CN" w:bidi="ar"/>
              </w:rPr>
              <w:t>代理服务费递交账户及开户行信息：</w:t>
            </w:r>
          </w:p>
          <w:p>
            <w:pPr>
              <w:keepNext w:val="0"/>
              <w:keepLines w:val="0"/>
              <w:widowControl/>
              <w:suppressLineNumbers w:val="0"/>
              <w:spacing w:before="0" w:beforeAutospacing="0" w:after="0" w:afterAutospacing="0" w:line="360" w:lineRule="atLeast"/>
              <w:ind w:left="0" w:right="0"/>
              <w:jc w:val="left"/>
              <w:rPr>
                <w:rFonts w:ascii="宋体" w:hAnsi="宋体" w:eastAsia="宋体" w:cs="宋体"/>
                <w:color w:val="0A82E5"/>
                <w:kern w:val="0"/>
                <w:sz w:val="24"/>
                <w:szCs w:val="24"/>
                <w:lang w:val="en-US" w:eastAsia="zh-CN" w:bidi="ar"/>
              </w:rPr>
            </w:pPr>
            <w:r>
              <w:rPr>
                <w:rFonts w:ascii="宋体" w:hAnsi="宋体" w:eastAsia="宋体" w:cs="宋体"/>
                <w:color w:val="0A82E5"/>
                <w:kern w:val="0"/>
                <w:sz w:val="24"/>
                <w:szCs w:val="24"/>
                <w:lang w:val="en-US" w:eastAsia="zh-CN" w:bidi="ar"/>
              </w:rPr>
              <w:t xml:space="preserve">开户名称：黑龙江雨泽项目管理咨询有限公司 </w:t>
            </w:r>
          </w:p>
          <w:p>
            <w:pPr>
              <w:keepNext w:val="0"/>
              <w:keepLines w:val="0"/>
              <w:widowControl/>
              <w:suppressLineNumbers w:val="0"/>
              <w:spacing w:before="0" w:beforeAutospacing="0" w:after="0" w:afterAutospacing="0" w:line="360" w:lineRule="atLeast"/>
              <w:ind w:left="0" w:right="0"/>
              <w:jc w:val="left"/>
              <w:rPr>
                <w:rFonts w:ascii="宋体" w:hAnsi="宋体" w:eastAsia="宋体" w:cs="宋体"/>
                <w:color w:val="0A82E5"/>
                <w:kern w:val="0"/>
                <w:sz w:val="24"/>
                <w:szCs w:val="24"/>
                <w:lang w:val="en-US" w:eastAsia="zh-CN" w:bidi="ar"/>
              </w:rPr>
            </w:pPr>
            <w:r>
              <w:rPr>
                <w:rFonts w:ascii="宋体" w:hAnsi="宋体" w:eastAsia="宋体" w:cs="宋体"/>
                <w:color w:val="0A82E5"/>
                <w:kern w:val="0"/>
                <w:sz w:val="24"/>
                <w:szCs w:val="24"/>
                <w:lang w:val="en-US" w:eastAsia="zh-CN" w:bidi="ar"/>
              </w:rPr>
              <w:t xml:space="preserve">开户行：哈尔滨银行股份有限公司安发支行 </w:t>
            </w:r>
          </w:p>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0A82E5"/>
                <w:kern w:val="0"/>
                <w:sz w:val="24"/>
                <w:szCs w:val="24"/>
                <w:lang w:val="en-US" w:eastAsia="zh-CN" w:bidi="ar"/>
              </w:rPr>
              <w:t>账号：1202015026014751</w:t>
            </w:r>
            <w:r>
              <w:rPr>
                <w:rFonts w:ascii="宋体" w:hAnsi="宋体" w:eastAsia="宋体" w:cs="宋体"/>
                <w:color w:val="666666"/>
                <w:kern w:val="0"/>
                <w:sz w:val="24"/>
                <w:szCs w:val="24"/>
                <w:lang w:val="en-US" w:eastAsia="zh-CN" w:bidi="ar"/>
              </w:rPr>
              <w:br w:type="textWrapping"/>
            </w:r>
            <w:r>
              <w:rPr>
                <w:rFonts w:ascii="宋体" w:hAnsi="宋体" w:eastAsia="宋体" w:cs="宋体"/>
                <w:color w:val="0A82E5"/>
                <w:kern w:val="0"/>
                <w:sz w:val="24"/>
                <w:szCs w:val="24"/>
                <w:lang w:val="en-US" w:eastAsia="zh-CN" w:bidi="ar"/>
              </w:rPr>
              <w:t>向中标/成交供应商收取</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22</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投标保证金</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color w:val="666666"/>
              </w:rPr>
              <w:t>       本项目允许投标供应商按照相关法律法规自主选择以支票、汇票、本票或者金融机构、担保机构出具的保函等非现金形式缴纳保证金。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jc w:val="left"/>
              <w:rPr>
                <w:color w:val="0A82E5"/>
              </w:rPr>
            </w:pPr>
            <w:r>
              <w:rPr>
                <w:rFonts w:ascii="宋体" w:hAnsi="宋体" w:eastAsia="宋体" w:cs="宋体"/>
                <w:color w:val="0A82E5"/>
                <w:kern w:val="0"/>
                <w:sz w:val="24"/>
                <w:szCs w:val="24"/>
                <w:lang w:val="en-US" w:eastAsia="zh-CN" w:bidi="ar"/>
              </w:rPr>
              <w:t>房屋维修：保证金人民币：0.00元整。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       开户单位： 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       开户银行： 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       银行账号： 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color w:val="666666"/>
              </w:rPr>
              <w:t>特别提示：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color w:val="666666"/>
              </w:rPr>
              <w:t>       1、响应供应商应认真核对账户信息，将响应保证金足额汇入以上账户，并自行承担因汇错投标保证金而产生的一切后果。响应保证金到账（保函提交）的截止时间与响应截止时间一致，逾期不交者，响应文件将作无效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color w:val="666666"/>
              </w:rPr>
              <w:t>       2、响应供应商在转账或电汇的凭证上应按照以下格式注明，以便核对：“（项目编号：***、包组：***）的响应保证金”。</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23</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电子招投标</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color w:val="666666"/>
              </w:rPr>
              <w:t>        各投标人应当在投标截止时间前上传加密的电子投标文件至“黑龙江省政府采购网”未在投标截止时间前上传电子投标文件的，视为自动放弃投标。投标人因系统或网络问题无法上传电子投标文件时，请在工作时间及时拨打联系电话4009985566按5转1号键。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color w:val="666666"/>
              </w:rPr>
              <w:t>       </w:t>
            </w:r>
            <w:r>
              <w:rPr>
                <w:b/>
                <w:bCs/>
                <w:color w:val="666666"/>
              </w:rPr>
              <w:t> 网上开标（投标人需到开标现场）</w:t>
            </w:r>
            <w:r>
              <w:rPr>
                <w:color w:val="666666"/>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color w:val="666666"/>
              </w:rPr>
              <w:t>1．项目采用电子开标（网上开标），如在开标过程中出现意外情况导致无法继续进行电子开标时，改为非加密电子投标文件开标。本项目采用电子评标（网上评标），只对加密电子投标文件进行评审，如在评标过程中出现意外情况导致无法继续进行电子评标时，改为非加密电子投标文件评标。</w:t>
            </w:r>
            <w:r>
              <w:rPr>
                <w:color w:val="666666"/>
              </w:rPr>
              <w:br w:type="textWrapping"/>
            </w:r>
            <w:r>
              <w:rPr>
                <w:color w:val="666666"/>
              </w:rPr>
              <w:t>2．电子投标文件是指通过投标客户端编制，在电子投标文件中，涉及“加盖公章”的内容应使用单位电子公章完成。加密后，成功上传至黑龙江省政府采购网的最终版指定格式电子投标文件。</w:t>
            </w:r>
            <w:r>
              <w:rPr>
                <w:color w:val="666666"/>
              </w:rPr>
              <w:br w:type="textWrapping"/>
            </w:r>
            <w:r>
              <w:rPr>
                <w:color w:val="666666"/>
              </w:rPr>
              <w:t>3．使用投标客户端，经过编制、签章，在生成加密投标文件时，会同时生成非加密投标文件，供投标人刻录使用。U盘（或光盘）由投标人自行刻录、存储，投标人必须保证电子存储设备能够正常读取。U盘（或光盘）表面、 外包装上应简要载明项目编号、项目名称、投标单位名称等信息。</w:t>
            </w:r>
            <w:r>
              <w:rPr>
                <w:color w:val="666666"/>
              </w:rPr>
              <w:br w:type="textWrapping"/>
            </w:r>
            <w:r>
              <w:rPr>
                <w:color w:val="666666"/>
              </w:rPr>
              <w:t>4．投标人的法定代表人或其授权代表应当按照本招标公告载明的时间和地点参加开标。开标时，投标人应当使用 CA 锁在招标文件规定的时间内完成投标文件在线解密。</w:t>
            </w:r>
            <w:r>
              <w:rPr>
                <w:color w:val="666666"/>
              </w:rPr>
              <w:br w:type="textWrapping"/>
            </w:r>
            <w:r>
              <w:rPr>
                <w:color w:val="666666"/>
              </w:rPr>
              <w:t>5．开标时出现下列情况的，将视为逾期送达或者未按照招标文件要求密封的投标文件，采购人、采购代理机构应当拒收。</w:t>
            </w:r>
            <w:r>
              <w:rPr>
                <w:color w:val="666666"/>
              </w:rPr>
              <w:br w:type="textWrapping"/>
            </w:r>
            <w:r>
              <w:rPr>
                <w:color w:val="666666"/>
              </w:rPr>
              <w:t>（1） 投标人代表未按招标文件要求参加开标会的或开标现场未携带CA锁的；</w:t>
            </w:r>
            <w:r>
              <w:rPr>
                <w:color w:val="666666"/>
              </w:rPr>
              <w:br w:type="textWrapping"/>
            </w:r>
            <w:r>
              <w:rPr>
                <w:color w:val="666666"/>
              </w:rPr>
              <w:t>（2） 投标人未在规定时间内完成电子投标文件在线解密；</w:t>
            </w:r>
            <w:r>
              <w:rPr>
                <w:color w:val="666666"/>
              </w:rPr>
              <w:br w:type="textWrapping"/>
            </w:r>
            <w:r>
              <w:rPr>
                <w:color w:val="666666"/>
              </w:rPr>
              <w:t>（3） 经检查数字证书无效的投标文件；</w:t>
            </w:r>
            <w:r>
              <w:rPr>
                <w:color w:val="666666"/>
              </w:rPr>
              <w:br w:type="textWrapping"/>
            </w:r>
            <w:r>
              <w:rPr>
                <w:color w:val="666666"/>
              </w:rPr>
              <w:t>（4） 投标人自身原因造成电子投标文件未能解密的；</w:t>
            </w:r>
            <w:r>
              <w:rPr>
                <w:color w:val="666666"/>
              </w:rPr>
              <w:br w:type="textWrapping"/>
            </w:r>
            <w:r>
              <w:rPr>
                <w:color w:val="666666"/>
              </w:rPr>
              <w:t>（5） 开标现场无法使用系统进行电子开评标时，投标人未按招标文件要求提供非加密电子版投标文件的。</w:t>
            </w:r>
            <w:r>
              <w:rPr>
                <w:color w:val="666666"/>
              </w:rPr>
              <w:br w:type="textWrapping"/>
            </w:r>
            <w:r>
              <w:rPr>
                <w:color w:val="666666"/>
              </w:rPr>
              <w:t>本招标项目的投标人必须在开标时间开始后完成所投全部标段的电子投标文件在线解密。投标人必须保证在规定时间内完成全部标段的电子投标文件解密。</w:t>
            </w:r>
          </w:p>
          <w:p>
            <w:pPr>
              <w:keepNext w:val="0"/>
              <w:keepLines w:val="0"/>
              <w:widowControl/>
              <w:suppressLineNumbers w:val="0"/>
              <w:spacing w:before="0" w:beforeAutospacing="0" w:after="0" w:afterAutospacing="0" w:line="360" w:lineRule="atLeast"/>
              <w:ind w:left="0" w:right="0"/>
              <w:jc w:val="left"/>
              <w:rPr>
                <w:rFonts w:hint="default" w:eastAsiaTheme="minorEastAsia"/>
                <w:color w:val="666666"/>
                <w:lang w:val="en-US" w:eastAsia="zh-CN"/>
              </w:rPr>
            </w:pPr>
            <w:r>
              <w:rPr>
                <w:rFonts w:hint="eastAsia" w:asciiTheme="minorHAnsi" w:hAnsiTheme="minorHAnsi" w:eastAsiaTheme="minorEastAsia" w:cstheme="minorBidi"/>
                <w:color w:val="FF0000"/>
                <w:kern w:val="0"/>
                <w:sz w:val="24"/>
                <w:szCs w:val="24"/>
                <w:lang w:val="en-US" w:eastAsia="zh-CN" w:bidi="ar"/>
              </w:rPr>
              <w:t>注：最后报价应在规定时间内</w:t>
            </w:r>
            <w:r>
              <w:rPr>
                <w:rFonts w:hint="eastAsia" w:cstheme="minorBidi"/>
                <w:color w:val="FF0000"/>
                <w:kern w:val="0"/>
                <w:sz w:val="24"/>
                <w:szCs w:val="24"/>
                <w:lang w:val="en-US" w:eastAsia="zh-CN" w:bidi="ar"/>
              </w:rPr>
              <w:t>使用CA锁</w:t>
            </w:r>
            <w:r>
              <w:rPr>
                <w:rFonts w:hint="eastAsia" w:asciiTheme="minorHAnsi" w:hAnsiTheme="minorHAnsi" w:eastAsiaTheme="minorEastAsia" w:cstheme="minorBidi"/>
                <w:color w:val="FF0000"/>
                <w:kern w:val="0"/>
                <w:sz w:val="24"/>
                <w:szCs w:val="24"/>
                <w:lang w:val="en-US" w:eastAsia="zh-CN" w:bidi="ar"/>
              </w:rPr>
              <w:t>网上填报完成。</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24</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电子响应文件签字、盖章要求</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color w:val="666666"/>
              </w:rPr>
              <w:t>       应按照第六章“响应文件格式与要求”，使用CA进行签字、盖章。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color w:val="666666"/>
              </w:rPr>
              <w:t>       说明：若涉及到授权委托人签字的可将文件签字页先进行签字、扫描后导入加密电子响应文件或签字处使用电脑打字输入。</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25</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color w:val="666666"/>
              </w:rPr>
              <w:t>其他</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jc w:val="both"/>
              <w:rPr>
                <w:rFonts w:hint="default" w:ascii="宋体" w:eastAsia="宋体"/>
                <w:color w:val="666666"/>
                <w:sz w:val="24"/>
                <w:szCs w:val="24"/>
                <w:lang w:val="en-US" w:eastAsia="zh-CN"/>
              </w:rPr>
            </w:pPr>
            <w:r>
              <w:rPr>
                <w:rFonts w:hint="eastAsia" w:ascii="宋体"/>
                <w:color w:val="666666"/>
                <w:sz w:val="24"/>
                <w:szCs w:val="24"/>
                <w:lang w:val="en-US" w:eastAsia="zh-CN"/>
              </w:rPr>
              <w:t>代理机构邮箱：yuzeguanli@126.com</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26</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color w:val="666666"/>
              </w:rPr>
              <w:t>项目兼投兼中规则</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left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兼投兼中：本项目不划分标段</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kern w:val="0"/>
          <w:sz w:val="27"/>
          <w:szCs w:val="27"/>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lang w:val="en-US" w:eastAsia="zh-CN" w:bidi="ar"/>
        </w:rPr>
        <w:t>二.说明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rPr>
        <w:t>    1.委托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授权代表如果不是法定代表人/单位负责人，须持有《法定代表人/单位负责人授权书》（统一格式）。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rPr>
        <w:t>    2.费用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无论磋商过程中的作法和结果如何，参加磋商的供应商须自行承担所有与参加磋商有关的全部费用。</w:t>
      </w:r>
    </w:p>
    <w:p>
      <w:pPr>
        <w:keepNext w:val="0"/>
        <w:keepLines w:val="0"/>
        <w:widowControl/>
        <w:suppressLineNumbers w:val="0"/>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lang w:val="en-US" w:eastAsia="zh-CN" w:bidi="ar"/>
        </w:rPr>
        <w:t>三.响应文件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rPr>
        <w:t>    1.响应文件计量单位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响应文件中所使用的计量单位，除有特殊要求外，应采用国家法定计量单位，报价最小单位为人民币元。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rPr>
        <w:t>    2.响应文件的组成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bCs w:val="0"/>
          <w:i w:val="0"/>
          <w:iCs w:val="0"/>
          <w:caps w:val="0"/>
          <w:color w:val="666666"/>
          <w:spacing w:val="0"/>
          <w:sz w:val="24"/>
          <w:szCs w:val="24"/>
        </w:rPr>
        <w:t>       响应文件应按照磋商文件第六章“响应文件格式”进行编写（可以增加附页），作为响应文件的组成部分。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（二）资格证明及其他文件包括：</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★1、供应商具有独立承担民事责任的能力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个体工商户：提交“统一社会信用代码的营业执照”或“营业执照、税务登记证”；⑤若为自然人：提供“身份证明材料”。以上均提供复印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★2、法定代表人/单位负责人签字并加盖公章的法定代表人/单位负责人授权书。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注：供应商为法人单位时提供“法定代表人授权书”，供应商为其他组织时提供“单位负责人授权书”，供应商为自然人时提供“自然人身份证明材料”。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i w:val="0"/>
          <w:iCs w:val="0"/>
          <w:caps w:val="0"/>
          <w:color w:val="666666"/>
          <w:spacing w:val="0"/>
          <w:sz w:val="24"/>
          <w:szCs w:val="24"/>
        </w:rPr>
      </w:pPr>
      <w:r>
        <w:rPr>
          <w:rFonts w:hint="eastAsia" w:ascii="微软雅黑" w:hAnsi="微软雅黑" w:eastAsia="微软雅黑" w:cs="微软雅黑"/>
          <w:b w:val="0"/>
          <w:bCs w:val="0"/>
          <w:i w:val="0"/>
          <w:iCs w:val="0"/>
          <w:caps w:val="0"/>
          <w:color w:val="666666"/>
          <w:spacing w:val="0"/>
          <w:sz w:val="24"/>
          <w:szCs w:val="24"/>
        </w:rPr>
        <w:t>       ★3、法定代表人/单位负责人身份证正反两面复印件及投标代表身份证明身份证正反两面复印件。</w:t>
      </w:r>
      <w:r>
        <w:rPr>
          <w:rFonts w:hint="eastAsia" w:ascii="微软雅黑" w:hAnsi="微软雅黑" w:eastAsia="微软雅黑" w:cs="微软雅黑"/>
          <w:b/>
          <w:bCs/>
          <w:i w:val="0"/>
          <w:iCs w:val="0"/>
          <w:caps w:val="0"/>
          <w:color w:val="666666"/>
          <w:spacing w:val="0"/>
          <w:sz w:val="24"/>
          <w:szCs w:val="24"/>
        </w:rPr>
        <w:t>供应商为大学生创办的小微企业还应提供法定代表人的学生证或毕业证或国外学历学位认证书复印件</w:t>
      </w:r>
      <w:r>
        <w:rPr>
          <w:rFonts w:hint="eastAsia" w:ascii="微软雅黑" w:hAnsi="微软雅黑" w:eastAsia="微软雅黑" w:cs="微软雅黑"/>
          <w:b w:val="0"/>
          <w:bCs w:val="0"/>
          <w:i w:val="0"/>
          <w:iCs w:val="0"/>
          <w:caps w:val="0"/>
          <w:color w:val="666666"/>
          <w:spacing w:val="0"/>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eastAsia" w:ascii="微软雅黑" w:hAnsi="微软雅黑" w:eastAsia="微软雅黑" w:cs="微软雅黑"/>
          <w:b w:val="0"/>
          <w:bCs w:val="0"/>
          <w:i w:val="0"/>
          <w:iCs w:val="0"/>
          <w:caps w:val="0"/>
          <w:color w:val="666666"/>
          <w:spacing w:val="0"/>
          <w:sz w:val="24"/>
          <w:szCs w:val="24"/>
        </w:rPr>
      </w:pPr>
      <w:r>
        <w:rPr>
          <w:rFonts w:hint="eastAsia" w:ascii="微软雅黑" w:hAnsi="微软雅黑" w:eastAsia="微软雅黑" w:cs="微软雅黑"/>
          <w:b w:val="0"/>
          <w:bCs w:val="0"/>
          <w:i w:val="0"/>
          <w:iCs w:val="0"/>
          <w:caps w:val="0"/>
          <w:color w:val="666666"/>
          <w:spacing w:val="0"/>
          <w:sz w:val="24"/>
          <w:szCs w:val="24"/>
        </w:rPr>
        <w:t>★</w:t>
      </w:r>
      <w:r>
        <w:rPr>
          <w:rFonts w:hint="eastAsia" w:ascii="微软雅黑" w:hAnsi="微软雅黑" w:eastAsia="微软雅黑" w:cs="微软雅黑"/>
          <w:b w:val="0"/>
          <w:bCs w:val="0"/>
          <w:i w:val="0"/>
          <w:iCs w:val="0"/>
          <w:caps w:val="0"/>
          <w:color w:val="666666"/>
          <w:spacing w:val="0"/>
          <w:sz w:val="24"/>
          <w:szCs w:val="24"/>
          <w:lang w:val="en-US" w:eastAsia="zh-CN"/>
        </w:rPr>
        <w:t>4</w:t>
      </w:r>
      <w:r>
        <w:rPr>
          <w:rFonts w:hint="eastAsia" w:ascii="微软雅黑" w:hAnsi="微软雅黑" w:eastAsia="微软雅黑" w:cs="微软雅黑"/>
          <w:b w:val="0"/>
          <w:bCs w:val="0"/>
          <w:i w:val="0"/>
          <w:iCs w:val="0"/>
          <w:caps w:val="0"/>
          <w:color w:val="666666"/>
          <w:spacing w:val="0"/>
          <w:sz w:val="24"/>
          <w:szCs w:val="24"/>
        </w:rPr>
        <w:t>、供应商须具备建设行政主管部门核发的建筑装修装饰工程专业承包二级（含）以上资质，具备有效的安全生产许可证，并在人员、设备、资金等方面具有相应的施工能力。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eastAsia" w:ascii="微软雅黑" w:hAnsi="微软雅黑" w:eastAsia="微软雅黑" w:cs="微软雅黑"/>
          <w:b w:val="0"/>
          <w:bCs w:val="0"/>
          <w:i w:val="0"/>
          <w:iCs w:val="0"/>
          <w:caps w:val="0"/>
          <w:color w:val="666666"/>
          <w:spacing w:val="0"/>
          <w:sz w:val="24"/>
          <w:szCs w:val="24"/>
        </w:rPr>
      </w:pPr>
      <w:r>
        <w:rPr>
          <w:rFonts w:hint="eastAsia" w:ascii="微软雅黑" w:hAnsi="微软雅黑" w:eastAsia="微软雅黑" w:cs="微软雅黑"/>
          <w:b w:val="0"/>
          <w:bCs w:val="0"/>
          <w:i w:val="0"/>
          <w:iCs w:val="0"/>
          <w:caps w:val="0"/>
          <w:color w:val="666666"/>
          <w:spacing w:val="0"/>
          <w:sz w:val="24"/>
          <w:szCs w:val="24"/>
        </w:rPr>
        <w:t>★</w:t>
      </w:r>
      <w:r>
        <w:rPr>
          <w:rFonts w:hint="eastAsia" w:ascii="微软雅黑" w:hAnsi="微软雅黑" w:eastAsia="微软雅黑" w:cs="微软雅黑"/>
          <w:b w:val="0"/>
          <w:bCs w:val="0"/>
          <w:i w:val="0"/>
          <w:iCs w:val="0"/>
          <w:caps w:val="0"/>
          <w:color w:val="666666"/>
          <w:spacing w:val="0"/>
          <w:sz w:val="24"/>
          <w:szCs w:val="24"/>
          <w:lang w:val="en-US" w:eastAsia="zh-CN"/>
        </w:rPr>
        <w:t>5</w:t>
      </w:r>
      <w:r>
        <w:rPr>
          <w:rFonts w:hint="eastAsia" w:ascii="微软雅黑" w:hAnsi="微软雅黑" w:eastAsia="微软雅黑" w:cs="微软雅黑"/>
          <w:b w:val="0"/>
          <w:bCs w:val="0"/>
          <w:i w:val="0"/>
          <w:iCs w:val="0"/>
          <w:caps w:val="0"/>
          <w:color w:val="666666"/>
          <w:spacing w:val="0"/>
          <w:sz w:val="24"/>
          <w:szCs w:val="24"/>
        </w:rPr>
        <w:t>、供应商须提供项目班子成员的岗位证书，包括：拟投入本项目负责人1人，须具有建设行政主管部门颁发的建筑工程专业二级及以上注册建造师证书，具备有效的安全生产考核合格证书，且未担任其他在施建设项目工程（出具承诺书）；技术负责人需提供中级及以上职称证，施工员（工长）1人，须具备岗位证书；质量员（质量检查员）1人，须具备岗位证书；安全员1人，须具备有效的安全生产考核合格证。（上述人员证企必须相符，专业：建筑工程相关专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（三）报价书附件的编制及编目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1、报价书附件由供应商自行编制，规格幅面应与正文一致，附于正文之后，与正文页码统一编目编码装订。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2、报价书附件必须包含以下内容：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（1）产品主要技术参数明细表及报价表；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（2）技术服务和售后服务的内容及措施。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3、报价书附件可以包含以下内容：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（1）产品详细说明书。包括：产品主要技术数据和性能的详细描述或提供产品样本；</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（2）产品制造、验收标准；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（3）详细的交货清单；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（4）特殊工具及备件清单；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（5）供应商推荐的供选择的配套货物表；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（6）提供报价所有辅助性材料或资料。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rPr>
        <w:t>    3.报价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（一）所有价格均以人民币报价，所报价格为送达用户指定地点安装、调试、培训完毕价格.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（二）磋商报价分两次，即初始报价，供应商递交的响应文件中的报价及磋商结束后的最后报价，且将做为最终的成交价格。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（三）具备初始报价，方有资格做第二次报价。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（四）最低报价不能作为成交的唯一保证。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（五）如供应商未按规定要求和时间递交最后报价，该供应商提交的响应文件中的初始报价将作为其最后报价。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（六）供应商应注意本文件的技术规格中指出的工艺、材料和设备型号仅起说明作用，并没有任何限制性。供应商在报价中可以选用替代标准或型号，但这些替代要实质上满足或超过本文件的要求。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rPr>
        <w:t>    4.响应文件的签署及规定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（一）组成响应文件的各项资料均应遵守本条规定。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（二）响应文件应按规范格式编制，按要求签字、加盖公章。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（三）响应文件装订成册、编制页码且页码连续。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微软雅黑"/>
          <w:lang w:val="en-US" w:eastAsia="zh-CN"/>
        </w:rPr>
      </w:pPr>
      <w:r>
        <w:rPr>
          <w:rFonts w:hint="eastAsia" w:ascii="微软雅黑" w:hAnsi="微软雅黑" w:eastAsia="微软雅黑" w:cs="微软雅黑"/>
          <w:b w:val="0"/>
          <w:bCs w:val="0"/>
          <w:i w:val="0"/>
          <w:iCs w:val="0"/>
          <w:caps w:val="0"/>
          <w:color w:val="666666"/>
          <w:spacing w:val="0"/>
          <w:sz w:val="24"/>
          <w:szCs w:val="24"/>
        </w:rPr>
        <w:t>    （四）响应文件的正本必须用不退色的墨水填写或打印，注明“正本”字样，副本可以用复印件。正本</w:t>
      </w:r>
      <w:r>
        <w:rPr>
          <w:rFonts w:hint="eastAsia" w:ascii="微软雅黑" w:hAnsi="微软雅黑" w:eastAsia="微软雅黑" w:cs="微软雅黑"/>
          <w:b w:val="0"/>
          <w:bCs w:val="0"/>
          <w:i w:val="0"/>
          <w:iCs w:val="0"/>
          <w:caps w:val="0"/>
          <w:color w:val="666666"/>
          <w:spacing w:val="0"/>
          <w:sz w:val="24"/>
          <w:szCs w:val="24"/>
          <w:lang w:val="en-US" w:eastAsia="zh-CN"/>
        </w:rPr>
        <w:t>1</w:t>
      </w:r>
      <w:r>
        <w:rPr>
          <w:rFonts w:hint="eastAsia" w:ascii="微软雅黑" w:hAnsi="微软雅黑" w:eastAsia="微软雅黑" w:cs="微软雅黑"/>
          <w:b w:val="0"/>
          <w:bCs w:val="0"/>
          <w:i w:val="0"/>
          <w:iCs w:val="0"/>
          <w:caps w:val="0"/>
          <w:color w:val="666666"/>
          <w:spacing w:val="0"/>
          <w:sz w:val="24"/>
          <w:szCs w:val="24"/>
        </w:rPr>
        <w:t>份，副本</w:t>
      </w:r>
      <w:r>
        <w:rPr>
          <w:rFonts w:hint="eastAsia" w:ascii="微软雅黑" w:hAnsi="微软雅黑" w:eastAsia="微软雅黑" w:cs="微软雅黑"/>
          <w:b w:val="0"/>
          <w:bCs w:val="0"/>
          <w:i w:val="0"/>
          <w:iCs w:val="0"/>
          <w:caps w:val="0"/>
          <w:color w:val="666666"/>
          <w:spacing w:val="0"/>
          <w:sz w:val="24"/>
          <w:szCs w:val="24"/>
          <w:lang w:val="en-US" w:eastAsia="zh-CN"/>
        </w:rPr>
        <w:t>1</w:t>
      </w:r>
      <w:r>
        <w:rPr>
          <w:rFonts w:hint="eastAsia" w:ascii="微软雅黑" w:hAnsi="微软雅黑" w:eastAsia="微软雅黑" w:cs="微软雅黑"/>
          <w:b w:val="0"/>
          <w:bCs w:val="0"/>
          <w:i w:val="0"/>
          <w:iCs w:val="0"/>
          <w:caps w:val="0"/>
          <w:color w:val="666666"/>
          <w:spacing w:val="0"/>
          <w:sz w:val="24"/>
          <w:szCs w:val="24"/>
        </w:rPr>
        <w:t>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（五）响应文件不得涂改和增删，如有修改错漏处，必须由磋商代表签字并加盖公章。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（六）响应文件因字迹潦草或表达不清所引起的后果由供应商自行负责。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（七）法定代表人/单位负责人授权书应由法定代表人/单位负责人签字并加盖公章。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rPr>
        <w:t>    5.响应文件存在下列任意一条的，则响应文件无效：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（一）任意一条不满足磋商文件★号条款要求的；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（二）单项产品五条及以上不满足非★号条款要求的；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（三）供应商所提报的技术参数没有如实填写，没有与“竞争性磋商文件技术要求”一一对应，只简单填写“响应或完全响应”的以及未逐条填写应答的；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（四）供应商提报的技术参数中没有明确品牌、型号、规格、配置等；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（五）单项商品报价超单项预算的；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六）响应产品中如要求安装软件，应提供正版软件，否则响应无效；台式计算机、便携式计算机必须预装正版操作系统，该系统须有唯一的正版序列号与之对应，一个正版序列号只能对应一台计算机，否则响应无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七）政府采购执行节能产品政府强制采购和优先采购政策。如采购人所采购产品为政府强制采购的节能产品，供应商所投产品的品牌及型号必须为清单中有效期内产品并提供证明文件，否则其响应将作为无效响应被拒绝；</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（八）信息安全产品，供应商所响应产品应为经国家认证的信息安全产品，并提供由中国信息安全认证中心按国家标准认证颁发的有效认证证书，否则响应无效。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注：本项目评审条款中有特殊情形的，以评审条款中的规定为准。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rPr>
        <w:t>    6.供应商出现下列情况之一的，响应文件无效：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（一）非★条款有重大偏离经磋商小组专家认定无法满足竞争性磋商文件需求的；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（二）未按竞争性磋商文件规定要求签字、盖章的；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（三）响应文件中提供虚假材料的；（提供虚假材料进行报价、应答的，还将移交财政部门依法处理）；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（四）提交的技术参数与所提供的技术证明文件不一致的；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（五）所报项目在实际运行中，其使用成本过高、使用条件苛刻的需经磋商小组确定后不能被采购人接受的；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（六）法定代表人/单位负责人授权书无法定代表人/单位负责人签字或没有加盖公章的；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（七）参加政府采购活动前三年内，在经营活动中有重大违法记录的；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（八）供应商对采购人、代理机构、磋商小组及其工作人员施加影响，有碍公平、公正的；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（九）单位负责人为同一人或者存在直接控股、管理关系的不同供应商参与本项目同一合同项下的投标的，其相关投标将被认定为投标无效；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（十）属于串通投标，或者依法被视为串通投标的；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十一）磋商小组认为，排在前面的入围候选供应商的报价明显不合理或者低于成本，有可能影响服务质量和不能诚信履约的，应当要求该供应商作出书面说明并提供相关证明材料，否则，磋商小组可以取消该供应商的成交候选资格，按顺序由排在后面的成交候选供应商递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（十二）按有关法律、法规、规章规定属于响应无效的；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（十三）磋商小组在磋商过程中，应以供应商提供的响应文件为磋商依据，不得接受响应文件以外的任何形式的文件资料。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rPr>
        <w:t>    7.供应商禁止行为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（一）供应商在提交响应文件截止时间后撤回响应文件；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（二）成交人在磋商结果产生后放弃成交；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w:t>
      </w:r>
      <w:r>
        <w:rPr>
          <w:rFonts w:hint="eastAsia" w:ascii="微软雅黑" w:hAnsi="微软雅黑" w:eastAsia="微软雅黑" w:cs="微软雅黑"/>
          <w:b w:val="0"/>
          <w:bCs w:val="0"/>
          <w:i w:val="0"/>
          <w:iCs w:val="0"/>
          <w:caps w:val="0"/>
          <w:color w:val="666666"/>
          <w:spacing w:val="0"/>
          <w:sz w:val="24"/>
          <w:szCs w:val="24"/>
          <w:lang w:val="en-US" w:eastAsia="zh-CN"/>
        </w:rPr>
        <w:t>三</w:t>
      </w:r>
      <w:r>
        <w:rPr>
          <w:rFonts w:hint="eastAsia" w:ascii="微软雅黑" w:hAnsi="微软雅黑" w:eastAsia="微软雅黑" w:cs="微软雅黑"/>
          <w:b w:val="0"/>
          <w:bCs w:val="0"/>
          <w:i w:val="0"/>
          <w:iCs w:val="0"/>
          <w:caps w:val="0"/>
          <w:color w:val="666666"/>
          <w:spacing w:val="0"/>
          <w:sz w:val="24"/>
          <w:szCs w:val="24"/>
        </w:rPr>
        <w:t>）成交人在规定的时限内不签订政府采购合同。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rPr>
        <w:t>    8.竞争性磋商文件质疑提起与受理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供应商在参加黑龙江省政府采购代理机构组织的政府采购活动中，认为采购文件使自己的权益受到损害的，可依法提出质疑；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（一）潜在供应商已依法获取采购文件，且满足参加采购活动基本条件的，可以对该文件提出质疑；对采购文件提出质疑的，应当在首次获取采购文件之日起7个工作日内提出；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（二）提出质疑的供应商应当在规定的时限内，以书面形式一次性地向代理机构递交质疑函和必要的证明材料。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（三）有下列情形之一的，政府采购代理机构不予受理：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1、按照“谁主张、谁举证”的原则，应由质疑供应商提供质疑事项的相关证据、依据和其他有关材料，未能提供的；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2、未按照补正期限进行补正或者补正后仍不符合规定的；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3、未在质疑有效期限内提出的；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4、同一质疑供应商一次性提出质疑后又提出新质疑的；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（四）有下列情形之一的，质疑不成立：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1、质疑事项缺乏事实依据的；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2、质疑供应商捏造事实或者提供虚假材料的；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3、质疑供应商以非法手段取得证明材料的。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（五）对虚假和恶意质疑的处理。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代理机构将对虚假和恶意质疑的供应商进行网上公示，推送省级信用平台；报省政府采购监督管理部门依法处理，记入政府采购不良记录；限制参与政府采购活动；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有下列情形之一的，属于虚假和恶意质疑：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1、主观臆造、无事实依据进行质疑的；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2、捏造事实或提供虚假材料进行质疑的；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3、恶意攻击、歪曲事实进行质疑的；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4、以非法手段取得证明材料的。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bCs w:val="0"/>
          <w:i w:val="0"/>
          <w:iCs w:val="0"/>
          <w:caps w:val="0"/>
          <w:color w:val="666666"/>
          <w:spacing w:val="0"/>
          <w:sz w:val="24"/>
          <w:szCs w:val="24"/>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kern w:val="0"/>
          <w:sz w:val="36"/>
          <w:szCs w:val="36"/>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val="0"/>
          <w:bCs w:val="0"/>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36"/>
          <w:szCs w:val="36"/>
          <w:lang w:val="en-US" w:eastAsia="zh-CN" w:bidi="ar"/>
        </w:rPr>
        <w:t>第四章 磋商及评审方法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bCs/>
          <w:i w:val="0"/>
          <w:iCs w:val="0"/>
          <w:caps w:val="0"/>
          <w:color w:val="666666"/>
          <w:spacing w:val="0"/>
          <w:sz w:val="27"/>
          <w:szCs w:val="27"/>
        </w:rPr>
        <w:t>一.磋商评审要求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rPr>
        <w:t>    1、评审方法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综合评分法，响应文件满足磋商文件全部实质性要求，且按照评审因素的量化指标评审得分最高的供应商为成交候选人的评审方法。（最低报价不是成交的唯一依据。）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rPr>
        <w:t>    2、评审原则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2.1 评审活动遵循公平、公正、科学和择优的原则，以磋商文件和响应文件为评审的基本依据，并按照磋商文件规定的评审方法和评审标准进行评审。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2.2 具体评审事项由磋商小组负责，并按磋商文件的规定办法进行评审。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rPr>
        <w:t>    3、磋商小组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3.1 磋商小组由采购人代表和评审专家共3人以上单数组成，其中评审专家人数不得少于磋商小组成员总数的2/3。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3.2 磋商小组成员有下列情形之一的，应当回避：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（1）参加采购活动前三年内,与供应商存在劳动关系,或者担任过供应商的董事、监事,或者是供应商的控股股东或实际控制人；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（2）与供应商的法定代表人或者负责人有夫妻、直系血亲、三代以内旁系血亲或者近姻亲关系；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（3）与供应商有其他可能影响政府采购活动公平、公正进行的关系。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3.3 磋商小组负责具体评审事务，并独立履行下列职责：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（1）审查、评价响应文件是否符合磋商文件的商务、技术等实质性要求；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（2）要求供应商对响应文件有关事项作出澄清或者说明，与供应商进行分别磋商；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（3）对响应文件进行比较和评价；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（4）确定成交候选人名单，以及根据采购人委托直接确定成交供应商；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（5）向采购人、采购代理机构或者有关部门报告评审中发现的违法行为；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（6）法律法规规定的其他职责。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rPr>
        <w:t>    4、澄清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采用书面形式，并加盖公章，或者由法定代表人或其授权的代表签字。供应商的澄清、说明或者更正不得超出响应文件的范围或者改变响应文件的实质性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4.1 磋商小组不接受供应商主动提出的澄清、说明或更正。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4.2 磋商小组对供应商提交的澄清、说明或更正有疑问的，可以要求供应商进一步澄清、说明或更正。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rPr>
        <w:t>    5、有下列情形之一的，视为供应商串通投标：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（1）不同供应商的响应文件由同一单位或者个人编制；（不同供应商响应文件上传的项目内部识别码一致）；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（2）不同供应商委托同一单位或者个人办理投标事宜；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（3）不同供应商的响应文件载明的项目管理成员或者联系人员为同一人；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（4）不同供应商的响应文件异常一致或者投标报价呈规律性差异；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（5）不同供应商的响应文件相互混装；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（6）不同供应商的投标保证金为从同一单位或个人的账户转出；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说明：在项目评审时被认定为串通投标的供应商不得参加该合同项下的采购活动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rPr>
        <w:t>    6、有下列情形之一的，属于恶意串通投标：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（1）供应商直接或者间接从采购人或者采购代理机构处获得其他供应商的相关情况并修改其投标文件或者响应文件；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（2）供应商按照采购人或者采购代理机构的授意撤换、修改投标文件或者响应文件；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（3）供应商之间协商报价、技术方案等投标文件或者响应文件的实质性内容；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（4）属于同一集团、协会、商会等组织成员的供应商按照该组织要求协同参加政府采购活动；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（5）供应商之间事先约定由某一特定供应商成交、成交；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（6）供应商之间商定部分供应商放弃参加政府采购活动或者放弃成交、成交；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（7）供应商与采购人或者采购代理机构之间、供应商相互之间，为谋求特定供应商成交、成交或者排斥其他供应商的其他串通行为。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rPr>
        <w:t>    7、投标无效的情形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详见资格性审查、符合性审查和磋商文件其他投标无效条款。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rPr>
        <w:t>    8、废标（终止）的情形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出现下列情形之一的，采购人或者采购代理机构应当终止竞争性磋商采购活动，发布项目终止公告并说明原因，重新开展采购活动。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（1）因情况变化，不再符合规定的竞争性磋商采购方式适用情形的；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（2）出现影响采购公正的违法、违规行为的；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（3）在采购过程中符合磋商要求的供应商或者报价未超过采购预算的供应商不足3家的，但经财政部门批准的情形除外；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（4）法律、法规以及磋商文件规定其他情形。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rPr>
        <w:t>    9、定标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磋商小组按照磋商文件确定的评审方法、步骤、标准，对响应文件进行评审。评审结束后，对供应商的评审名次进行排序，确定成交供应商或者推荐成交候选人。</w:t>
      </w:r>
    </w:p>
    <w:p>
      <w:pPr>
        <w:keepNext w:val="0"/>
        <w:keepLines w:val="0"/>
        <w:widowControl/>
        <w:suppressLineNumbers w:val="0"/>
        <w:spacing w:before="0" w:beforeAutospacing="0" w:after="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bCs/>
          <w:i w:val="0"/>
          <w:iCs w:val="0"/>
          <w:caps w:val="0"/>
          <w:color w:val="666666"/>
          <w:spacing w:val="0"/>
          <w:sz w:val="27"/>
          <w:szCs w:val="27"/>
        </w:rPr>
        <w:t>二.政府采购政策落实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lang w:val="en-US" w:eastAsia="zh-CN" w:bidi="ar"/>
        </w:rPr>
        <w:t>    1.节能、环保要求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采购的产品属于品目清单范围的，将依据国家确定的认证机构出具的、处于有效期之内的节能产品、环境标志产品认证证书，对获得证书的产品实施政府优先采购或强制采购，具体按照本采购文件相关要求执行。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lang w:val="en-US" w:eastAsia="zh-CN" w:bidi="ar"/>
        </w:rPr>
        <w:t>    2.对小型、微型企业、监狱企业或残疾人福利性单位给予价格扣除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依照《政府采购促进中小企业发展管理办法》、《关于政府采购支持监狱企业发展有关问题的通知》和《财政部 民政部 中国残疾人联合会关于促进残疾人就业政府采购政策的通知》的规定，凡符合要求的小型、微型企业、监狱企业或残疾人福利性单位，按照以下比例给予相应的价格扣除：（监狱企业、残疾人福利性单位视同为小、微企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bCs w:val="0"/>
          <w:i w:val="0"/>
          <w:iCs w:val="0"/>
          <w:caps w:val="0"/>
          <w:color w:val="666666"/>
          <w:spacing w:val="0"/>
          <w:sz w:val="24"/>
          <w:szCs w:val="24"/>
        </w:rPr>
        <w:t>合同包1（房屋维修）</w:t>
      </w:r>
    </w:p>
    <w:tbl>
      <w:tblPr>
        <w:tblStyle w:val="8"/>
        <w:tblW w:w="5000" w:type="pct"/>
        <w:jc w:val="center"/>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106"/>
        <w:gridCol w:w="1943"/>
        <w:gridCol w:w="1209"/>
        <w:gridCol w:w="973"/>
        <w:gridCol w:w="3195"/>
      </w:tblGrid>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Header/>
          <w:jc w:val="center"/>
        </w:trPr>
        <w:tc>
          <w:tcPr>
            <w:tcW w:w="1059" w:type="dxa"/>
            <w:tcBorders>
              <w:top w:val="single" w:color="B4C3D8" w:sz="4" w:space="0"/>
              <w:left w:val="single" w:color="B4C3D8" w:sz="4" w:space="0"/>
              <w:bottom w:val="single" w:color="B4C3D8" w:sz="4" w:space="0"/>
              <w:right w:val="single" w:color="B4C3D8" w:sz="4" w:space="0"/>
            </w:tcBorders>
            <w:shd w:val="clear" w:color="auto" w:fill="EEEEEE"/>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序号</w:t>
            </w:r>
          </w:p>
        </w:tc>
        <w:tc>
          <w:tcPr>
            <w:tcW w:w="1884" w:type="dxa"/>
            <w:tcBorders>
              <w:top w:val="single" w:color="B4C3D8" w:sz="4" w:space="0"/>
              <w:left w:val="single" w:color="B4C3D8" w:sz="4" w:space="0"/>
              <w:bottom w:val="single" w:color="B4C3D8" w:sz="4" w:space="0"/>
              <w:right w:val="single" w:color="B4C3D8" w:sz="4" w:space="0"/>
            </w:tcBorders>
            <w:shd w:val="clear" w:color="auto" w:fill="EEEEEE"/>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情形</w:t>
            </w:r>
          </w:p>
        </w:tc>
        <w:tc>
          <w:tcPr>
            <w:tcW w:w="1184" w:type="dxa"/>
            <w:tcBorders>
              <w:top w:val="single" w:color="B4C3D8" w:sz="4" w:space="0"/>
              <w:left w:val="single" w:color="B4C3D8" w:sz="4" w:space="0"/>
              <w:bottom w:val="single" w:color="B4C3D8" w:sz="4" w:space="0"/>
              <w:right w:val="single" w:color="B4C3D8" w:sz="4" w:space="0"/>
            </w:tcBorders>
            <w:shd w:val="clear" w:color="auto" w:fill="EEEEEE"/>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适用对象</w:t>
            </w:r>
          </w:p>
        </w:tc>
        <w:tc>
          <w:tcPr>
            <w:tcW w:w="897" w:type="dxa"/>
            <w:tcBorders>
              <w:top w:val="single" w:color="B4C3D8" w:sz="4" w:space="0"/>
              <w:left w:val="single" w:color="B4C3D8" w:sz="4" w:space="0"/>
              <w:bottom w:val="single" w:color="B4C3D8" w:sz="4" w:space="0"/>
              <w:right w:val="single" w:color="B4C3D8" w:sz="4" w:space="0"/>
            </w:tcBorders>
            <w:shd w:val="clear" w:color="auto" w:fill="EEEEEE"/>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价格扣除比例</w:t>
            </w:r>
          </w:p>
        </w:tc>
        <w:tc>
          <w:tcPr>
            <w:tcW w:w="3402" w:type="dxa"/>
            <w:tcBorders>
              <w:top w:val="single" w:color="B4C3D8" w:sz="4" w:space="0"/>
              <w:left w:val="single" w:color="B4C3D8" w:sz="4" w:space="0"/>
              <w:bottom w:val="single" w:color="B4C3D8" w:sz="4" w:space="0"/>
              <w:right w:val="single" w:color="B4C3D8" w:sz="4" w:space="0"/>
            </w:tcBorders>
            <w:shd w:val="clear" w:color="auto" w:fill="EEEEEE"/>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i w:val="0"/>
                <w:iCs w:val="0"/>
                <w:color w:val="666666"/>
              </w:rPr>
            </w:pPr>
            <w:r>
              <w:rPr>
                <w:rFonts w:ascii="宋体" w:hAnsi="宋体" w:eastAsia="宋体" w:cs="宋体"/>
                <w:i w:val="0"/>
                <w:iCs w:val="0"/>
                <w:color w:val="666666"/>
                <w:kern w:val="0"/>
                <w:sz w:val="24"/>
                <w:szCs w:val="24"/>
                <w:lang w:val="en-US" w:eastAsia="zh-CN" w:bidi="ar"/>
              </w:rPr>
              <w:t>计算公式</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1059"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0A82E5"/>
              </w:rPr>
            </w:pPr>
            <w:r>
              <w:rPr>
                <w:rFonts w:ascii="宋体" w:hAnsi="宋体" w:eastAsia="宋体" w:cs="宋体"/>
                <w:color w:val="0A82E5"/>
                <w:kern w:val="0"/>
                <w:sz w:val="24"/>
                <w:szCs w:val="24"/>
                <w:lang w:val="en-US" w:eastAsia="zh-CN" w:bidi="ar"/>
              </w:rPr>
              <w:t>1</w:t>
            </w:r>
          </w:p>
        </w:tc>
        <w:tc>
          <w:tcPr>
            <w:tcW w:w="1884"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小型、微型企业，监狱企业，残疾人福利性单位</w:t>
            </w:r>
          </w:p>
        </w:tc>
        <w:tc>
          <w:tcPr>
            <w:tcW w:w="1184"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非联合体</w:t>
            </w:r>
          </w:p>
        </w:tc>
        <w:tc>
          <w:tcPr>
            <w:tcW w:w="897"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0A82E5"/>
              </w:rPr>
            </w:pPr>
            <w:r>
              <w:rPr>
                <w:rFonts w:ascii="宋体" w:hAnsi="宋体" w:eastAsia="宋体" w:cs="宋体"/>
                <w:color w:val="0A82E5"/>
                <w:kern w:val="0"/>
                <w:sz w:val="24"/>
                <w:szCs w:val="24"/>
                <w:lang w:val="en-US" w:eastAsia="zh-CN" w:bidi="ar"/>
              </w:rPr>
              <w:t>5%</w:t>
            </w:r>
          </w:p>
        </w:tc>
        <w:tc>
          <w:tcPr>
            <w:tcW w:w="3402"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本项目对属于小型和微型企业的投标人的投标报价给予相应百分比的扣除，用扣除后的价格参与评审。残疾人福利性单位视同小型、微型企业，享受同等价格扣除，但同时属于残疾人福利性单位和小微企业的，不重复价格扣除。</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0" w:type="auto"/>
            <w:gridSpan w:val="5"/>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注：（1）上述评标价仅用于计算价格评分，成交金额以实际投标价为准。 （2）组成联合体的大中型企业和其他自然人、法人或者其他组织，与小型、微型企业之间不得存在投资关系。</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val="0"/>
          <w:bCs w:val="0"/>
          <w:i w:val="0"/>
          <w:iCs w:val="0"/>
          <w:caps w:val="0"/>
          <w:color w:val="666666"/>
          <w:spacing w:val="0"/>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bCs/>
          <w:i w:val="0"/>
          <w:iCs w:val="0"/>
          <w:caps w:val="0"/>
          <w:color w:val="666666"/>
          <w:spacing w:val="0"/>
          <w:sz w:val="24"/>
          <w:szCs w:val="24"/>
        </w:rPr>
        <w:t>    价格扣除相关要求：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（1）所称小型和微型企业应当同时符合以下条件：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①符合中小企业划分标准；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②提供本企业制造的货物、承担的工程或者服务，或者提供其他中小企业制造的货物。本项所称货物不包括使用大型企业注册商标的货物；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中小企业划分标准，是指国务院有关部门根据企业从业人员、营业收入、资产总额等指标制定的中小企业划型标准。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小型、微型企业提供中型企业制造的货物的，视同为中型企业。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符合中小企业划分标准的个体工商户，在政府采购活动中视同中小企业。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（2）在政府采购活动中，供应商提供的货物、工程或者服务符合下列情形的，享受《政府采购促进中小企业发展管理办法》规定的中小企业扶持政策：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①在货物采购项目中，货物由中小企业制造，即货物由中小企业生产且使用该中小企业商号或者注册商标；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②在工程采购项目中，工程由中小企业承建，即工程施工单位为中小企业；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③在服务采购项目中，服务由中小企业承接，即提供服务的人员为中小企业依照《中华人民共和国劳动合同法》订立劳动合同的从业人员。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在货物采购项目中，供应商提供的货物既有中小企业制造货物，也有大型企业制造货物的，不享受《政府采购促进中小企业发展管理办法》规定的中小企业扶持政策。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以联合体形式参加政府采购活动，联合体各方均为中小企业的，联合体视同中小企业。其中，联合体各方均为小微企业的，联合体视同小微企业。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3）供应商属于小微企业的应填写《中小企业声明函》；监狱企业须供应商提供由监狱管理局、戒毒管理局（含新疆生产建设兵团）出具的属于监狱企业的证明文件；残疾人福利性单位应填写《残疾人福利性单位声明函》，否则不认定价格扣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说明：供应商应当认真填写声明函，若有虚假将追究其责任。供应商可通过“国家企业信用信息公示系统”（http://www.gsxt.gov.cn/index.html），点击“小微企业名录”（http://xwqy.gsxt.gov.cn/）对供应商和核心设备制造商进行搜索、查询，自行核实是否属于小微企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（4）提供供应商的《中小企业声明函》、《残疾人福利性单位声明函》（格式后附，不可修改），未提供、未盖章或填写内容与相关材料不符的不予价格扣除。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（5）报价供应商为大学生创办的小微企业的，对其法定代表人身份及企业性质进行核查，请报价供应商提供（A）、（B）、（C）的登录名和密码：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（A）法定代表人为在校大学生的，学生证复印件与《企业法人营业执照》上的法人代表名称应一致。查询路径：中国高等教育学生信息网(学信网)http：//www.chsi.com.cn/。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（B）法定代表人为大学毕业生的，毕业证复印件与《企业法人营业执照》上的法人代表名称应一致。查询路径：中国高等教育学生信息网(学信网)http：//www.chsi.com.cn/。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C）法定代表人为留学回国人员的，国外学历学位认证书复印件与《企业法人营业执照》上的法人代表名称应一致。查询路径：教育部留学服务中心-国（境）外学历学位认证系统http：//renzheng.cscse.edu.cn/Login.aspx。</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（D）企业法定代表人必须为在校大学生、毕业五年内大学生（含留学回国），同时大学生必须为控股股东。控股情况查询：全国企业信用信息公示系统http：//gsxt.saic.gov.cn/。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（E）各项查询结果需打印并由磋商小组签字。</w:t>
      </w:r>
    </w:p>
    <w:p>
      <w:pPr>
        <w:keepNext w:val="0"/>
        <w:keepLines w:val="0"/>
        <w:widowControl/>
        <w:suppressLineNumbers w:val="0"/>
        <w:spacing w:before="0" w:beforeAutospacing="0" w:after="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bCs/>
          <w:i w:val="0"/>
          <w:iCs w:val="0"/>
          <w:caps w:val="0"/>
          <w:color w:val="666666"/>
          <w:spacing w:val="0"/>
          <w:sz w:val="27"/>
          <w:szCs w:val="27"/>
        </w:rPr>
        <w:t>三.评审程序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lang w:val="en-US" w:eastAsia="zh-CN" w:bidi="ar"/>
        </w:rPr>
        <w:t>    1.资格性审查和符合性审查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资格性审查。磋商小组依据法律法规和竞争性磋商文件规定，对响应文件中的资格证明等进行审查，以确定供应商是否具备入围资格。如供应商不具备入围资格，应书面告知未入围的供应原因并要求其签字确认收到告知书。（详见后附表一资格性审查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符合性审查。依据磋商文件的规定，从响应文件的有效性、完整性和对磋商文件的响应程度进行审查，以确定是否对磋商文件的实质性要求作出响应。（详见后附表二符合性审查表）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资格性审查和符合性审查中凡有其中任意一项未通过的，评审结果为未通过，未通过资格性审查、符合性审查的投标单位按无效投标处理。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lang w:val="en-US" w:eastAsia="zh-CN" w:bidi="ar"/>
        </w:rPr>
        <w:t>    2.磋商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（1）磋商小组所有成员应当集中与单一供应商分别进行磋商，并给予所有参加磋商的供应商平等的磋商机会。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（2）在磋商过程中，磋商小组可以根据磋商文件和磋商情况实质性变动采购需求中的技术、服务要求以及合同草案条款，但不得变动磋商文件中的其他内容。实质性变动的内容，须经采购人代表确认。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微软雅黑"/>
          <w:lang w:eastAsia="zh-CN"/>
        </w:rPr>
      </w:pPr>
      <w:r>
        <w:rPr>
          <w:rFonts w:hint="eastAsia" w:ascii="微软雅黑" w:hAnsi="微软雅黑" w:eastAsia="微软雅黑" w:cs="微软雅黑"/>
          <w:b w:val="0"/>
          <w:bCs w:val="0"/>
          <w:i w:val="0"/>
          <w:iCs w:val="0"/>
          <w:caps w:val="0"/>
          <w:color w:val="666666"/>
          <w:spacing w:val="0"/>
          <w:sz w:val="24"/>
          <w:szCs w:val="24"/>
        </w:rPr>
        <w:t>    对磋商文件作出的实质性变动是磋商文件的有效组成部分，磋商小组应当及时、同时通知所有参加磋商的供应商</w:t>
      </w:r>
      <w:r>
        <w:rPr>
          <w:rFonts w:hint="eastAsia" w:ascii="微软雅黑" w:hAnsi="微软雅黑" w:eastAsia="微软雅黑" w:cs="微软雅黑"/>
          <w:b w:val="0"/>
          <w:bCs w:val="0"/>
          <w:i w:val="0"/>
          <w:iCs w:val="0"/>
          <w:caps w:val="0"/>
          <w:color w:val="666666"/>
          <w:spacing w:val="0"/>
          <w:sz w:val="24"/>
          <w:szCs w:val="24"/>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lang w:val="en-US" w:eastAsia="zh-CN" w:bidi="ar"/>
        </w:rPr>
        <w:t>    3.最后报价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磋商结束后，磋商小组应当要求所有实质性响应的供应商在规定时间内提交最后报价。最后报价是供应商响应文件的有效组成部分。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i w:val="0"/>
          <w:iCs w:val="0"/>
          <w:caps w:val="0"/>
          <w:color w:val="666666"/>
          <w:spacing w:val="0"/>
          <w:sz w:val="24"/>
          <w:szCs w:val="24"/>
        </w:rPr>
      </w:pPr>
      <w:r>
        <w:rPr>
          <w:rFonts w:hint="eastAsia" w:ascii="微软雅黑" w:hAnsi="微软雅黑" w:eastAsia="微软雅黑" w:cs="微软雅黑"/>
          <w:b w:val="0"/>
          <w:bCs w:val="0"/>
          <w:i w:val="0"/>
          <w:iCs w:val="0"/>
          <w:caps w:val="0"/>
          <w:color w:val="666666"/>
          <w:spacing w:val="0"/>
          <w:sz w:val="24"/>
          <w:szCs w:val="24"/>
        </w:rPr>
        <w:t>       已提交响应文件的供应商，在提交最后报价之前，可以根据磋商情况退出磋商。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default" w:ascii="微软雅黑" w:hAnsi="微软雅黑" w:eastAsia="微软雅黑" w:cs="微软雅黑"/>
          <w:b/>
          <w:bCs/>
          <w:i w:val="0"/>
          <w:iCs w:val="0"/>
          <w:caps w:val="0"/>
          <w:color w:val="666666"/>
          <w:spacing w:val="0"/>
          <w:sz w:val="24"/>
          <w:szCs w:val="24"/>
          <w:highlight w:val="none"/>
          <w:lang w:val="en-US" w:eastAsia="zh-CN"/>
        </w:rPr>
      </w:pPr>
      <w:r>
        <w:rPr>
          <w:rFonts w:hint="eastAsia" w:ascii="微软雅黑" w:hAnsi="微软雅黑" w:eastAsia="微软雅黑" w:cs="微软雅黑"/>
          <w:b/>
          <w:bCs/>
          <w:i w:val="0"/>
          <w:iCs w:val="0"/>
          <w:caps w:val="0"/>
          <w:color w:val="666666"/>
          <w:spacing w:val="0"/>
          <w:sz w:val="24"/>
          <w:szCs w:val="24"/>
          <w:highlight w:val="none"/>
          <w:lang w:val="en-US" w:eastAsia="zh-CN"/>
        </w:rPr>
        <w:t>提交最后报价的供应商需提供最后报价调整说明。</w:t>
      </w:r>
    </w:p>
    <w:p>
      <w:pPr>
        <w:keepNext w:val="0"/>
        <w:keepLines w:val="0"/>
        <w:widowControl/>
        <w:suppressLineNumbers w:val="0"/>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lang w:val="en-US" w:eastAsia="zh-CN" w:bidi="ar"/>
        </w:rPr>
        <w:t>    4.政府采购政策功能落实</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对于小型、微型企业、监狱企业或残疾人福利性单位给予价格扣除。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lang w:val="en-US" w:eastAsia="zh-CN" w:bidi="ar"/>
        </w:rPr>
        <w:t>    5.综合评分（详见后附表三详细表）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由磋商小组采用综合评分法对提交最后报价的供应商的响应文件和最后报价进行综合评分（得分四舍五入保留两位小数）。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lang w:val="en-US" w:eastAsia="zh-CN" w:bidi="ar"/>
        </w:rPr>
        <w:t>    6.汇总、排序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评审结果按评审后总得分由高到低顺序排列。评审得分相同的，按照最后报价由低到高的顺序推荐。评审得分且最后报价相同的，按照技术指标优劣顺序推荐。上述相同的，按照提供优先采购产品证明材料的数量进行排序；以上均相同的属于保护环境、不发达地区和少数民族地区企业的优先。</w:t>
      </w:r>
    </w:p>
    <w:p>
      <w:pPr>
        <w:keepNext w:val="0"/>
        <w:keepLines w:val="0"/>
        <w:widowControl/>
        <w:suppressLineNumbers w:val="0"/>
        <w:spacing w:before="0" w:beforeAutospacing="0" w:after="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bCs/>
          <w:i w:val="0"/>
          <w:iCs w:val="0"/>
          <w:caps w:val="0"/>
          <w:color w:val="666666"/>
          <w:spacing w:val="0"/>
          <w:sz w:val="27"/>
          <w:szCs w:val="27"/>
        </w:rPr>
        <w:t>四.确定成交供应商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（一）磋商小组依据磋商方法和原则确定成交供应商，并将成交结果通知所有参加磋商的未成交供应商。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（二）如供应商对成交结果有异议，请当场以书面形式提出，由磋商小组以书面形式进行回复，其他任何形式的回复无效。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（三）成交公告和成交通知书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代理机构负责发布成交公告，同时向成交供应商发出《成交通知书》，《成交通知书》是《合同》的一个组成部分。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（四）排名第一的成交候选人不与采购人签订合同的，采购人可直接上报黑龙江省财政部门。</w:t>
      </w:r>
    </w:p>
    <w:p>
      <w:pPr>
        <w:keepNext w:val="0"/>
        <w:keepLines w:val="0"/>
        <w:widowControl/>
        <w:suppressLineNumbers w:val="0"/>
        <w:spacing w:before="0" w:beforeAutospacing="0" w:after="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bCs/>
          <w:i w:val="0"/>
          <w:iCs w:val="0"/>
          <w:caps w:val="0"/>
          <w:color w:val="666666"/>
          <w:spacing w:val="0"/>
          <w:sz w:val="27"/>
          <w:szCs w:val="27"/>
        </w:rPr>
        <w:t>五.合同的签订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（一）成交供应商应按《成交通知书》规定的时间、地点与采购人签订政府采购合同。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（二）竞争性磋商文件、成交供应商的响应文件、磋商过程中的有关澄清和承诺文件均是政府采购合同的必要组成部分，与合同具有同等法律效力。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（三）采购人不得向成交供应商提出任何不合理的要求，作为签订合同的条件，不得与成交供应商订立违背合同实质性内容的协议。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（四）合同由采购人通过黑龙江省政府采购网上传黑龙江省财政部门备案。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（五）采购人负责合同的审核、签订、履约及验收工作，黑龙江省财政部门负责对合同签订、合同履约及验收进行监督检查。</w:t>
      </w:r>
    </w:p>
    <w:p>
      <w:pPr>
        <w:keepNext w:val="0"/>
        <w:keepLines w:val="0"/>
        <w:widowControl/>
        <w:suppressLineNumbers w:val="0"/>
        <w:spacing w:before="0" w:beforeAutospacing="0" w:after="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bCs/>
          <w:i w:val="0"/>
          <w:iCs w:val="0"/>
          <w:caps w:val="0"/>
          <w:color w:val="666666"/>
          <w:spacing w:val="0"/>
          <w:sz w:val="27"/>
          <w:szCs w:val="27"/>
        </w:rPr>
        <w:t>六.履约金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firstLine="0"/>
        <w:jc w:val="left"/>
        <w:rPr>
          <w:rFonts w:hint="eastAsia" w:ascii="微软雅黑" w:hAnsi="微软雅黑" w:eastAsia="微软雅黑" w:cs="微软雅黑"/>
          <w:b w:val="0"/>
          <w:bCs w:val="0"/>
          <w:i w:val="0"/>
          <w:iCs w:val="0"/>
          <w:caps w:val="0"/>
          <w:color w:val="0A82E5"/>
          <w:spacing w:val="0"/>
          <w:sz w:val="24"/>
          <w:szCs w:val="24"/>
        </w:rPr>
      </w:pPr>
      <w:r>
        <w:rPr>
          <w:rFonts w:hint="eastAsia" w:ascii="微软雅黑" w:hAnsi="微软雅黑" w:eastAsia="微软雅黑" w:cs="微软雅黑"/>
          <w:b w:val="0"/>
          <w:bCs w:val="0"/>
          <w:i w:val="0"/>
          <w:iCs w:val="0"/>
          <w:caps w:val="0"/>
          <w:color w:val="0A82E5"/>
          <w:spacing w:val="0"/>
          <w:kern w:val="0"/>
          <w:sz w:val="24"/>
          <w:szCs w:val="24"/>
          <w:lang w:val="en-US" w:eastAsia="zh-CN" w:bidi="ar"/>
        </w:rPr>
        <w:t>合同包1（房屋维修）： 本合同包不收取</w:t>
      </w:r>
    </w:p>
    <w:p>
      <w:pPr>
        <w:keepNext w:val="0"/>
        <w:keepLines w:val="0"/>
        <w:widowControl/>
        <w:suppressLineNumbers w:val="0"/>
        <w:spacing w:before="0" w:beforeAutospacing="0" w:after="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bCs/>
          <w:i w:val="0"/>
          <w:iCs w:val="0"/>
          <w:caps w:val="0"/>
          <w:color w:val="666666"/>
          <w:spacing w:val="0"/>
          <w:sz w:val="27"/>
          <w:szCs w:val="27"/>
        </w:rPr>
        <w:t>七.付款及验收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A82E5"/>
        </w:rPr>
      </w:pPr>
      <w:r>
        <w:rPr>
          <w:rFonts w:hint="eastAsia" w:ascii="微软雅黑" w:hAnsi="微软雅黑" w:eastAsia="微软雅黑" w:cs="微软雅黑"/>
          <w:b w:val="0"/>
          <w:bCs w:val="0"/>
          <w:i w:val="0"/>
          <w:iCs w:val="0"/>
          <w:caps w:val="0"/>
          <w:color w:val="0A82E5"/>
          <w:spacing w:val="0"/>
          <w:sz w:val="24"/>
          <w:szCs w:val="24"/>
        </w:rPr>
        <w:t>合同包1（房屋维修）</w:t>
      </w:r>
    </w:p>
    <w:tbl>
      <w:tblPr>
        <w:tblStyle w:val="8"/>
        <w:tblW w:w="5000" w:type="pct"/>
        <w:tblInd w:w="0" w:type="dxa"/>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43"/>
        <w:gridCol w:w="7583"/>
      </w:tblGrid>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 w:type="pct"/>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付款方式</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1期:    100%,  项目验收合格之后，一次性支付。</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 w:type="pct"/>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验收要求</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0A82E5"/>
              </w:rPr>
            </w:pPr>
            <w:r>
              <w:rPr>
                <w:rFonts w:hint="eastAsia" w:ascii="宋体" w:hAnsi="宋体" w:eastAsia="宋体" w:cs="宋体"/>
                <w:color w:val="0A82E5"/>
                <w:kern w:val="0"/>
                <w:sz w:val="24"/>
                <w:szCs w:val="24"/>
                <w:lang w:val="en-US" w:eastAsia="zh-CN" w:bidi="ar"/>
              </w:rPr>
              <w:t>执行国家、黑龙江省现行验收规范</w:t>
            </w:r>
            <w:bookmarkStart w:id="0" w:name="_GoBack"/>
            <w:bookmarkEnd w:id="0"/>
            <w:r>
              <w:rPr>
                <w:rFonts w:ascii="宋体" w:hAnsi="宋体" w:eastAsia="宋体" w:cs="宋体"/>
                <w:color w:val="0A82E5"/>
                <w:kern w:val="0"/>
                <w:sz w:val="24"/>
                <w:szCs w:val="24"/>
                <w:lang w:val="en-US" w:eastAsia="zh-CN" w:bidi="ar"/>
              </w:rPr>
              <w:t>。</w:t>
            </w:r>
          </w:p>
        </w:tc>
      </w:tr>
    </w:tbl>
    <w:p>
      <w:pPr>
        <w:keepNext w:val="0"/>
        <w:keepLines w:val="0"/>
        <w:widowControl/>
        <w:suppressLineNumbers w:val="0"/>
        <w:spacing w:before="0" w:beforeAutospacing="0" w:after="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bCs/>
          <w:i w:val="0"/>
          <w:iCs w:val="0"/>
          <w:caps w:val="0"/>
          <w:color w:val="666666"/>
          <w:spacing w:val="0"/>
          <w:sz w:val="24"/>
          <w:szCs w:val="24"/>
        </w:rPr>
        <w:t>    表一资格性审查表：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A82E5"/>
        </w:rPr>
      </w:pPr>
      <w:r>
        <w:rPr>
          <w:rFonts w:hint="eastAsia" w:ascii="微软雅黑" w:hAnsi="微软雅黑" w:eastAsia="微软雅黑" w:cs="微软雅黑"/>
          <w:b w:val="0"/>
          <w:bCs w:val="0"/>
          <w:i w:val="0"/>
          <w:iCs w:val="0"/>
          <w:caps w:val="0"/>
          <w:color w:val="0A82E5"/>
          <w:spacing w:val="0"/>
          <w:sz w:val="24"/>
          <w:szCs w:val="24"/>
        </w:rPr>
        <w:t>合同包1（房屋维修）</w:t>
      </w:r>
    </w:p>
    <w:tbl>
      <w:tblPr>
        <w:tblStyle w:val="8"/>
        <w:tblW w:w="5000" w:type="pct"/>
        <w:tblInd w:w="0" w:type="dxa"/>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400"/>
        <w:gridCol w:w="6026"/>
      </w:tblGrid>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具有独立承担民事责任的能力</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在中华人民共和国境内注册的法人或其他组织或自然人，投标时提交有效的营业执照（或事业法人登记证或身份证等相关证明）副本复印件。</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有依法缴纳税收和社会保障资金的良好记录</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提供投标截止日前6个月内任意1个月依法缴纳税收和社会保障资金的相关材料。如依法免税或不需要缴纳社会保障资金的，提供相应证明材料。</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具有良好的商业信誉和健全的财务会计制度</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供应商必须具有良好的商业信誉和健全的财务会计制度</w:t>
            </w:r>
            <w:r>
              <w:rPr>
                <w:rFonts w:ascii="宋体" w:hAnsi="宋体" w:eastAsia="宋体" w:cs="宋体"/>
                <w:color w:val="0A82E5"/>
                <w:kern w:val="0"/>
                <w:sz w:val="24"/>
                <w:szCs w:val="24"/>
                <w:highlight w:val="none"/>
                <w:lang w:val="en-US" w:eastAsia="zh-CN" w:bidi="ar"/>
              </w:rPr>
              <w:t>（提供2020年度财务状况报告或基本开户行出具的资信证明）。</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履行合同所必须的设备和专业技术能力</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按投标（响应）文件格式填报设备及专业技术能力情况。</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参加采购活动前3年内，在经营活动中没有重大违法记录</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参照投标（报价）函相关承诺格式内容。 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信用记录</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响应）截止时间当天在“信用中国”网站（www.creditchina.gov.cn）及中国政府采购网（http://www.ccgp.gov.cn/）查询结果为准，如相关失信记录已失效，供应商需提供相关证明资料）。</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供应商必须符合法律、行政法规规定的其他条件</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单位负责人为同一人或者存在直接控股、管理关系的不同供应商，不得同时参加本采购项目（包组）投标。 为本项目提供整体设计、规范编制或者项目管理、监理、检测等服务的供应商，不得再参与本项目投标。 投标（报价）函相关承诺要求内容。</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资质要求</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拟参加本项目的潜在供应商须具备建设行政主管部门核发的建筑装修装饰工程专业承包二级（含）以上资质，具备有效的安全生产许可证，并在人员、设备、资金等方面具有相应的施工能力。</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专业技术人员要求</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拟参加本项目的潜在供应商须提供项目班子成员的岗位证书，包括：拟投入本项目负责人1人，须具有建设行政主管部门颁发的建筑工程专业二级及以上注册建造师证书，具备有效的安全生产考核合格证书，且未担任其他在施建设项目工程（出具承诺书）；技术负责人需提供中级及以上职称证，施工员（工长）1人，须具备岗位证书；质量员（质量检查员）1人，须具备岗位证书；安全员1人，须具备有效的安全生产考核合格证。（上述人员证企必须相符，专业：建筑工程相关专业）。</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政策落实内容</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本项目不属于专门面向中小企业采购的项目,供应商如为中小微企业、监狱企业、残疾人福利性单位的享受相应的政府采购政策。</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val="0"/>
          <w:bCs w:val="0"/>
          <w:i w:val="0"/>
          <w:iCs w:val="0"/>
          <w:caps w:val="0"/>
          <w:color w:val="666666"/>
          <w:spacing w:val="0"/>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bCs/>
          <w:i w:val="0"/>
          <w:iCs w:val="0"/>
          <w:caps w:val="0"/>
          <w:color w:val="666666"/>
          <w:spacing w:val="0"/>
          <w:sz w:val="24"/>
          <w:szCs w:val="24"/>
        </w:rPr>
        <w:t>    表二符合性审查表：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A82E5"/>
        </w:rPr>
      </w:pPr>
      <w:r>
        <w:rPr>
          <w:rFonts w:hint="eastAsia" w:ascii="微软雅黑" w:hAnsi="微软雅黑" w:eastAsia="微软雅黑" w:cs="微软雅黑"/>
          <w:b w:val="0"/>
          <w:bCs w:val="0"/>
          <w:i w:val="0"/>
          <w:iCs w:val="0"/>
          <w:caps w:val="0"/>
          <w:color w:val="0A82E5"/>
          <w:spacing w:val="0"/>
          <w:sz w:val="24"/>
          <w:szCs w:val="24"/>
        </w:rPr>
        <w:t>合同包1（房屋维修）</w:t>
      </w:r>
    </w:p>
    <w:tbl>
      <w:tblPr>
        <w:tblStyle w:val="8"/>
        <w:tblW w:w="5000" w:type="pct"/>
        <w:tblInd w:w="0" w:type="dxa"/>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400"/>
        <w:gridCol w:w="6026"/>
      </w:tblGrid>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投标报价</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投标报价（包括分项报价，投标总报价）只能有一个有效报价且不超过采购预算或最高限价，投标报价不得缺项、漏项。</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投标文件规范性、符合性</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投标文件的签署、盖章、涂改、删除、插字、公章使用等符合招标文件要求；投标文件文件的格式、文字、目录等符合招标文件要求或对投标无实质性影响。</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rFonts w:ascii="宋体" w:hAnsi="宋体" w:eastAsia="宋体" w:cs="宋体"/>
                <w:color w:val="0A82E5"/>
                <w:kern w:val="0"/>
                <w:sz w:val="24"/>
                <w:szCs w:val="24"/>
                <w:lang w:val="en-US" w:eastAsia="zh-CN" w:bidi="ar"/>
              </w:rPr>
            </w:pPr>
            <w:r>
              <w:rPr>
                <w:rFonts w:ascii="宋体" w:hAnsi="宋体" w:eastAsia="宋体" w:cs="宋体"/>
                <w:color w:val="0A82E5"/>
                <w:kern w:val="0"/>
                <w:sz w:val="24"/>
                <w:szCs w:val="24"/>
                <w:lang w:val="en-US" w:eastAsia="zh-CN" w:bidi="ar"/>
              </w:rPr>
              <w:t>主要商务条款</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rFonts w:ascii="宋体" w:hAnsi="宋体" w:eastAsia="宋体" w:cs="宋体"/>
                <w:color w:val="0A82E5"/>
                <w:kern w:val="0"/>
                <w:sz w:val="24"/>
                <w:szCs w:val="24"/>
                <w:lang w:val="en-US" w:eastAsia="zh-CN" w:bidi="ar"/>
              </w:rPr>
            </w:pPr>
            <w:r>
              <w:rPr>
                <w:rFonts w:hint="eastAsia" w:ascii="宋体" w:hAnsi="宋体" w:eastAsia="宋体" w:cs="宋体"/>
                <w:color w:val="0A82E5"/>
                <w:kern w:val="0"/>
                <w:sz w:val="24"/>
                <w:szCs w:val="24"/>
                <w:lang w:val="en-US" w:eastAsia="zh-CN" w:bidi="ar"/>
              </w:rPr>
              <w:t>供应商自拟格式承诺满足磋商文件商务条款的承诺书</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联合体投标</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hint="eastAsia" w:ascii="宋体" w:hAnsi="宋体" w:eastAsia="宋体" w:cs="宋体"/>
                <w:color w:val="0A82E5"/>
                <w:kern w:val="0"/>
                <w:sz w:val="24"/>
                <w:szCs w:val="24"/>
                <w:lang w:val="en-US" w:eastAsia="zh-CN" w:bidi="ar"/>
              </w:rPr>
              <w:t>本项目不接受联合体</w:t>
            </w:r>
            <w:r>
              <w:rPr>
                <w:rFonts w:ascii="宋体" w:hAnsi="宋体" w:eastAsia="宋体" w:cs="宋体"/>
                <w:color w:val="0A82E5"/>
                <w:kern w:val="0"/>
                <w:sz w:val="24"/>
                <w:szCs w:val="24"/>
                <w:lang w:val="en-US" w:eastAsia="zh-CN" w:bidi="ar"/>
              </w:rPr>
              <w:t>。</w:t>
            </w:r>
          </w:p>
        </w:tc>
      </w:tr>
      <w:tr>
        <w:tblPrEx>
          <w:tblBorders>
            <w:top w:val="single" w:color="CCCCCC" w:sz="4"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400"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highlight w:val="none"/>
              </w:rPr>
            </w:pPr>
            <w:r>
              <w:rPr>
                <w:rFonts w:ascii="宋体" w:hAnsi="宋体" w:eastAsia="宋体" w:cs="宋体"/>
                <w:color w:val="0A82E5"/>
                <w:kern w:val="0"/>
                <w:sz w:val="24"/>
                <w:szCs w:val="24"/>
                <w:highlight w:val="none"/>
                <w:lang w:val="en-US" w:eastAsia="zh-CN" w:bidi="ar"/>
              </w:rPr>
              <w:t>其他要求</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rFonts w:ascii="宋体" w:hAnsi="宋体" w:eastAsia="宋体" w:cs="宋体"/>
                <w:color w:val="0A82E5"/>
                <w:kern w:val="0"/>
                <w:sz w:val="24"/>
                <w:szCs w:val="24"/>
                <w:highlight w:val="none"/>
                <w:lang w:val="en-US" w:eastAsia="zh-CN" w:bidi="ar"/>
              </w:rPr>
            </w:pPr>
            <w:r>
              <w:rPr>
                <w:rFonts w:ascii="宋体" w:hAnsi="宋体" w:eastAsia="宋体" w:cs="宋体"/>
                <w:color w:val="0A82E5"/>
                <w:kern w:val="0"/>
                <w:sz w:val="24"/>
                <w:szCs w:val="24"/>
                <w:highlight w:val="none"/>
                <w:lang w:val="en-US" w:eastAsia="zh-CN" w:bidi="ar"/>
              </w:rPr>
              <w:t>招标文件要求的其他无效投标情形；围标、串标和法律法规规定的其它无效投标条款。</w:t>
            </w:r>
          </w:p>
        </w:tc>
      </w:tr>
    </w:tbl>
    <w:p>
      <w:pPr>
        <w:keepNext w:val="0"/>
        <w:keepLines w:val="0"/>
        <w:widowControl/>
        <w:suppressLineNumbers w:val="0"/>
        <w:spacing w:before="0" w:beforeAutospacing="0" w:after="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bCs/>
          <w:i w:val="0"/>
          <w:iCs w:val="0"/>
          <w:caps w:val="0"/>
          <w:color w:val="666666"/>
          <w:spacing w:val="0"/>
          <w:sz w:val="24"/>
          <w:szCs w:val="24"/>
        </w:rPr>
        <w:t>    表三详细评审表：</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微软雅黑" w:hAnsi="微软雅黑" w:eastAsia="微软雅黑" w:cs="微软雅黑"/>
          <w:b w:val="0"/>
          <w:bCs w:val="0"/>
          <w:i w:val="0"/>
          <w:iCs w:val="0"/>
          <w:caps w:val="0"/>
          <w:color w:val="666666"/>
          <w:spacing w:val="0"/>
          <w:sz w:val="24"/>
          <w:szCs w:val="24"/>
        </w:rPr>
        <w:t>房屋维修</w:t>
      </w:r>
    </w:p>
    <w:tbl>
      <w:tblPr>
        <w:tblStyle w:val="8"/>
        <w:tblW w:w="5000" w:type="pct"/>
        <w:tblInd w:w="0" w:type="dxa"/>
        <w:tblBorders>
          <w:top w:val="none" w:color="auto" w:sz="6" w:space="0"/>
          <w:left w:val="single" w:color="CCCCCC" w:sz="4"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51"/>
        <w:gridCol w:w="2244"/>
        <w:gridCol w:w="5231"/>
      </w:tblGrid>
      <w:tr>
        <w:tblPrEx>
          <w:tblBorders>
            <w:top w:val="none" w:color="auto" w:sz="6"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667"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评审因素</w:t>
            </w:r>
          </w:p>
        </w:tc>
        <w:tc>
          <w:tcPr>
            <w:tcW w:w="21339" w:type="dxa"/>
            <w:gridSpan w:val="2"/>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评审标准</w:t>
            </w:r>
          </w:p>
        </w:tc>
      </w:tr>
      <w:tr>
        <w:tblPrEx>
          <w:tblBorders>
            <w:top w:val="none" w:color="auto" w:sz="6"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vMerge w:val="restart"/>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分值构成</w:t>
            </w:r>
          </w:p>
        </w:tc>
        <w:tc>
          <w:tcPr>
            <w:tcW w:w="0" w:type="auto"/>
            <w:gridSpan w:val="2"/>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666666"/>
              </w:rPr>
            </w:pPr>
            <w:r>
              <w:rPr>
                <w:rFonts w:ascii="宋体" w:hAnsi="宋体" w:eastAsia="宋体" w:cs="宋体"/>
                <w:color w:val="666666"/>
                <w:kern w:val="0"/>
                <w:sz w:val="24"/>
                <w:szCs w:val="24"/>
                <w:lang w:val="en-US" w:eastAsia="zh-CN" w:bidi="ar"/>
              </w:rPr>
              <w:t>满足</w:t>
            </w:r>
            <w:r>
              <w:rPr>
                <w:rFonts w:hint="eastAsia" w:ascii="宋体" w:hAnsi="宋体" w:eastAsia="宋体" w:cs="宋体"/>
                <w:color w:val="666666"/>
                <w:kern w:val="0"/>
                <w:sz w:val="24"/>
                <w:szCs w:val="24"/>
                <w:lang w:val="en-US" w:eastAsia="zh-CN" w:bidi="ar"/>
              </w:rPr>
              <w:t>竞争性磋商</w:t>
            </w:r>
            <w:r>
              <w:rPr>
                <w:rFonts w:ascii="宋体" w:hAnsi="宋体" w:eastAsia="宋体" w:cs="宋体"/>
                <w:color w:val="666666"/>
                <w:kern w:val="0"/>
                <w:sz w:val="24"/>
                <w:szCs w:val="24"/>
                <w:lang w:val="en-US" w:eastAsia="zh-CN" w:bidi="ar"/>
              </w:rPr>
              <w:t>文件要求通过初步评审的且投标报价最低的为评标基准价。符合小型、微型企业等规定进行价格调整的，以调整后的价格计算评标基准价和投标报价。</w:t>
            </w:r>
          </w:p>
        </w:tc>
      </w:tr>
      <w:tr>
        <w:tblPrEx>
          <w:tblBorders>
            <w:top w:val="none" w:color="auto" w:sz="6"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vMerge w:val="continue"/>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jc w:val="center"/>
              <w:rPr>
                <w:rFonts w:hint="eastAsia" w:ascii="宋体"/>
                <w:color w:val="666666"/>
                <w:sz w:val="24"/>
                <w:szCs w:val="24"/>
              </w:rPr>
            </w:pPr>
          </w:p>
        </w:tc>
        <w:tc>
          <w:tcPr>
            <w:tcW w:w="0" w:type="auto"/>
            <w:gridSpan w:val="2"/>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color w:val="0A82E5"/>
              </w:rPr>
            </w:pPr>
            <w:r>
              <w:rPr>
                <w:color w:val="0A82E5"/>
              </w:rPr>
              <w:t>1、技术部分64.0分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color w:val="0A82E5"/>
              </w:rPr>
            </w:pPr>
            <w:r>
              <w:rPr>
                <w:color w:val="0A82E5"/>
              </w:rPr>
              <w:t>2、商务部分6.0分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color w:val="0A82E5"/>
              </w:rPr>
            </w:pPr>
            <w:r>
              <w:rPr>
                <w:color w:val="0A82E5"/>
              </w:rPr>
              <w:t>3、报价得分30.0分</w:t>
            </w:r>
          </w:p>
        </w:tc>
      </w:tr>
      <w:tr>
        <w:tblPrEx>
          <w:tblBorders>
            <w:top w:val="none" w:color="auto" w:sz="6"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vMerge w:val="restart"/>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技术部分</w:t>
            </w:r>
          </w:p>
        </w:tc>
        <w:tc>
          <w:tcPr>
            <w:tcW w:w="6668"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各分部分项工程的主要施工方法及季节施工等各项保护措施 (15.0分)</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各分部分项工程的主要施工方法齐全、完善及季节施工等各项保护措施合理得15分，方法不齐全、措施不完善的扣0.5-3.0分，以0.1为一个扣分单位，没有不得分。</w:t>
            </w:r>
          </w:p>
        </w:tc>
      </w:tr>
      <w:tr>
        <w:tblPrEx>
          <w:tblBorders>
            <w:top w:val="none" w:color="auto" w:sz="6"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vMerge w:val="continue"/>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jc w:val="center"/>
              <w:rPr>
                <w:rFonts w:hint="eastAsia" w:ascii="宋体"/>
                <w:color w:val="666666"/>
                <w:sz w:val="24"/>
                <w:szCs w:val="24"/>
              </w:rPr>
            </w:pPr>
          </w:p>
        </w:tc>
        <w:tc>
          <w:tcPr>
            <w:tcW w:w="6668"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投入的主要施工机械设备情况、主要施工机械进场计划 (6.0分)</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投入的主要施工机械设备齐全、主要施工机械进场计划合理得6分，设备不齐全、计划不合理的扣0.1-1.0分，以0.1为一个扣分单位，没有不得分。</w:t>
            </w:r>
          </w:p>
        </w:tc>
      </w:tr>
      <w:tr>
        <w:tblPrEx>
          <w:tblBorders>
            <w:top w:val="none" w:color="auto" w:sz="6"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vMerge w:val="continue"/>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jc w:val="center"/>
              <w:rPr>
                <w:rFonts w:hint="eastAsia" w:ascii="宋体"/>
                <w:color w:val="666666"/>
                <w:sz w:val="24"/>
                <w:szCs w:val="24"/>
              </w:rPr>
            </w:pPr>
          </w:p>
        </w:tc>
        <w:tc>
          <w:tcPr>
            <w:tcW w:w="6668"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投入的主要材料供应计划、质量保证措施 (6.0分)</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投入的主要材料供应计划、质量保证措施合理得6分，材料不齐全、计划不合理的扣0.1-1.0分，以0.1为一个扣分单位，没有不得分。</w:t>
            </w:r>
          </w:p>
        </w:tc>
      </w:tr>
      <w:tr>
        <w:tblPrEx>
          <w:tblBorders>
            <w:top w:val="none" w:color="auto" w:sz="6"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vMerge w:val="continue"/>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jc w:val="center"/>
              <w:rPr>
                <w:rFonts w:hint="eastAsia" w:ascii="宋体"/>
                <w:color w:val="666666"/>
                <w:sz w:val="24"/>
                <w:szCs w:val="24"/>
              </w:rPr>
            </w:pPr>
          </w:p>
        </w:tc>
        <w:tc>
          <w:tcPr>
            <w:tcW w:w="6668"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劳动力安排计划 (6.0分)</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劳动力安排计划合理得6分，计划不合理的扣0.1-1.0分，以0.1为一个扣分单位，没有不得分。</w:t>
            </w:r>
          </w:p>
        </w:tc>
      </w:tr>
      <w:tr>
        <w:tblPrEx>
          <w:tblBorders>
            <w:top w:val="none" w:color="auto" w:sz="6"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vMerge w:val="continue"/>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jc w:val="center"/>
              <w:rPr>
                <w:rFonts w:hint="eastAsia" w:ascii="宋体"/>
                <w:color w:val="666666"/>
                <w:sz w:val="24"/>
                <w:szCs w:val="24"/>
              </w:rPr>
            </w:pPr>
          </w:p>
        </w:tc>
        <w:tc>
          <w:tcPr>
            <w:tcW w:w="6668"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确保工程质量的技术组织措施 (6.0分)</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工程质量的技术组织措施完善6分，措施不完善的扣0.1-1.0分，以0.1为一个扣分单位，没有不得分。</w:t>
            </w:r>
          </w:p>
        </w:tc>
      </w:tr>
      <w:tr>
        <w:tblPrEx>
          <w:tblBorders>
            <w:top w:val="none" w:color="auto" w:sz="6"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vMerge w:val="continue"/>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jc w:val="center"/>
              <w:rPr>
                <w:rFonts w:hint="eastAsia" w:ascii="宋体"/>
                <w:color w:val="666666"/>
                <w:sz w:val="24"/>
                <w:szCs w:val="24"/>
              </w:rPr>
            </w:pPr>
          </w:p>
        </w:tc>
        <w:tc>
          <w:tcPr>
            <w:tcW w:w="6668"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确保安全生产的技术组织措施 (5.0分)</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安全生产的技术组织措施完善5分，措施不完善的扣0.1-1.0分，以0.1为一个扣分单位，没有不得分。</w:t>
            </w:r>
          </w:p>
        </w:tc>
      </w:tr>
      <w:tr>
        <w:tblPrEx>
          <w:tblBorders>
            <w:top w:val="none" w:color="auto" w:sz="6"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vMerge w:val="continue"/>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jc w:val="center"/>
              <w:rPr>
                <w:rFonts w:hint="eastAsia" w:ascii="宋体"/>
                <w:color w:val="666666"/>
                <w:sz w:val="24"/>
                <w:szCs w:val="24"/>
              </w:rPr>
            </w:pPr>
          </w:p>
        </w:tc>
        <w:tc>
          <w:tcPr>
            <w:tcW w:w="6668"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确保文明施工、环保的技术组织措施 (5.0分)</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文明施工、环保的技术组织措施完善5分，措施不完善的扣0.1-1.0分，以0.1为一个扣分单位，没有不得分。</w:t>
            </w:r>
          </w:p>
        </w:tc>
      </w:tr>
      <w:tr>
        <w:tblPrEx>
          <w:tblBorders>
            <w:top w:val="none" w:color="auto" w:sz="6"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vMerge w:val="continue"/>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jc w:val="center"/>
              <w:rPr>
                <w:rFonts w:hint="eastAsia" w:ascii="宋体"/>
                <w:color w:val="666666"/>
                <w:sz w:val="24"/>
                <w:szCs w:val="24"/>
              </w:rPr>
            </w:pPr>
          </w:p>
        </w:tc>
        <w:tc>
          <w:tcPr>
            <w:tcW w:w="6668"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确保工期的技术组织措施 (5.0分)</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施工进度计划表（或网络图）、确保工期的技术组织措施完善得5分，措施不完善的扣0.1-1.0分，以0.1为一个扣分单位，没有不得分。</w:t>
            </w:r>
          </w:p>
        </w:tc>
      </w:tr>
      <w:tr>
        <w:tblPrEx>
          <w:tblBorders>
            <w:top w:val="none" w:color="auto" w:sz="6"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vMerge w:val="continue"/>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jc w:val="center"/>
              <w:rPr>
                <w:rFonts w:hint="eastAsia" w:ascii="宋体"/>
                <w:color w:val="666666"/>
                <w:sz w:val="24"/>
                <w:szCs w:val="24"/>
              </w:rPr>
            </w:pPr>
          </w:p>
        </w:tc>
        <w:tc>
          <w:tcPr>
            <w:tcW w:w="6668"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施工总平面图 (5.0分)</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施工平面布置图合理得5分，平面布置图不合理的扣0.1-1.0分，以0.1为一个扣分单位，没有不得分。</w:t>
            </w:r>
          </w:p>
        </w:tc>
      </w:tr>
      <w:tr>
        <w:tblPrEx>
          <w:tblBorders>
            <w:top w:val="none" w:color="auto" w:sz="6"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vMerge w:val="continue"/>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jc w:val="center"/>
              <w:rPr>
                <w:rFonts w:hint="eastAsia" w:ascii="宋体"/>
                <w:color w:val="666666"/>
                <w:sz w:val="24"/>
                <w:szCs w:val="24"/>
              </w:rPr>
            </w:pPr>
          </w:p>
        </w:tc>
        <w:tc>
          <w:tcPr>
            <w:tcW w:w="6668"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竣工后服务承诺 (5.0分)</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竣工后的保修服务符合国家、省、市规定，同时要有针对性和服务承诺得5分，针对性和服务承诺措施不完全合理不完全可行扣0.1-1.0分，以0.1为一个扣分单位，没有不得分。</w:t>
            </w:r>
          </w:p>
        </w:tc>
      </w:tr>
      <w:tr>
        <w:tblPrEx>
          <w:tblBorders>
            <w:top w:val="none" w:color="auto" w:sz="6"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vMerge w:val="restart"/>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商务部分</w:t>
            </w:r>
          </w:p>
        </w:tc>
        <w:tc>
          <w:tcPr>
            <w:tcW w:w="6668"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文件编制 (3.0分)</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响应文件编制质量3分。响应文件编制完整、有目录(目录对应页码)，总体编排有序、格式规范，装订整齐、页码连续清晰，得3分:每有一项不符合要求的扣1分，扣完为止:响应文件有关内容前后矛盾、与竞争性磋商文件要求不一致等，磋商小组允许且需要通过询标等程序进行澄清的，该项不得分。</w:t>
            </w:r>
          </w:p>
        </w:tc>
      </w:tr>
      <w:tr>
        <w:tblPrEx>
          <w:tblBorders>
            <w:top w:val="none" w:color="auto" w:sz="6"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vMerge w:val="continue"/>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jc w:val="center"/>
              <w:rPr>
                <w:rFonts w:hint="eastAsia" w:ascii="宋体"/>
                <w:color w:val="666666"/>
                <w:sz w:val="24"/>
                <w:szCs w:val="24"/>
              </w:rPr>
            </w:pPr>
          </w:p>
        </w:tc>
        <w:tc>
          <w:tcPr>
            <w:tcW w:w="6668"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类似项目业绩 (3.0分)</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企业近三年(2018年至今) 完成过不低于本项目预算金额的类似项目业绩的每提供一项得1分，此项最多得3分，未提供不得分。(响应文件中须同时提供合同及中标（成交）通知书复印件，磋商现场提供原件，未提供或提供不全此项不得分)（成立不足三年的，自成立之日起计算）</w:t>
            </w:r>
          </w:p>
        </w:tc>
      </w:tr>
      <w:tr>
        <w:tblPrEx>
          <w:tblBorders>
            <w:top w:val="none" w:color="auto" w:sz="6" w:space="0"/>
            <w:left w:val="single" w:color="CCCCCC" w:sz="4"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center"/>
              <w:rPr>
                <w:color w:val="666666"/>
              </w:rPr>
            </w:pPr>
            <w:r>
              <w:rPr>
                <w:rFonts w:ascii="宋体" w:hAnsi="宋体" w:eastAsia="宋体" w:cs="宋体"/>
                <w:color w:val="666666"/>
                <w:kern w:val="0"/>
                <w:sz w:val="24"/>
                <w:szCs w:val="24"/>
                <w:lang w:val="en-US" w:eastAsia="zh-CN" w:bidi="ar"/>
              </w:rPr>
              <w:t>投标报价</w:t>
            </w:r>
          </w:p>
        </w:tc>
        <w:tc>
          <w:tcPr>
            <w:tcW w:w="6668" w:type="dxa"/>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投标报价得分 (30.0分)</w:t>
            </w:r>
          </w:p>
        </w:tc>
        <w:tc>
          <w:tcPr>
            <w:tcW w:w="0" w:type="auto"/>
            <w:tcBorders>
              <w:top w:val="single" w:color="B4C3D8" w:sz="4" w:space="0"/>
              <w:left w:val="single" w:color="B4C3D8" w:sz="4" w:space="0"/>
              <w:bottom w:val="single" w:color="B4C3D8" w:sz="4" w:space="0"/>
              <w:right w:val="single" w:color="B4C3D8" w:sz="4" w:space="0"/>
            </w:tcBorders>
            <w:shd w:val="clear" w:color="auto" w:fill="auto"/>
            <w:tcMar>
              <w:top w:w="0" w:type="dxa"/>
              <w:left w:w="60" w:type="dxa"/>
              <w:bottom w:w="0" w:type="dxa"/>
              <w:right w:w="60" w:type="dxa"/>
            </w:tcMar>
            <w:vAlign w:val="center"/>
          </w:tcPr>
          <w:p>
            <w:pPr>
              <w:keepNext w:val="0"/>
              <w:keepLines w:val="0"/>
              <w:widowControl/>
              <w:suppressLineNumbers w:val="0"/>
              <w:spacing w:before="0" w:beforeAutospacing="0" w:after="0" w:afterAutospacing="0" w:line="360" w:lineRule="atLeast"/>
              <w:ind w:left="0" w:right="0"/>
              <w:jc w:val="left"/>
              <w:rPr>
                <w:color w:val="0A82E5"/>
              </w:rPr>
            </w:pPr>
            <w:r>
              <w:rPr>
                <w:rFonts w:ascii="宋体" w:hAnsi="宋体" w:eastAsia="宋体" w:cs="宋体"/>
                <w:color w:val="0A82E5"/>
                <w:kern w:val="0"/>
                <w:sz w:val="24"/>
                <w:szCs w:val="24"/>
                <w:lang w:val="en-US" w:eastAsia="zh-CN" w:bidi="ar"/>
              </w:rPr>
              <w:t>投标报价得分＝（评标基准价/投标报价）×价格权值×100（注：满足招标文件要求且投标价格最低的投标报价为评标基准价。）最低报价不是中标的唯一依据。</w:t>
            </w:r>
          </w:p>
        </w:tc>
      </w:tr>
    </w:tbl>
    <w:p>
      <w:pPr>
        <w:keepNext w:val="0"/>
        <w:keepLines w:val="0"/>
        <w:widowControl/>
        <w:suppressLineNumbers w:val="0"/>
        <w:spacing w:before="0" w:beforeAutospacing="0" w:after="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bCs w:val="0"/>
          <w:i w:val="0"/>
          <w:iCs w:val="0"/>
          <w:caps w:val="0"/>
          <w:color w:val="666666"/>
          <w:spacing w:val="0"/>
          <w:sz w:val="24"/>
          <w:szCs w:val="24"/>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kern w:val="0"/>
          <w:sz w:val="36"/>
          <w:szCs w:val="36"/>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val="0"/>
          <w:bCs w:val="0"/>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36"/>
          <w:szCs w:val="36"/>
          <w:lang w:val="en-US" w:eastAsia="zh-CN" w:bidi="ar"/>
        </w:rPr>
        <w:t>第五章 主要合同条款及合同格式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bCs w:val="0"/>
          <w:i w:val="0"/>
          <w:iCs w:val="0"/>
          <w:caps w:val="0"/>
          <w:color w:val="666666"/>
          <w:spacing w:val="0"/>
          <w:sz w:val="24"/>
          <w:szCs w:val="24"/>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val="0"/>
          <w:bCs w:val="0"/>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lang w:val="en-US" w:eastAsia="zh-CN" w:bidi="ar"/>
        </w:rPr>
        <w:t>合同编号：</w:t>
      </w:r>
    </w:p>
    <w:p>
      <w:pPr>
        <w:keepNext w:val="0"/>
        <w:keepLines w:val="0"/>
        <w:widowControl/>
        <w:suppressLineNumbers w:val="0"/>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val="0"/>
          <w:bCs w:val="0"/>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48"/>
          <w:szCs w:val="48"/>
          <w:lang w:val="en-US" w:eastAsia="zh-CN" w:bidi="ar"/>
        </w:rPr>
        <w:t>《黑龙江省政府采购合同》（试行）文本</w:t>
      </w:r>
    </w:p>
    <w:p>
      <w:pPr>
        <w:keepNext w:val="0"/>
        <w:keepLines w:val="0"/>
        <w:widowControl/>
        <w:suppressLineNumbers w:val="0"/>
        <w:spacing w:before="0" w:beforeAutospacing="0" w:after="0" w:afterAutospacing="0"/>
        <w:ind w:left="0" w:right="0"/>
        <w:jc w:val="left"/>
      </w:pPr>
    </w:p>
    <w:p>
      <w:pPr>
        <w:snapToGrid w:val="0"/>
        <w:jc w:val="center"/>
        <w:rPr>
          <w:rFonts w:hint="eastAsia" w:ascii="宋体" w:hAnsi="宋体" w:eastAsia="宋体" w:cs="宋体"/>
          <w:bCs/>
          <w:spacing w:val="0"/>
          <w:position w:val="0"/>
          <w:sz w:val="44"/>
          <w:szCs w:val="44"/>
          <w:highlight w:val="none"/>
        </w:rPr>
      </w:pPr>
      <w:r>
        <w:rPr>
          <w:rFonts w:hint="eastAsia" w:ascii="宋体" w:hAnsi="宋体" w:eastAsia="宋体" w:cs="宋体"/>
          <w:bCs/>
          <w:spacing w:val="0"/>
          <w:position w:val="0"/>
          <w:sz w:val="44"/>
          <w:szCs w:val="44"/>
          <w:highlight w:val="none"/>
        </w:rPr>
        <w:t>《黑龙江省政府采购合同》</w:t>
      </w:r>
      <w:r>
        <w:rPr>
          <w:rFonts w:hint="eastAsia" w:ascii="宋体" w:hAnsi="宋体" w:eastAsia="宋体" w:cs="宋体"/>
          <w:spacing w:val="0"/>
          <w:position w:val="0"/>
          <w:sz w:val="44"/>
          <w:szCs w:val="44"/>
          <w:highlight w:val="none"/>
        </w:rPr>
        <w:t>（试行）文本</w:t>
      </w:r>
    </w:p>
    <w:p>
      <w:pPr>
        <w:snapToGrid w:val="0"/>
        <w:spacing w:line="360" w:lineRule="auto"/>
        <w:rPr>
          <w:rFonts w:hint="eastAsia" w:asciiTheme="minorEastAsia" w:hAnsiTheme="minorEastAsia" w:eastAsiaTheme="minorEastAsia" w:cstheme="minorEastAsia"/>
          <w:color w:val="auto"/>
          <w:spacing w:val="0"/>
          <w:position w:val="0"/>
          <w:sz w:val="28"/>
          <w:highlight w:val="none"/>
        </w:rPr>
      </w:pPr>
    </w:p>
    <w:p>
      <w:pPr>
        <w:snapToGrid w:val="0"/>
        <w:spacing w:line="360" w:lineRule="auto"/>
        <w:ind w:firstLine="3640" w:firstLineChars="1300"/>
        <w:rPr>
          <w:rFonts w:hint="eastAsia" w:asciiTheme="minorEastAsia" w:hAnsiTheme="minorEastAsia" w:eastAsiaTheme="minorEastAsia" w:cstheme="minorEastAsia"/>
          <w:color w:val="auto"/>
          <w:spacing w:val="0"/>
          <w:position w:val="0"/>
          <w:sz w:val="28"/>
          <w:highlight w:val="none"/>
        </w:rPr>
      </w:pPr>
      <w:r>
        <w:rPr>
          <w:rFonts w:hint="eastAsia" w:asciiTheme="minorEastAsia" w:hAnsiTheme="minorEastAsia" w:eastAsiaTheme="minorEastAsia" w:cstheme="minorEastAsia"/>
          <w:color w:val="auto"/>
          <w:spacing w:val="0"/>
          <w:position w:val="0"/>
          <w:sz w:val="28"/>
          <w:highlight w:val="none"/>
        </w:rPr>
        <w:t>工程类</w:t>
      </w:r>
    </w:p>
    <w:p>
      <w:pPr>
        <w:snapToGrid w:val="0"/>
        <w:spacing w:line="360" w:lineRule="auto"/>
        <w:rPr>
          <w:rFonts w:hint="eastAsia" w:asciiTheme="minorEastAsia" w:hAnsiTheme="minorEastAsia" w:eastAsiaTheme="minorEastAsia" w:cstheme="minorEastAsia"/>
          <w:color w:val="auto"/>
          <w:spacing w:val="0"/>
          <w:position w:val="0"/>
          <w:highlight w:val="none"/>
          <w:u w:val="single"/>
        </w:rPr>
      </w:pPr>
      <w:r>
        <w:rPr>
          <w:rFonts w:hint="eastAsia" w:asciiTheme="minorEastAsia" w:hAnsiTheme="minorEastAsia" w:eastAsiaTheme="minorEastAsia" w:cstheme="minorEastAsia"/>
          <w:color w:val="auto"/>
          <w:spacing w:val="0"/>
          <w:position w:val="0"/>
          <w:highlight w:val="none"/>
        </w:rPr>
        <w:t>采购单位（甲方）</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u w:val="none"/>
        </w:rPr>
        <w:t xml:space="preserve">  </w:t>
      </w:r>
      <w:r>
        <w:rPr>
          <w:rFonts w:hint="eastAsia" w:asciiTheme="minorEastAsia" w:hAnsiTheme="minorEastAsia" w:eastAsiaTheme="minorEastAsia" w:cstheme="minorEastAsia"/>
          <w:color w:val="auto"/>
          <w:spacing w:val="0"/>
          <w:position w:val="0"/>
          <w:highlight w:val="none"/>
        </w:rPr>
        <w:t>采购计划号</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cstheme="minorEastAsia"/>
          <w:color w:val="auto"/>
          <w:spacing w:val="0"/>
          <w:position w:val="0"/>
          <w:highlight w:val="none"/>
          <w:u w:val="single"/>
          <w:lang w:val="en-US" w:eastAsia="zh-CN"/>
        </w:rPr>
        <w:t xml:space="preserve">        </w:t>
      </w:r>
      <w:r>
        <w:rPr>
          <w:rFonts w:hint="eastAsia" w:asciiTheme="minorEastAsia" w:hAnsiTheme="minorEastAsia" w:eastAsiaTheme="minorEastAsia" w:cstheme="minorEastAsia"/>
          <w:color w:val="auto"/>
          <w:spacing w:val="0"/>
          <w:position w:val="0"/>
          <w:highlight w:val="none"/>
          <w:u w:val="single"/>
        </w:rPr>
        <w:t xml:space="preserve">  </w:t>
      </w:r>
    </w:p>
    <w:p>
      <w:pPr>
        <w:snapToGrid w:val="0"/>
        <w:spacing w:line="360" w:lineRule="auto"/>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供 应 商（乙方）</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u w:val="none"/>
        </w:rPr>
        <w:t xml:space="preserve">  </w:t>
      </w:r>
      <w:r>
        <w:rPr>
          <w:rFonts w:hint="eastAsia" w:asciiTheme="minorEastAsia" w:hAnsiTheme="minorEastAsia" w:eastAsiaTheme="minorEastAsia" w:cstheme="minorEastAsia"/>
          <w:color w:val="auto"/>
          <w:spacing w:val="0"/>
          <w:position w:val="0"/>
          <w:highlight w:val="none"/>
        </w:rPr>
        <w:t>招标编号</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cstheme="minorEastAsia"/>
          <w:color w:val="auto"/>
          <w:spacing w:val="0"/>
          <w:position w:val="0"/>
          <w:highlight w:val="none"/>
          <w:u w:val="single"/>
          <w:lang w:val="en-US" w:eastAsia="zh-CN"/>
        </w:rPr>
        <w:t xml:space="preserve">        </w:t>
      </w:r>
      <w:r>
        <w:rPr>
          <w:rFonts w:hint="eastAsia" w:asciiTheme="minorEastAsia" w:hAnsiTheme="minorEastAsia" w:eastAsiaTheme="minorEastAsia" w:cstheme="minorEastAsia"/>
          <w:color w:val="auto"/>
          <w:spacing w:val="0"/>
          <w:position w:val="0"/>
          <w:highlight w:val="none"/>
          <w:u w:val="single"/>
        </w:rPr>
        <w:t xml:space="preserve">  </w:t>
      </w:r>
    </w:p>
    <w:p>
      <w:pPr>
        <w:snapToGrid w:val="0"/>
        <w:spacing w:line="360" w:lineRule="auto"/>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签  订  地  点</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u w:val="none"/>
        </w:rPr>
        <w:t xml:space="preserve">  </w:t>
      </w:r>
      <w:r>
        <w:rPr>
          <w:rFonts w:hint="eastAsia" w:asciiTheme="minorEastAsia" w:hAnsiTheme="minorEastAsia" w:eastAsiaTheme="minorEastAsia" w:cstheme="minorEastAsia"/>
          <w:color w:val="auto"/>
          <w:spacing w:val="0"/>
          <w:position w:val="0"/>
          <w:highlight w:val="none"/>
        </w:rPr>
        <w:t>签订时间</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cstheme="minorEastAsia"/>
          <w:color w:val="auto"/>
          <w:spacing w:val="0"/>
          <w:position w:val="0"/>
          <w:highlight w:val="none"/>
          <w:u w:val="single"/>
          <w:lang w:val="en-US" w:eastAsia="zh-CN"/>
        </w:rPr>
        <w:t xml:space="preserve">        </w:t>
      </w:r>
      <w:r>
        <w:rPr>
          <w:rFonts w:hint="eastAsia" w:asciiTheme="minorEastAsia" w:hAnsiTheme="minorEastAsia" w:eastAsiaTheme="minorEastAsia" w:cstheme="minorEastAsia"/>
          <w:color w:val="auto"/>
          <w:spacing w:val="0"/>
          <w:position w:val="0"/>
          <w:highlight w:val="none"/>
          <w:u w:val="single"/>
        </w:rPr>
        <w:t xml:space="preserve">  </w:t>
      </w:r>
    </w:p>
    <w:p>
      <w:pPr>
        <w:snapToGrid w:val="0"/>
        <w:spacing w:line="360" w:lineRule="auto"/>
        <w:rPr>
          <w:rFonts w:hint="eastAsia" w:asciiTheme="minorEastAsia" w:hAnsiTheme="minorEastAsia" w:eastAsiaTheme="minorEastAsia" w:cstheme="minorEastAsia"/>
          <w:color w:val="auto"/>
          <w:spacing w:val="0"/>
          <w:position w:val="0"/>
          <w:highlight w:val="none"/>
        </w:rPr>
      </w:pPr>
    </w:p>
    <w:p>
      <w:pPr>
        <w:snapToGrid w:val="0"/>
        <w:spacing w:line="360" w:lineRule="auto"/>
        <w:ind w:firstLine="48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根据《中华人民共和国政府采购法》、《中华人民共和国合同法》、《中华人民共和国招标投标法》等法律、法规规定，按照</w:t>
      </w:r>
      <w:r>
        <w:rPr>
          <w:rFonts w:hint="eastAsia" w:asciiTheme="minorEastAsia" w:hAnsiTheme="minorEastAsia" w:cstheme="minorEastAsia"/>
          <w:color w:val="auto"/>
          <w:spacing w:val="0"/>
          <w:position w:val="0"/>
          <w:highlight w:val="none"/>
          <w:lang w:eastAsia="zh-CN"/>
        </w:rPr>
        <w:t>磋商</w:t>
      </w:r>
      <w:r>
        <w:rPr>
          <w:rFonts w:hint="eastAsia" w:asciiTheme="minorEastAsia" w:hAnsiTheme="minorEastAsia" w:eastAsiaTheme="minorEastAsia" w:cstheme="minorEastAsia"/>
          <w:color w:val="auto"/>
          <w:spacing w:val="0"/>
          <w:position w:val="0"/>
          <w:highlight w:val="none"/>
        </w:rPr>
        <w:t>文件和</w:t>
      </w:r>
      <w:r>
        <w:rPr>
          <w:rFonts w:hint="eastAsia" w:asciiTheme="minorEastAsia" w:hAnsiTheme="minorEastAsia" w:cstheme="minorEastAsia"/>
          <w:color w:val="auto"/>
          <w:spacing w:val="0"/>
          <w:position w:val="0"/>
          <w:highlight w:val="none"/>
          <w:lang w:eastAsia="zh-CN"/>
        </w:rPr>
        <w:t>成交供应商响应</w:t>
      </w:r>
      <w:r>
        <w:rPr>
          <w:rFonts w:hint="eastAsia" w:asciiTheme="minorEastAsia" w:hAnsiTheme="minorEastAsia" w:eastAsiaTheme="minorEastAsia" w:cstheme="minorEastAsia"/>
          <w:color w:val="auto"/>
          <w:spacing w:val="0"/>
          <w:position w:val="0"/>
          <w:highlight w:val="none"/>
        </w:rPr>
        <w:t>文件，甲乙双方签订本合同。</w:t>
      </w:r>
    </w:p>
    <w:p>
      <w:pPr>
        <w:snapToGrid w:val="0"/>
        <w:spacing w:line="360" w:lineRule="auto"/>
        <w:ind w:firstLine="480"/>
        <w:rPr>
          <w:rFonts w:hint="eastAsia" w:asciiTheme="minorEastAsia" w:hAnsiTheme="minorEastAsia" w:eastAsiaTheme="minorEastAsia" w:cstheme="minorEastAsia"/>
          <w:b/>
          <w:color w:val="auto"/>
          <w:spacing w:val="0"/>
          <w:position w:val="0"/>
          <w:highlight w:val="none"/>
        </w:rPr>
      </w:pPr>
      <w:r>
        <w:rPr>
          <w:rFonts w:hint="eastAsia" w:asciiTheme="minorEastAsia" w:hAnsiTheme="minorEastAsia" w:eastAsiaTheme="minorEastAsia" w:cstheme="minorEastAsia"/>
          <w:b/>
          <w:color w:val="auto"/>
          <w:spacing w:val="0"/>
          <w:position w:val="0"/>
          <w:highlight w:val="none"/>
        </w:rPr>
        <w:t>第一条  工程概况；</w:t>
      </w:r>
    </w:p>
    <w:p>
      <w:pPr>
        <w:snapToGrid w:val="0"/>
        <w:spacing w:line="360" w:lineRule="auto"/>
        <w:ind w:firstLine="48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1、工程名称：</w:t>
      </w:r>
      <w:r>
        <w:rPr>
          <w:rFonts w:hint="eastAsia" w:asciiTheme="minorEastAsia" w:hAnsiTheme="minorEastAsia" w:eastAsiaTheme="minorEastAsia" w:cstheme="minorEastAsia"/>
          <w:color w:val="auto"/>
          <w:spacing w:val="0"/>
          <w:position w:val="0"/>
          <w:highlight w:val="none"/>
          <w:u w:val="single"/>
        </w:rPr>
        <w:t xml:space="preserve">                                                       </w:t>
      </w:r>
    </w:p>
    <w:p>
      <w:pPr>
        <w:snapToGrid w:val="0"/>
        <w:spacing w:line="360" w:lineRule="auto"/>
        <w:ind w:firstLine="480"/>
        <w:rPr>
          <w:rFonts w:hint="eastAsia" w:asciiTheme="minorEastAsia" w:hAnsiTheme="minorEastAsia" w:eastAsiaTheme="minorEastAsia" w:cstheme="minorEastAsia"/>
          <w:color w:val="auto"/>
          <w:spacing w:val="0"/>
          <w:position w:val="0"/>
          <w:highlight w:val="none"/>
          <w:u w:val="single"/>
        </w:rPr>
      </w:pPr>
      <w:r>
        <w:rPr>
          <w:rFonts w:hint="eastAsia" w:asciiTheme="minorEastAsia" w:hAnsiTheme="minorEastAsia" w:eastAsiaTheme="minorEastAsia" w:cstheme="minorEastAsia"/>
          <w:color w:val="auto"/>
          <w:spacing w:val="0"/>
          <w:position w:val="0"/>
          <w:highlight w:val="none"/>
        </w:rPr>
        <w:t>2、工程地点：</w:t>
      </w:r>
      <w:r>
        <w:rPr>
          <w:rFonts w:hint="eastAsia" w:asciiTheme="minorEastAsia" w:hAnsiTheme="minorEastAsia" w:eastAsiaTheme="minorEastAsia" w:cstheme="minorEastAsia"/>
          <w:color w:val="auto"/>
          <w:spacing w:val="0"/>
          <w:position w:val="0"/>
          <w:highlight w:val="none"/>
          <w:u w:val="single"/>
        </w:rPr>
        <w:t xml:space="preserve">                                                       </w:t>
      </w:r>
    </w:p>
    <w:p>
      <w:pPr>
        <w:snapToGrid w:val="0"/>
        <w:spacing w:line="360" w:lineRule="auto"/>
        <w:ind w:firstLine="480"/>
        <w:rPr>
          <w:rFonts w:hint="eastAsia" w:asciiTheme="minorEastAsia" w:hAnsiTheme="minorEastAsia" w:eastAsiaTheme="minorEastAsia" w:cstheme="minorEastAsia"/>
          <w:color w:val="auto"/>
          <w:spacing w:val="0"/>
          <w:position w:val="0"/>
          <w:highlight w:val="none"/>
          <w:u w:val="single"/>
        </w:rPr>
      </w:pPr>
      <w:r>
        <w:rPr>
          <w:rFonts w:hint="eastAsia" w:asciiTheme="minorEastAsia" w:hAnsiTheme="minorEastAsia" w:eastAsiaTheme="minorEastAsia" w:cstheme="minorEastAsia"/>
          <w:color w:val="auto"/>
          <w:spacing w:val="0"/>
          <w:position w:val="0"/>
          <w:highlight w:val="none"/>
        </w:rPr>
        <w:t>3、承包范围：</w:t>
      </w:r>
      <w:r>
        <w:rPr>
          <w:rFonts w:hint="eastAsia" w:asciiTheme="minorEastAsia" w:hAnsiTheme="minorEastAsia" w:eastAsiaTheme="minorEastAsia" w:cstheme="minorEastAsia"/>
          <w:color w:val="auto"/>
          <w:spacing w:val="0"/>
          <w:position w:val="0"/>
          <w:highlight w:val="none"/>
          <w:u w:val="single"/>
        </w:rPr>
        <w:t xml:space="preserve">                                                       </w:t>
      </w:r>
    </w:p>
    <w:p>
      <w:pPr>
        <w:snapToGrid w:val="0"/>
        <w:spacing w:line="360" w:lineRule="auto"/>
        <w:ind w:firstLine="480"/>
        <w:rPr>
          <w:rFonts w:hint="eastAsia" w:asciiTheme="minorEastAsia" w:hAnsiTheme="minorEastAsia" w:eastAsiaTheme="minorEastAsia" w:cstheme="minorEastAsia"/>
          <w:color w:val="auto"/>
          <w:spacing w:val="0"/>
          <w:position w:val="0"/>
          <w:highlight w:val="none"/>
          <w:u w:val="single"/>
        </w:rPr>
      </w:pPr>
      <w:r>
        <w:rPr>
          <w:rFonts w:hint="eastAsia" w:asciiTheme="minorEastAsia" w:hAnsiTheme="minorEastAsia" w:eastAsiaTheme="minorEastAsia" w:cstheme="minorEastAsia"/>
          <w:color w:val="auto"/>
          <w:spacing w:val="0"/>
          <w:position w:val="0"/>
          <w:highlight w:val="none"/>
        </w:rPr>
        <w:t>4、承包方式：</w:t>
      </w:r>
      <w:r>
        <w:rPr>
          <w:rFonts w:hint="eastAsia" w:asciiTheme="minorEastAsia" w:hAnsiTheme="minorEastAsia" w:eastAsiaTheme="minorEastAsia" w:cstheme="minorEastAsia"/>
          <w:color w:val="auto"/>
          <w:spacing w:val="0"/>
          <w:position w:val="0"/>
          <w:highlight w:val="none"/>
          <w:u w:val="single"/>
        </w:rPr>
        <w:t xml:space="preserve">                                                       </w:t>
      </w:r>
    </w:p>
    <w:p>
      <w:pPr>
        <w:snapToGrid w:val="0"/>
        <w:spacing w:line="360" w:lineRule="auto"/>
        <w:ind w:firstLine="48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5、工期：本工程自</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年</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月</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u w:val="none"/>
        </w:rPr>
        <w:t>日</w:t>
      </w:r>
      <w:r>
        <w:rPr>
          <w:rFonts w:hint="eastAsia" w:asciiTheme="minorEastAsia" w:hAnsiTheme="minorEastAsia" w:eastAsiaTheme="minorEastAsia" w:cstheme="minorEastAsia"/>
          <w:color w:val="auto"/>
          <w:spacing w:val="0"/>
          <w:position w:val="0"/>
          <w:highlight w:val="none"/>
        </w:rPr>
        <w:t>开工，于</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年</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月</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u w:val="none"/>
        </w:rPr>
        <w:t>日</w:t>
      </w:r>
      <w:r>
        <w:rPr>
          <w:rFonts w:hint="eastAsia" w:asciiTheme="minorEastAsia" w:hAnsiTheme="minorEastAsia" w:eastAsiaTheme="minorEastAsia" w:cstheme="minorEastAsia"/>
          <w:color w:val="auto"/>
          <w:spacing w:val="0"/>
          <w:position w:val="0"/>
          <w:highlight w:val="none"/>
        </w:rPr>
        <w:t>竣工。</w:t>
      </w:r>
    </w:p>
    <w:p>
      <w:pPr>
        <w:snapToGrid w:val="0"/>
        <w:spacing w:line="360" w:lineRule="auto"/>
        <w:ind w:firstLine="480"/>
        <w:rPr>
          <w:rFonts w:hint="eastAsia" w:asciiTheme="minorEastAsia" w:hAnsiTheme="minorEastAsia" w:eastAsiaTheme="minorEastAsia" w:cstheme="minorEastAsia"/>
          <w:color w:val="auto"/>
          <w:spacing w:val="0"/>
          <w:position w:val="0"/>
          <w:highlight w:val="none"/>
          <w:u w:val="single"/>
        </w:rPr>
      </w:pPr>
      <w:r>
        <w:rPr>
          <w:rFonts w:hint="eastAsia" w:asciiTheme="minorEastAsia" w:hAnsiTheme="minorEastAsia" w:eastAsiaTheme="minorEastAsia" w:cstheme="minorEastAsia"/>
          <w:color w:val="auto"/>
          <w:spacing w:val="0"/>
          <w:position w:val="0"/>
          <w:highlight w:val="none"/>
        </w:rPr>
        <w:t>6、工程质量：</w:t>
      </w:r>
      <w:r>
        <w:rPr>
          <w:rFonts w:hint="eastAsia" w:asciiTheme="minorEastAsia" w:hAnsiTheme="minorEastAsia" w:eastAsiaTheme="minorEastAsia" w:cstheme="minorEastAsia"/>
          <w:color w:val="auto"/>
          <w:spacing w:val="0"/>
          <w:position w:val="0"/>
          <w:highlight w:val="none"/>
          <w:u w:val="single"/>
        </w:rPr>
        <w:t xml:space="preserve">                                                       </w:t>
      </w:r>
    </w:p>
    <w:p>
      <w:pPr>
        <w:snapToGrid w:val="0"/>
        <w:spacing w:line="360" w:lineRule="auto"/>
        <w:ind w:firstLine="48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7、合同总价款（人民币）：大写</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小写</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cstheme="minorEastAsia"/>
          <w:color w:val="auto"/>
          <w:spacing w:val="0"/>
          <w:position w:val="0"/>
          <w:highlight w:val="none"/>
          <w:u w:val="single"/>
          <w:lang w:val="en-US" w:eastAsia="zh-CN"/>
        </w:rPr>
        <w:t xml:space="preserve">        </w:t>
      </w:r>
    </w:p>
    <w:p>
      <w:pPr>
        <w:snapToGrid w:val="0"/>
        <w:spacing w:line="360" w:lineRule="auto"/>
        <w:ind w:firstLine="480"/>
        <w:rPr>
          <w:rFonts w:hint="eastAsia" w:asciiTheme="minorEastAsia" w:hAnsiTheme="minorEastAsia" w:eastAsiaTheme="minorEastAsia" w:cstheme="minorEastAsia"/>
          <w:b/>
          <w:color w:val="auto"/>
          <w:spacing w:val="0"/>
          <w:position w:val="0"/>
          <w:highlight w:val="none"/>
        </w:rPr>
      </w:pPr>
      <w:r>
        <w:rPr>
          <w:rFonts w:hint="eastAsia" w:asciiTheme="minorEastAsia" w:hAnsiTheme="minorEastAsia" w:eastAsiaTheme="minorEastAsia" w:cstheme="minorEastAsia"/>
          <w:b/>
          <w:color w:val="auto"/>
          <w:spacing w:val="0"/>
          <w:position w:val="0"/>
          <w:highlight w:val="none"/>
        </w:rPr>
        <w:t>第二条  甲方权利和义务</w:t>
      </w:r>
    </w:p>
    <w:p>
      <w:pPr>
        <w:snapToGrid w:val="0"/>
        <w:spacing w:line="360" w:lineRule="auto"/>
        <w:ind w:firstLine="48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1、开工前</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天，向乙方提供经确认的施工图纸或作法说明</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份，并向乙方进行图纸会审和现场交底。全部腾空或部分腾空房屋，清除影响施工的障碍物。对只能部分腾空的房屋中所滞留的家具、陈设等采取保护措施。向乙方提供施工所需水源、电源等施工条件，并说明使用注意事项，施工中使用的水费、电费在结算时予以扣除。提供存放所用材料的场地。办理施工所涉及的应由甲方办理的消防等申请、批件手续或委托乙方代办理，所需费用由甲方承担。</w:t>
      </w:r>
    </w:p>
    <w:p>
      <w:pPr>
        <w:snapToGrid w:val="0"/>
        <w:spacing w:line="360" w:lineRule="auto"/>
        <w:ind w:firstLine="48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2、指派</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为甲方驻工地代表，负责对本工程质量、材料、工程进度等合同履行监督检查、认证工作，办理验收、变更、登记手续和其他事宜。如乙方施工中存在质量问题，经甲方代表指出后不改正的，甲方有权责令停工，严重的停止执行合同。</w:t>
      </w:r>
    </w:p>
    <w:p>
      <w:pPr>
        <w:snapToGrid w:val="0"/>
        <w:spacing w:line="360" w:lineRule="auto"/>
        <w:ind w:left="2" w:firstLine="422" w:firstLineChars="201"/>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3、委托</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监理公司进行工程监理，监理公司任命</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为总监理工程师，其职责在监理合同中应明确，并将监理合同副本交乙方</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份。</w:t>
      </w:r>
    </w:p>
    <w:p>
      <w:pPr>
        <w:snapToGrid w:val="0"/>
        <w:spacing w:line="360" w:lineRule="auto"/>
        <w:ind w:firstLine="48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4、如确实需要拆改原建筑物结构或设备、管线，负责到有关部门办理相应审批手续。</w:t>
      </w:r>
    </w:p>
    <w:p>
      <w:pPr>
        <w:snapToGrid w:val="0"/>
        <w:spacing w:line="360" w:lineRule="auto"/>
        <w:ind w:firstLine="480"/>
        <w:rPr>
          <w:rFonts w:hint="eastAsia" w:asciiTheme="minorEastAsia" w:hAnsiTheme="minorEastAsia" w:eastAsiaTheme="minorEastAsia" w:cstheme="minorEastAsia"/>
          <w:b/>
          <w:color w:val="auto"/>
          <w:spacing w:val="0"/>
          <w:position w:val="0"/>
          <w:highlight w:val="none"/>
        </w:rPr>
      </w:pPr>
      <w:r>
        <w:rPr>
          <w:rFonts w:hint="eastAsia" w:asciiTheme="minorEastAsia" w:hAnsiTheme="minorEastAsia" w:eastAsiaTheme="minorEastAsia" w:cstheme="minorEastAsia"/>
          <w:b/>
          <w:color w:val="auto"/>
          <w:spacing w:val="0"/>
          <w:position w:val="0"/>
          <w:highlight w:val="none"/>
        </w:rPr>
        <w:t>第三条  乙方权利和义务</w:t>
      </w:r>
    </w:p>
    <w:p>
      <w:pPr>
        <w:snapToGrid w:val="0"/>
        <w:spacing w:line="360" w:lineRule="auto"/>
        <w:ind w:firstLine="48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1、参加甲方组织的施工图纸或作法说明的现场交底，提供施工组织设计、施工方案和施工进度计划，</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 xml:space="preserve"> 天内交甲方审定。办理施工所涉及的应由乙方办理的工程质量检测等报批手续和支付费用。</w:t>
      </w:r>
    </w:p>
    <w:p>
      <w:pPr>
        <w:snapToGrid w:val="0"/>
        <w:spacing w:line="360" w:lineRule="auto"/>
        <w:ind w:left="67" w:leftChars="32" w:firstLine="315" w:firstLineChars="15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2、本工程项目班子成员包括：</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 xml:space="preserve"> 。其中项目经理姓名：</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 xml:space="preserve"> 、级别：</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、职务（职称）：</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 xml:space="preserve"> ，技术负责人姓名：</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 xml:space="preserve"> 、职称：</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 xml:space="preserve"> 。项目经理和技术负责人为乙方驻工地代表，负责合同履行。按要求组织施工，保质保量、按期完成施工任务，解决由乙方负责的各项事宜。项目班子成员必须与</w:t>
      </w:r>
      <w:r>
        <w:rPr>
          <w:rFonts w:hint="eastAsia" w:asciiTheme="minorEastAsia" w:hAnsiTheme="minorEastAsia" w:cstheme="minorEastAsia"/>
          <w:color w:val="auto"/>
          <w:spacing w:val="0"/>
          <w:position w:val="0"/>
          <w:highlight w:val="none"/>
          <w:lang w:eastAsia="zh-CN"/>
        </w:rPr>
        <w:t>响应</w:t>
      </w:r>
      <w:r>
        <w:rPr>
          <w:rFonts w:hint="eastAsia" w:asciiTheme="minorEastAsia" w:hAnsiTheme="minorEastAsia" w:eastAsiaTheme="minorEastAsia" w:cstheme="minorEastAsia"/>
          <w:color w:val="auto"/>
          <w:spacing w:val="0"/>
          <w:position w:val="0"/>
          <w:highlight w:val="none"/>
        </w:rPr>
        <w:t>文件相符。</w:t>
      </w:r>
    </w:p>
    <w:p>
      <w:pPr>
        <w:snapToGrid w:val="0"/>
        <w:spacing w:line="360" w:lineRule="auto"/>
        <w:ind w:firstLine="48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3、严格执行施工规范、安全操作规程、防火安全和环境保护规定。严格按照图纸或作法说明进行施工，做好各项质量检查和增减项记录。参加竣工验收，编制工程结算，提供甲方签字认可的工程量变化清单。</w:t>
      </w:r>
    </w:p>
    <w:p>
      <w:pPr>
        <w:snapToGrid w:val="0"/>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4、遵守国家或地方政府及有关部门对施工现场管理的规定，妥善保护好施工现场周围建筑物、设备管线、古树名木不受损坏。做好施工现场保卫和垃圾消纳等工作，处理好由于施工带来的扰民问题及周围单位（住户）的关系。</w:t>
      </w:r>
    </w:p>
    <w:p>
      <w:pPr>
        <w:snapToGrid w:val="0"/>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5、施工中未经有关部门批准和甲方同意，不得随意拆改原建筑物结构及各种设备、管线。</w:t>
      </w:r>
    </w:p>
    <w:p>
      <w:pPr>
        <w:snapToGrid w:val="0"/>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6、工程竣工未移交甲方之前，负责对现场工程设施和工程成品进行保护。</w:t>
      </w:r>
    </w:p>
    <w:p>
      <w:pPr>
        <w:snapToGrid w:val="0"/>
        <w:spacing w:line="360" w:lineRule="auto"/>
        <w:ind w:firstLine="420" w:firstLineChars="199"/>
        <w:rPr>
          <w:rFonts w:hint="eastAsia" w:asciiTheme="minorEastAsia" w:hAnsiTheme="minorEastAsia" w:eastAsiaTheme="minorEastAsia" w:cstheme="minorEastAsia"/>
          <w:b/>
          <w:color w:val="auto"/>
          <w:spacing w:val="0"/>
          <w:position w:val="0"/>
          <w:highlight w:val="none"/>
        </w:rPr>
      </w:pPr>
      <w:r>
        <w:rPr>
          <w:rFonts w:hint="eastAsia" w:asciiTheme="minorEastAsia" w:hAnsiTheme="minorEastAsia" w:eastAsiaTheme="minorEastAsia" w:cstheme="minorEastAsia"/>
          <w:b/>
          <w:color w:val="auto"/>
          <w:spacing w:val="0"/>
          <w:position w:val="0"/>
          <w:highlight w:val="none"/>
        </w:rPr>
        <w:t>第四条  材料供应</w:t>
      </w:r>
    </w:p>
    <w:p>
      <w:pPr>
        <w:snapToGrid w:val="0"/>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1、根据《国务院办公厅关于建立政府强制采购节能产品制度的通知》国办发[2007]51号和《财政部国家环保总局联合印发关于环境标志产品政府采购实施的意见》财库[2006]90号文件规定，本工程项目所用材料、设备应符合节能环保要求，尤其是胶粘剂、涂料等产品必须是国家认可的环境标志产品认证机构认证的环境标志产品。</w:t>
      </w:r>
    </w:p>
    <w:p>
      <w:pPr>
        <w:snapToGrid w:val="0"/>
        <w:spacing w:line="360" w:lineRule="auto"/>
        <w:ind w:firstLine="525" w:firstLineChars="25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2、甲方指定材料种类、品牌、规格、型号和单价等，由乙方负责采购、运输和保管，并承担材料采购、运输和保管费。乙方采购的材料必须用于本工程，不准挪作他用。</w:t>
      </w:r>
    </w:p>
    <w:p>
      <w:pPr>
        <w:snapToGrid w:val="0"/>
        <w:spacing w:line="360" w:lineRule="auto"/>
        <w:ind w:firstLine="525" w:firstLineChars="25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3、乙方负责采购的材料、设备，必须符合设计要求的合格产品。乙方应向甲方提供采购的材料、设备产品合格证明，甲方应予签字认可。</w:t>
      </w:r>
    </w:p>
    <w:p>
      <w:pPr>
        <w:snapToGrid w:val="0"/>
        <w:spacing w:line="360" w:lineRule="auto"/>
        <w:ind w:firstLine="519" w:firstLineChars="246"/>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b/>
          <w:color w:val="auto"/>
          <w:spacing w:val="0"/>
          <w:position w:val="0"/>
          <w:highlight w:val="none"/>
        </w:rPr>
        <w:t>第五条</w:t>
      </w:r>
      <w:r>
        <w:rPr>
          <w:rFonts w:hint="eastAsia" w:asciiTheme="minorEastAsia" w:hAnsiTheme="minorEastAsia" w:eastAsiaTheme="minorEastAsia" w:cstheme="minorEastAsia"/>
          <w:color w:val="auto"/>
          <w:spacing w:val="0"/>
          <w:position w:val="0"/>
          <w:highlight w:val="none"/>
        </w:rPr>
        <w:t xml:space="preserve">  </w:t>
      </w:r>
      <w:r>
        <w:rPr>
          <w:rFonts w:hint="eastAsia" w:asciiTheme="minorEastAsia" w:hAnsiTheme="minorEastAsia" w:eastAsiaTheme="minorEastAsia" w:cstheme="minorEastAsia"/>
          <w:b/>
          <w:color w:val="auto"/>
          <w:spacing w:val="0"/>
          <w:position w:val="0"/>
          <w:highlight w:val="none"/>
        </w:rPr>
        <w:t>工期保证</w:t>
      </w:r>
    </w:p>
    <w:p>
      <w:pPr>
        <w:snapToGrid w:val="0"/>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1、乙方严格按照本合同要求，保证该工程按时竣工。</w:t>
      </w:r>
    </w:p>
    <w:p>
      <w:pPr>
        <w:snapToGrid w:val="0"/>
        <w:spacing w:line="360" w:lineRule="auto"/>
        <w:ind w:firstLine="48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2、甲方要求比合同约定的工期提前竣工时，应征得乙方同意，提前竣工费用另签协议。</w:t>
      </w:r>
    </w:p>
    <w:p>
      <w:pPr>
        <w:snapToGrid w:val="0"/>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3、因乙方责任，不能按期开工或中途无故停工，影响工期，工期不顺延。</w:t>
      </w:r>
    </w:p>
    <w:p>
      <w:pPr>
        <w:snapToGrid w:val="0"/>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4、因甲方责任，未按约定时间完成工作，影响工期，工期可顺延。</w:t>
      </w:r>
    </w:p>
    <w:p>
      <w:pPr>
        <w:snapToGrid w:val="0"/>
        <w:spacing w:line="360" w:lineRule="auto"/>
        <w:ind w:firstLine="48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5、因甲方原因增加工程量或未按本合同工程进度支付工程款，工期可顺延。</w:t>
      </w:r>
    </w:p>
    <w:p>
      <w:pPr>
        <w:snapToGrid w:val="0"/>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6、因设计变更或非乙方原因造成的停电、停水及不可抗力因素影响，导致停工8小时以上（一周内累计计算），工期相应顺延。</w:t>
      </w:r>
    </w:p>
    <w:p>
      <w:pPr>
        <w:snapToGrid w:val="0"/>
        <w:spacing w:line="360" w:lineRule="auto"/>
        <w:ind w:firstLine="422" w:firstLineChars="200"/>
        <w:rPr>
          <w:rFonts w:hint="eastAsia" w:asciiTheme="minorEastAsia" w:hAnsiTheme="minorEastAsia" w:eastAsiaTheme="minorEastAsia" w:cstheme="minorEastAsia"/>
          <w:b/>
          <w:color w:val="auto"/>
          <w:spacing w:val="0"/>
          <w:position w:val="0"/>
          <w:highlight w:val="none"/>
        </w:rPr>
      </w:pPr>
      <w:r>
        <w:rPr>
          <w:rFonts w:hint="eastAsia" w:asciiTheme="minorEastAsia" w:hAnsiTheme="minorEastAsia" w:eastAsiaTheme="minorEastAsia" w:cstheme="minorEastAsia"/>
          <w:b/>
          <w:color w:val="auto"/>
          <w:spacing w:val="0"/>
          <w:position w:val="0"/>
          <w:highlight w:val="none"/>
        </w:rPr>
        <w:t>第六条  工程质量和验收</w:t>
      </w:r>
    </w:p>
    <w:p>
      <w:pPr>
        <w:snapToGrid w:val="0"/>
        <w:spacing w:line="360" w:lineRule="auto"/>
        <w:ind w:firstLine="420" w:firstLineChars="200"/>
        <w:rPr>
          <w:rFonts w:hint="eastAsia" w:asciiTheme="minorEastAsia" w:hAnsiTheme="minorEastAsia" w:eastAsiaTheme="minorEastAsia" w:cstheme="minorEastAsia"/>
          <w:color w:val="auto"/>
          <w:spacing w:val="0"/>
          <w:position w:val="0"/>
          <w:highlight w:val="none"/>
          <w:u w:val="single"/>
        </w:rPr>
      </w:pPr>
      <w:r>
        <w:rPr>
          <w:rFonts w:hint="eastAsia" w:asciiTheme="minorEastAsia" w:hAnsiTheme="minorEastAsia" w:eastAsiaTheme="minorEastAsia" w:cstheme="minorEastAsia"/>
          <w:color w:val="auto"/>
          <w:spacing w:val="0"/>
          <w:position w:val="0"/>
          <w:highlight w:val="none"/>
        </w:rPr>
        <w:t>1、乙方必须保证本工程质量，并按相关规定，办理工程质量检测手续，向甲方提交工程质量报告。</w:t>
      </w:r>
    </w:p>
    <w:p>
      <w:pPr>
        <w:snapToGrid w:val="0"/>
        <w:spacing w:line="360" w:lineRule="auto"/>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xml:space="preserve">    2、本工程以施工图纸、作法说明、设计变更和《建筑装饰装修工程质量验收规范》（GB50210—2001）、《建筑工程施工质量验收统一标准》（GB50300—2001）等国家制订的施工及验收规范为本工程质量评定验收标准。</w:t>
      </w:r>
    </w:p>
    <w:p>
      <w:pPr>
        <w:snapToGrid w:val="0"/>
        <w:spacing w:line="360" w:lineRule="auto"/>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xml:space="preserve">    3、乙方应及时通知甲方对施工过程中的隐蔽工程进行检查和验收，并做好验收记录。如不及时参加验收，乙方可自行验收，甲方应予承认。</w:t>
      </w:r>
    </w:p>
    <w:p>
      <w:pPr>
        <w:snapToGrid w:val="0"/>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4、工程竣工前，乙方向甲方提交工程验收申请，约请甲方和有关部门对本工程进行验收。甲方应自接到验收通知</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日内，可采取全面验收和抽检验收方法组织验收，并办理验收、移交手续。如甲方不能在规定时间内组织验收，需及时通知乙方，另定验收日期。但甲方应承认竣工日期，看管费用和相关费用由：</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 xml:space="preserve"> 。如甲方在验收过程中发现存在质量问题，应在验收后五日内以书面形式向乙方提出，乙方应自收到甲方书面异议后</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日内及时予以解决。造成工程顺延由乙方承担责任。</w:t>
      </w:r>
    </w:p>
    <w:p>
      <w:pPr>
        <w:snapToGrid w:val="0"/>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5、乙方提供竣工资料和验收报告的时间为：</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年</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月</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日前；提供竣工图纸时间和份数为：</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年</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月</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日前，</w:t>
      </w:r>
      <w:r>
        <w:rPr>
          <w:rFonts w:hint="eastAsia" w:asciiTheme="minorEastAsia" w:hAnsiTheme="minorEastAsia" w:eastAsiaTheme="minorEastAsia" w:cstheme="minorEastAsia"/>
          <w:color w:val="auto"/>
          <w:spacing w:val="0"/>
          <w:position w:val="0"/>
          <w:highlight w:val="none"/>
          <w:u w:val="single"/>
        </w:rPr>
        <w:t xml:space="preserve">   份。</w:t>
      </w:r>
    </w:p>
    <w:p>
      <w:pPr>
        <w:snapToGrid w:val="0"/>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6、政府采购中心参与组织的工程验收项目，其验收时间以该项目验收方案确定的验收时间为准，验收结果以该项目验收报告结论为准。在验收过程中发现乙方有违约问题，应向财政部门建议暂缓资金结算，待违约问题解决后，方可办理资金结算事宜。</w:t>
      </w:r>
    </w:p>
    <w:p>
      <w:pPr>
        <w:snapToGrid w:val="0"/>
        <w:spacing w:line="360" w:lineRule="auto"/>
        <w:ind w:firstLine="422" w:firstLineChars="200"/>
        <w:rPr>
          <w:rFonts w:hint="eastAsia" w:asciiTheme="minorEastAsia" w:hAnsiTheme="minorEastAsia" w:eastAsiaTheme="minorEastAsia" w:cstheme="minorEastAsia"/>
          <w:b/>
          <w:color w:val="auto"/>
          <w:spacing w:val="0"/>
          <w:position w:val="0"/>
          <w:highlight w:val="none"/>
        </w:rPr>
      </w:pPr>
      <w:r>
        <w:rPr>
          <w:rFonts w:hint="eastAsia" w:asciiTheme="minorEastAsia" w:hAnsiTheme="minorEastAsia" w:eastAsiaTheme="minorEastAsia" w:cstheme="minorEastAsia"/>
          <w:b/>
          <w:color w:val="auto"/>
          <w:spacing w:val="0"/>
          <w:position w:val="0"/>
          <w:highlight w:val="none"/>
        </w:rPr>
        <w:t>第七条  付款方式和结算</w:t>
      </w:r>
    </w:p>
    <w:p>
      <w:pPr>
        <w:snapToGrid w:val="0"/>
        <w:spacing w:line="360" w:lineRule="auto"/>
        <w:ind w:firstLine="420" w:firstLineChars="200"/>
        <w:rPr>
          <w:rFonts w:hint="eastAsia" w:asciiTheme="minorEastAsia" w:hAnsiTheme="minorEastAsia" w:eastAsiaTheme="minorEastAsia" w:cstheme="minorEastAsia"/>
          <w:color w:val="auto"/>
          <w:spacing w:val="0"/>
          <w:position w:val="0"/>
          <w:highlight w:val="none"/>
          <w:u w:val="single"/>
        </w:rPr>
      </w:pPr>
      <w:r>
        <w:rPr>
          <w:rFonts w:hint="eastAsia" w:asciiTheme="minorEastAsia" w:hAnsiTheme="minorEastAsia" w:eastAsiaTheme="minorEastAsia" w:cstheme="minorEastAsia"/>
          <w:color w:val="auto"/>
          <w:spacing w:val="0"/>
          <w:position w:val="0"/>
          <w:highlight w:val="none"/>
        </w:rPr>
        <w:t>1、资金性质：</w:t>
      </w:r>
      <w:r>
        <w:rPr>
          <w:rFonts w:hint="eastAsia" w:asciiTheme="minorEastAsia" w:hAnsiTheme="minorEastAsia" w:eastAsiaTheme="minorEastAsia" w:cstheme="minorEastAsia"/>
          <w:color w:val="auto"/>
          <w:spacing w:val="0"/>
          <w:position w:val="0"/>
          <w:highlight w:val="none"/>
          <w:u w:val="single"/>
        </w:rPr>
        <w:t xml:space="preserve">                       。</w:t>
      </w:r>
    </w:p>
    <w:p>
      <w:pPr>
        <w:snapToGrid w:val="0"/>
        <w:spacing w:line="360" w:lineRule="auto"/>
        <w:ind w:firstLine="48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2、付款方式：</w:t>
      </w:r>
      <w:r>
        <w:rPr>
          <w:rFonts w:hint="eastAsia" w:asciiTheme="minorEastAsia" w:hAnsiTheme="minorEastAsia" w:cstheme="minorEastAsia"/>
          <w:color w:val="auto"/>
          <w:spacing w:val="0"/>
          <w:position w:val="0"/>
          <w:highlight w:val="none"/>
          <w:lang w:val="en-US" w:eastAsia="zh-CN"/>
        </w:rPr>
        <w:t xml:space="preserve"> </w:t>
      </w:r>
      <w:r>
        <w:rPr>
          <w:rFonts w:hint="eastAsia" w:asciiTheme="minorEastAsia" w:hAnsiTheme="minorEastAsia" w:cstheme="minorEastAsia"/>
          <w:color w:val="auto"/>
          <w:spacing w:val="0"/>
          <w:position w:val="0"/>
          <w:highlight w:val="none"/>
          <w:u w:val="single"/>
          <w:lang w:val="en-US" w:eastAsia="zh-CN"/>
        </w:rPr>
        <w:t xml:space="preserve">             </w:t>
      </w:r>
      <w:r>
        <w:rPr>
          <w:rFonts w:hint="eastAsia" w:asciiTheme="minorEastAsia" w:hAnsiTheme="minorEastAsia" w:cstheme="minorEastAsia"/>
          <w:color w:val="auto"/>
          <w:spacing w:val="0"/>
          <w:position w:val="0"/>
          <w:highlight w:val="none"/>
          <w:lang w:val="en-US" w:eastAsia="zh-CN"/>
        </w:rPr>
        <w:t xml:space="preserve"> </w:t>
      </w:r>
      <w:r>
        <w:rPr>
          <w:rFonts w:hint="eastAsia" w:asciiTheme="minorEastAsia" w:hAnsiTheme="minorEastAsia" w:eastAsiaTheme="minorEastAsia" w:cstheme="minorEastAsia"/>
          <w:color w:val="auto"/>
          <w:spacing w:val="0"/>
          <w:position w:val="0"/>
          <w:highlight w:val="none"/>
        </w:rPr>
        <w:t>；自筹资金：</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。分期付款金额和时间为：</w:t>
      </w:r>
      <w:r>
        <w:rPr>
          <w:rFonts w:hint="eastAsia" w:asciiTheme="minorEastAsia" w:hAnsiTheme="minorEastAsia" w:cstheme="minorEastAsia"/>
          <w:color w:val="auto"/>
          <w:spacing w:val="0"/>
          <w:position w:val="0"/>
          <w:highlight w:val="none"/>
          <w:u w:val="single"/>
          <w:lang w:val="en-US" w:eastAsia="zh-CN"/>
        </w:rPr>
        <w:t xml:space="preserve">               </w:t>
      </w:r>
      <w:r>
        <w:rPr>
          <w:rFonts w:hint="eastAsia" w:asciiTheme="minorEastAsia" w:hAnsiTheme="minorEastAsia" w:eastAsiaTheme="minorEastAsia" w:cstheme="minorEastAsia"/>
          <w:color w:val="auto"/>
          <w:spacing w:val="0"/>
          <w:position w:val="0"/>
          <w:highlight w:val="none"/>
        </w:rPr>
        <w:t>。</w:t>
      </w:r>
    </w:p>
    <w:p>
      <w:pPr>
        <w:spacing w:line="360" w:lineRule="auto"/>
        <w:ind w:firstLine="48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3、工程结算形式。固定价格形式竣工结算，按中标价格结算，超出部分甲方不予承认。如乙方在施工过程中出现特殊情况，在征求甲方同意的情况下，不论工程内容或工程量如何调整，工程结算时保证不能超出中标价格。</w:t>
      </w:r>
    </w:p>
    <w:p>
      <w:pPr>
        <w:snapToGrid w:val="0"/>
        <w:spacing w:line="360" w:lineRule="auto"/>
        <w:ind w:firstLine="48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4、工程竣工结算：工程竣工验收后乙方向甲方提交工程结算书和其他有关工程资料，并将有关资料送交甲方。甲方自接到上述资料20个工作日内提出审计意见，甲乙双方在不超出中标价格并共同认可的审计额为本工程项目的结算总额。</w:t>
      </w:r>
    </w:p>
    <w:p>
      <w:pPr>
        <w:snapToGrid w:val="0"/>
        <w:spacing w:line="360" w:lineRule="auto"/>
        <w:ind w:left="-61" w:leftChars="-29" w:firstLine="517" w:firstLineChars="245"/>
        <w:rPr>
          <w:rFonts w:hint="eastAsia" w:asciiTheme="minorEastAsia" w:hAnsiTheme="minorEastAsia" w:eastAsiaTheme="minorEastAsia" w:cstheme="minorEastAsia"/>
          <w:b/>
          <w:color w:val="auto"/>
          <w:spacing w:val="0"/>
          <w:position w:val="0"/>
          <w:highlight w:val="none"/>
        </w:rPr>
      </w:pPr>
      <w:r>
        <w:rPr>
          <w:rFonts w:hint="eastAsia" w:asciiTheme="minorEastAsia" w:hAnsiTheme="minorEastAsia" w:eastAsiaTheme="minorEastAsia" w:cstheme="minorEastAsia"/>
          <w:b/>
          <w:color w:val="auto"/>
          <w:spacing w:val="0"/>
          <w:position w:val="0"/>
          <w:highlight w:val="none"/>
        </w:rPr>
        <w:t>第八条　质量保证金</w:t>
      </w:r>
    </w:p>
    <w:p>
      <w:pPr>
        <w:snapToGrid w:val="0"/>
        <w:spacing w:line="360" w:lineRule="auto"/>
        <w:ind w:left="-61" w:leftChars="-29" w:firstLine="630" w:firstLineChars="3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甲方应在工程验收合格无异议后5个工作日内，在预付尾款中按本合同合计金额</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%比例预留质量保证金，质量保证期过后5个工作日内无息返还。</w:t>
      </w:r>
    </w:p>
    <w:p>
      <w:pPr>
        <w:snapToGrid w:val="0"/>
        <w:spacing w:line="360" w:lineRule="auto"/>
        <w:ind w:firstLine="480"/>
        <w:rPr>
          <w:rFonts w:hint="eastAsia" w:asciiTheme="minorEastAsia" w:hAnsiTheme="minorEastAsia" w:eastAsiaTheme="minorEastAsia" w:cstheme="minorEastAsia"/>
          <w:b/>
          <w:color w:val="auto"/>
          <w:spacing w:val="0"/>
          <w:position w:val="0"/>
          <w:highlight w:val="none"/>
        </w:rPr>
      </w:pPr>
      <w:r>
        <w:rPr>
          <w:rFonts w:hint="eastAsia" w:asciiTheme="minorEastAsia" w:hAnsiTheme="minorEastAsia" w:eastAsiaTheme="minorEastAsia" w:cstheme="minorEastAsia"/>
          <w:b/>
          <w:color w:val="auto"/>
          <w:spacing w:val="0"/>
          <w:position w:val="0"/>
          <w:highlight w:val="none"/>
        </w:rPr>
        <w:t>第九条  安全生产和防火</w:t>
      </w:r>
    </w:p>
    <w:p>
      <w:pPr>
        <w:snapToGrid w:val="0"/>
        <w:spacing w:line="360" w:lineRule="auto"/>
        <w:ind w:firstLine="48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1、乙方在施工期间应严格遵守《建筑工程施工安全技术操作规程》、《建筑工人安全技术操作规程》和其他相关的法规、规范。</w:t>
      </w:r>
    </w:p>
    <w:p>
      <w:pPr>
        <w:snapToGrid w:val="0"/>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2、甲方提供的施工图纸或作法说明，应符合《中华人民共和国消防法》和有关防火设计规范。</w:t>
      </w:r>
    </w:p>
    <w:p>
      <w:pPr>
        <w:snapToGrid w:val="0"/>
        <w:spacing w:line="360" w:lineRule="auto"/>
        <w:ind w:firstLine="480"/>
        <w:rPr>
          <w:rFonts w:hint="eastAsia" w:asciiTheme="minorEastAsia" w:hAnsiTheme="minorEastAsia" w:eastAsiaTheme="minorEastAsia" w:cstheme="minorEastAsia"/>
          <w:b/>
          <w:color w:val="auto"/>
          <w:spacing w:val="0"/>
          <w:position w:val="0"/>
          <w:highlight w:val="none"/>
        </w:rPr>
      </w:pPr>
      <w:r>
        <w:rPr>
          <w:rFonts w:hint="eastAsia" w:asciiTheme="minorEastAsia" w:hAnsiTheme="minorEastAsia" w:eastAsiaTheme="minorEastAsia" w:cstheme="minorEastAsia"/>
          <w:b/>
          <w:color w:val="auto"/>
          <w:spacing w:val="0"/>
          <w:position w:val="0"/>
          <w:highlight w:val="none"/>
        </w:rPr>
        <w:t>第十条 工程保修</w:t>
      </w:r>
    </w:p>
    <w:p>
      <w:pPr>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1、本工程质量保修期为</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年。</w:t>
      </w:r>
    </w:p>
    <w:p>
      <w:pPr>
        <w:spacing w:line="360" w:lineRule="auto"/>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mc:AlternateContent>
          <mc:Choice Requires="wps">
            <w:drawing>
              <wp:anchor distT="0" distB="0" distL="114300" distR="114300" simplePos="0" relativeHeight="251659264" behindDoc="0" locked="0" layoutInCell="1" allowOverlap="1">
                <wp:simplePos x="0" y="0"/>
                <wp:positionH relativeFrom="column">
                  <wp:posOffset>6534150</wp:posOffset>
                </wp:positionH>
                <wp:positionV relativeFrom="paragraph">
                  <wp:posOffset>311785</wp:posOffset>
                </wp:positionV>
                <wp:extent cx="457200" cy="0"/>
                <wp:effectExtent l="0" t="0" r="0" b="0"/>
                <wp:wrapNone/>
                <wp:docPr id="3" name="直线 2"/>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514.5pt;margin-top:24.55pt;height:0pt;width:36pt;z-index:251659264;mso-width-relative:page;mso-height-relative:page;" filled="f" stroked="t" coordsize="21600,21600" o:gfxdata="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43GH&#10;xdYAAAALAQAADwAAAAAAAAABACAAAAAiAAAAZHJzL2Rvd25yZXYueG1sUEsBAhQAFAAAAAgAh07i&#10;QDIjfybrAQAA6AMAAA4AAAAAAAAAAQAgAAAAJQ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color w:val="auto"/>
          <w:spacing w:val="0"/>
          <w:position w:val="0"/>
          <w:highlight w:val="none"/>
        </w:rPr>
        <w:t xml:space="preserve">    2、质量保修期间，由于施工质量等发生的问题，需要维修时，乙方无偿负责保修。乙方收到甲方保修通知</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日内，进行保修。</w:t>
      </w:r>
    </w:p>
    <w:p>
      <w:pPr>
        <w:tabs>
          <w:tab w:val="left" w:pos="105"/>
        </w:tabs>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3、质量保修期间，由于甲方使用不当造成的问题，乙方负责维修，甲方负责支付人工和材料费用。乙方收到甲方维修通知</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日内，进行维修。</w:t>
      </w:r>
    </w:p>
    <w:p>
      <w:pPr>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4、乙方提供的服务承诺和保修期责任等其它具体约定事项。（见合同附件）</w:t>
      </w:r>
    </w:p>
    <w:p>
      <w:pPr>
        <w:snapToGrid w:val="0"/>
        <w:spacing w:line="360" w:lineRule="auto"/>
        <w:ind w:firstLine="422" w:firstLineChars="200"/>
        <w:rPr>
          <w:rFonts w:hint="eastAsia" w:asciiTheme="minorEastAsia" w:hAnsiTheme="minorEastAsia" w:eastAsiaTheme="minorEastAsia" w:cstheme="minorEastAsia"/>
          <w:b/>
          <w:color w:val="auto"/>
          <w:spacing w:val="0"/>
          <w:position w:val="0"/>
          <w:highlight w:val="none"/>
        </w:rPr>
      </w:pPr>
      <w:r>
        <w:rPr>
          <w:rFonts w:hint="eastAsia" w:asciiTheme="minorEastAsia" w:hAnsiTheme="minorEastAsia" w:eastAsiaTheme="minorEastAsia" w:cstheme="minorEastAsia"/>
          <w:b/>
          <w:color w:val="auto"/>
          <w:spacing w:val="0"/>
          <w:position w:val="0"/>
          <w:highlight w:val="none"/>
        </w:rPr>
        <w:t>第十一条  合同的变更、终止与转让</w:t>
      </w:r>
    </w:p>
    <w:p>
      <w:pPr>
        <w:snapToGrid w:val="0"/>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1、除《中华人民共和国政府采购法》第50条规定的情形外，本合同一经签定，甲乙双方不得擅自变更、中止或终止合同。</w:t>
      </w:r>
    </w:p>
    <w:p>
      <w:pPr>
        <w:snapToGrid w:val="0"/>
        <w:spacing w:line="360" w:lineRule="auto"/>
        <w:ind w:left="56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2、乙方不得擅自转让其应履行的合同义务。</w:t>
      </w:r>
    </w:p>
    <w:p>
      <w:pPr>
        <w:snapToGrid w:val="0"/>
        <w:spacing w:line="360" w:lineRule="auto"/>
        <w:ind w:firstLine="480"/>
        <w:rPr>
          <w:rFonts w:hint="eastAsia" w:asciiTheme="minorEastAsia" w:hAnsiTheme="minorEastAsia" w:eastAsiaTheme="minorEastAsia" w:cstheme="minorEastAsia"/>
          <w:b/>
          <w:color w:val="auto"/>
          <w:spacing w:val="0"/>
          <w:position w:val="0"/>
          <w:highlight w:val="none"/>
        </w:rPr>
      </w:pPr>
      <w:r>
        <w:rPr>
          <w:rFonts w:hint="eastAsia" w:asciiTheme="minorEastAsia" w:hAnsiTheme="minorEastAsia" w:eastAsiaTheme="minorEastAsia" w:cstheme="minorEastAsia"/>
          <w:b/>
          <w:color w:val="auto"/>
          <w:spacing w:val="0"/>
          <w:position w:val="0"/>
          <w:highlight w:val="none"/>
        </w:rPr>
        <w:t>第十二条  违约责任</w:t>
      </w:r>
    </w:p>
    <w:p>
      <w:pPr>
        <w:snapToGrid w:val="0"/>
        <w:spacing w:line="360" w:lineRule="auto"/>
        <w:ind w:firstLine="48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1、由于甲方原因导致延期开工或中途停工，甲方应补偿乙方因延期开工或停工所造成的损失，每停工一天，甲方支付乙方</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元违约金。</w:t>
      </w:r>
    </w:p>
    <w:p>
      <w:pPr>
        <w:snapToGrid w:val="0"/>
        <w:spacing w:line="360" w:lineRule="auto"/>
        <w:ind w:firstLine="48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2、甲方自筹资金不按合同约定时间拨付款，每逾期一天，按应付款额的3 ‰向乙方支付滞纳金。</w:t>
      </w:r>
    </w:p>
    <w:p>
      <w:pPr>
        <w:snapToGrid w:val="0"/>
        <w:spacing w:line="360" w:lineRule="auto"/>
        <w:ind w:firstLine="48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3、由于甲方提供或确定的材料、设备质量不合格而影响本工程质量，其返工费用由甲方承担，工期顺延。</w:t>
      </w:r>
    </w:p>
    <w:p>
      <w:pPr>
        <w:snapToGrid w:val="0"/>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4、甲方未办理任何手续，擅自同意拆改原有建筑物结构或设备、管线，由此发生的损失或事故（包括罚款），由甲方负责并承担损失。</w:t>
      </w:r>
    </w:p>
    <w:p>
      <w:pPr>
        <w:snapToGrid w:val="0"/>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5、甲方未办理验收手续，提前使用或擅自动用，造成损失由甲方负责。</w:t>
      </w:r>
    </w:p>
    <w:p>
      <w:pPr>
        <w:snapToGrid w:val="0"/>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6、由于乙方原因逾期竣工，乙方应补偿甲方因逾期竣工所造成的损失。每逾期一天，乙方支付甲方</w:t>
      </w:r>
      <w:r>
        <w:rPr>
          <w:rFonts w:hint="eastAsia" w:asciiTheme="minorEastAsia" w:hAnsiTheme="minorEastAsia" w:eastAsiaTheme="minorEastAsia" w:cstheme="minorEastAsia"/>
          <w:color w:val="auto"/>
          <w:spacing w:val="0"/>
          <w:position w:val="0"/>
          <w:highlight w:val="none"/>
          <w:u w:val="single"/>
        </w:rPr>
        <w:t xml:space="preserve">       </w:t>
      </w:r>
      <w:r>
        <w:rPr>
          <w:rFonts w:hint="eastAsia" w:asciiTheme="minorEastAsia" w:hAnsiTheme="minorEastAsia" w:eastAsiaTheme="minorEastAsia" w:cstheme="minorEastAsia"/>
          <w:color w:val="auto"/>
          <w:spacing w:val="0"/>
          <w:position w:val="0"/>
          <w:highlight w:val="none"/>
        </w:rPr>
        <w:t>元违约金。</w:t>
      </w:r>
    </w:p>
    <w:p>
      <w:pPr>
        <w:snapToGrid w:val="0"/>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7、由于乙方原因造成本工程质量事故，其返工费用由乙方承担，工期不顺延，并负责因此造成的全部损失。</w:t>
      </w:r>
    </w:p>
    <w:p>
      <w:pPr>
        <w:snapToGrid w:val="0"/>
        <w:spacing w:line="360" w:lineRule="auto"/>
        <w:ind w:firstLine="48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8、乙方应妥善保管甲方提供的材料、设备和现场堆放的物品及工程成品，如保管不当造成损失，乙方应照价赔偿。</w:t>
      </w:r>
    </w:p>
    <w:p>
      <w:pPr>
        <w:snapToGrid w:val="0"/>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9、未经甲方同意，乙方擅自拆改原建筑物结构或设备、管线，由此发生的损失或事故（包括罚款），由乙方负责并承担损失。</w:t>
      </w:r>
    </w:p>
    <w:p>
      <w:pPr>
        <w:snapToGrid w:val="0"/>
        <w:spacing w:line="360" w:lineRule="auto"/>
        <w:ind w:firstLine="48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10、由于乙方在施工生产过程中违反有关安全操作规程、消防法，导致发生安全事故或火灾事故，乙方应承担由此引发的一切责任。</w:t>
      </w:r>
    </w:p>
    <w:p>
      <w:pPr>
        <w:tabs>
          <w:tab w:val="left" w:pos="105"/>
        </w:tabs>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11、乙方拒不执行保修期责任和服务承诺，甲方有权扣除全部质量保证金，并追究乙方违约责任。</w:t>
      </w:r>
    </w:p>
    <w:p>
      <w:pPr>
        <w:tabs>
          <w:tab w:val="left" w:pos="105"/>
        </w:tabs>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12、因一方原因，合同无法继续履行时，应通知对方，按规定程序办理合同终止协议，并由责任方赔偿对方由此造成的全部经济损失。</w:t>
      </w:r>
    </w:p>
    <w:p>
      <w:pPr>
        <w:snapToGrid w:val="0"/>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13、其他违约行为按违约额5%收取违约金并赔偿经济损失。</w:t>
      </w:r>
    </w:p>
    <w:p>
      <w:pPr>
        <w:snapToGrid w:val="0"/>
        <w:spacing w:line="360" w:lineRule="auto"/>
        <w:ind w:firstLine="422"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b/>
          <w:color w:val="auto"/>
          <w:spacing w:val="0"/>
          <w:position w:val="0"/>
          <w:highlight w:val="none"/>
        </w:rPr>
        <w:t>第十三条  合同争议解决</w:t>
      </w:r>
    </w:p>
    <w:p>
      <w:pPr>
        <w:snapToGrid w:val="0"/>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因履行本合同引起的或与本合同有关的争议，甲乙双方应首先通过友好协商解决，如果协商不能解决，可采取以下（ ）种方法解决，</w:t>
      </w:r>
    </w:p>
    <w:p>
      <w:pPr>
        <w:snapToGrid w:val="0"/>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A向仲裁委员会申请仲裁。B向人民法院诉讼。</w:t>
      </w:r>
    </w:p>
    <w:p>
      <w:pPr>
        <w:snapToGrid w:val="0"/>
        <w:spacing w:line="360" w:lineRule="auto"/>
        <w:ind w:firstLine="422" w:firstLineChars="200"/>
        <w:rPr>
          <w:rFonts w:hint="eastAsia" w:asciiTheme="minorEastAsia" w:hAnsiTheme="minorEastAsia" w:eastAsiaTheme="minorEastAsia" w:cstheme="minorEastAsia"/>
          <w:b/>
          <w:color w:val="auto"/>
          <w:spacing w:val="0"/>
          <w:position w:val="0"/>
          <w:highlight w:val="none"/>
        </w:rPr>
      </w:pPr>
      <w:r>
        <w:rPr>
          <w:rFonts w:hint="eastAsia" w:asciiTheme="minorEastAsia" w:hAnsiTheme="minorEastAsia" w:eastAsiaTheme="minorEastAsia" w:cstheme="minorEastAsia"/>
          <w:b/>
          <w:color w:val="auto"/>
          <w:spacing w:val="0"/>
          <w:position w:val="0"/>
          <w:highlight w:val="none"/>
        </w:rPr>
        <w:t>第十四条　合同文件组成</w:t>
      </w:r>
    </w:p>
    <w:p>
      <w:pPr>
        <w:snapToGrid w:val="0"/>
        <w:spacing w:line="360" w:lineRule="auto"/>
        <w:ind w:firstLine="420" w:firstLineChars="200"/>
        <w:rPr>
          <w:rFonts w:hint="eastAsia" w:asciiTheme="minorEastAsia" w:hAnsiTheme="minorEastAsia" w:eastAsiaTheme="minorEastAsia" w:cstheme="minorEastAsia"/>
          <w:color w:val="auto"/>
          <w:spacing w:val="0"/>
          <w:position w:val="0"/>
          <w:highlight w:val="none"/>
          <w:u w:val="single"/>
        </w:rPr>
      </w:pPr>
      <w:r>
        <w:rPr>
          <w:rFonts w:hint="eastAsia" w:asciiTheme="minorEastAsia" w:hAnsiTheme="minorEastAsia" w:eastAsiaTheme="minorEastAsia" w:cstheme="minorEastAsia"/>
          <w:color w:val="auto"/>
          <w:spacing w:val="0"/>
          <w:position w:val="0"/>
          <w:highlight w:val="none"/>
        </w:rPr>
        <w:t>1、政府采购</w:t>
      </w:r>
      <w:r>
        <w:rPr>
          <w:rFonts w:hint="eastAsia" w:asciiTheme="minorEastAsia" w:hAnsiTheme="minorEastAsia" w:cstheme="minorEastAsia"/>
          <w:color w:val="auto"/>
          <w:spacing w:val="0"/>
          <w:position w:val="0"/>
          <w:highlight w:val="none"/>
          <w:lang w:eastAsia="zh-CN"/>
        </w:rPr>
        <w:t>磋商</w:t>
      </w:r>
      <w:r>
        <w:rPr>
          <w:rFonts w:hint="eastAsia" w:asciiTheme="minorEastAsia" w:hAnsiTheme="minorEastAsia" w:eastAsiaTheme="minorEastAsia" w:cstheme="minorEastAsia"/>
          <w:color w:val="auto"/>
          <w:spacing w:val="0"/>
          <w:position w:val="0"/>
          <w:highlight w:val="none"/>
        </w:rPr>
        <w:t>文件；2、乙方提供的</w:t>
      </w:r>
      <w:r>
        <w:rPr>
          <w:rFonts w:hint="eastAsia" w:asciiTheme="minorEastAsia" w:hAnsiTheme="minorEastAsia" w:cstheme="minorEastAsia"/>
          <w:color w:val="auto"/>
          <w:spacing w:val="0"/>
          <w:position w:val="0"/>
          <w:highlight w:val="none"/>
          <w:lang w:eastAsia="zh-CN"/>
        </w:rPr>
        <w:t>响应</w:t>
      </w:r>
      <w:r>
        <w:rPr>
          <w:rFonts w:hint="eastAsia" w:asciiTheme="minorEastAsia" w:hAnsiTheme="minorEastAsia" w:eastAsiaTheme="minorEastAsia" w:cstheme="minorEastAsia"/>
          <w:color w:val="auto"/>
          <w:spacing w:val="0"/>
          <w:position w:val="0"/>
          <w:highlight w:val="none"/>
        </w:rPr>
        <w:t>文件；3、甲方提供工程清单；4、投标承诺书：5、评标记录；6、中标或成交通知书。</w:t>
      </w:r>
    </w:p>
    <w:p>
      <w:pPr>
        <w:snapToGrid w:val="0"/>
        <w:spacing w:line="360" w:lineRule="auto"/>
        <w:ind w:firstLine="422"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b/>
          <w:color w:val="auto"/>
          <w:spacing w:val="0"/>
          <w:position w:val="0"/>
          <w:highlight w:val="none"/>
        </w:rPr>
        <w:t>第十五条　</w:t>
      </w:r>
      <w:r>
        <w:rPr>
          <w:rFonts w:hint="eastAsia" w:asciiTheme="minorEastAsia" w:hAnsiTheme="minorEastAsia" w:eastAsiaTheme="minorEastAsia" w:cstheme="minorEastAsia"/>
          <w:color w:val="auto"/>
          <w:spacing w:val="0"/>
          <w:position w:val="0"/>
          <w:highlight w:val="none"/>
        </w:rPr>
        <w:t>本合同一式四份，政府采购办、政府采购中心各一份，甲乙双方各一份。（可根据需要另外增加）</w:t>
      </w:r>
    </w:p>
    <w:p>
      <w:pPr>
        <w:snapToGrid w:val="0"/>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本合同甲乙双方签字盖章后生效，自签订之日起7个工作日内，采购人应当将合同副本报同级政府采购监督管理部门备案。</w:t>
      </w:r>
    </w:p>
    <w:p>
      <w:pPr>
        <w:snapToGrid w:val="0"/>
        <w:spacing w:line="360" w:lineRule="auto"/>
        <w:ind w:firstLine="420" w:firstLineChars="20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br w:type="page"/>
      </w:r>
    </w:p>
    <w:tbl>
      <w:tblPr>
        <w:tblStyle w:val="8"/>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2"/>
        <w:gridCol w:w="4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6" w:hRule="atLeast"/>
          <w:jc w:val="center"/>
        </w:trPr>
        <w:tc>
          <w:tcPr>
            <w:tcW w:w="4502" w:type="dxa"/>
            <w:vAlign w:val="center"/>
          </w:tcPr>
          <w:p>
            <w:pPr>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甲方（章）</w:t>
            </w:r>
          </w:p>
          <w:p>
            <w:pPr>
              <w:rPr>
                <w:rFonts w:hint="eastAsia" w:asciiTheme="minorEastAsia" w:hAnsiTheme="minorEastAsia" w:eastAsiaTheme="minorEastAsia" w:cstheme="minorEastAsia"/>
                <w:color w:val="auto"/>
                <w:spacing w:val="0"/>
                <w:position w:val="0"/>
                <w:highlight w:val="none"/>
              </w:rPr>
            </w:pPr>
          </w:p>
          <w:p>
            <w:pPr>
              <w:rPr>
                <w:rFonts w:hint="eastAsia" w:asciiTheme="minorEastAsia" w:hAnsiTheme="minorEastAsia" w:eastAsiaTheme="minorEastAsia" w:cstheme="minorEastAsia"/>
                <w:color w:val="auto"/>
                <w:spacing w:val="0"/>
                <w:position w:val="0"/>
                <w:highlight w:val="none"/>
              </w:rPr>
            </w:pPr>
          </w:p>
          <w:p>
            <w:pPr>
              <w:rPr>
                <w:rFonts w:hint="eastAsia" w:asciiTheme="minorEastAsia" w:hAnsiTheme="minorEastAsia" w:eastAsiaTheme="minorEastAsia" w:cstheme="minorEastAsia"/>
                <w:color w:val="auto"/>
                <w:spacing w:val="0"/>
                <w:position w:val="0"/>
                <w:highlight w:val="none"/>
              </w:rPr>
            </w:pPr>
          </w:p>
          <w:p>
            <w:pPr>
              <w:rPr>
                <w:rFonts w:hint="eastAsia" w:asciiTheme="minorEastAsia" w:hAnsiTheme="minorEastAsia" w:eastAsiaTheme="minorEastAsia" w:cstheme="minorEastAsia"/>
                <w:color w:val="auto"/>
                <w:spacing w:val="0"/>
                <w:position w:val="0"/>
                <w:highlight w:val="none"/>
              </w:rPr>
            </w:pPr>
          </w:p>
          <w:p>
            <w:pPr>
              <w:ind w:firstLine="1785" w:firstLineChars="85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年   月   日</w:t>
            </w:r>
          </w:p>
        </w:tc>
        <w:tc>
          <w:tcPr>
            <w:tcW w:w="4502" w:type="dxa"/>
            <w:vAlign w:val="center"/>
          </w:tcPr>
          <w:p>
            <w:pPr>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乙方（章）</w:t>
            </w:r>
          </w:p>
          <w:p>
            <w:pPr>
              <w:rPr>
                <w:rFonts w:hint="eastAsia" w:asciiTheme="minorEastAsia" w:hAnsiTheme="minorEastAsia" w:eastAsiaTheme="minorEastAsia" w:cstheme="minorEastAsia"/>
                <w:color w:val="auto"/>
                <w:spacing w:val="0"/>
                <w:position w:val="0"/>
                <w:highlight w:val="none"/>
              </w:rPr>
            </w:pPr>
          </w:p>
          <w:p>
            <w:pPr>
              <w:rPr>
                <w:rFonts w:hint="eastAsia" w:asciiTheme="minorEastAsia" w:hAnsiTheme="minorEastAsia" w:eastAsiaTheme="minorEastAsia" w:cstheme="minorEastAsia"/>
                <w:color w:val="auto"/>
                <w:spacing w:val="0"/>
                <w:position w:val="0"/>
                <w:highlight w:val="none"/>
              </w:rPr>
            </w:pPr>
          </w:p>
          <w:p>
            <w:pPr>
              <w:rPr>
                <w:rFonts w:hint="eastAsia" w:asciiTheme="minorEastAsia" w:hAnsiTheme="minorEastAsia" w:eastAsiaTheme="minorEastAsia" w:cstheme="minorEastAsia"/>
                <w:color w:val="auto"/>
                <w:spacing w:val="0"/>
                <w:position w:val="0"/>
                <w:highlight w:val="none"/>
              </w:rPr>
            </w:pPr>
          </w:p>
          <w:p>
            <w:pPr>
              <w:rPr>
                <w:rFonts w:hint="eastAsia" w:asciiTheme="minorEastAsia" w:hAnsiTheme="minorEastAsia" w:eastAsiaTheme="minorEastAsia" w:cstheme="minorEastAsia"/>
                <w:color w:val="auto"/>
                <w:spacing w:val="0"/>
                <w:position w:val="0"/>
                <w:highlight w:val="none"/>
              </w:rPr>
            </w:pPr>
          </w:p>
          <w:p>
            <w:pPr>
              <w:ind w:firstLine="1785" w:firstLineChars="85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02" w:type="dxa"/>
            <w:vAlign w:val="center"/>
          </w:tcPr>
          <w:p>
            <w:pPr>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单位地址：</w:t>
            </w:r>
          </w:p>
        </w:tc>
        <w:tc>
          <w:tcPr>
            <w:tcW w:w="4502" w:type="dxa"/>
            <w:vAlign w:val="center"/>
          </w:tcPr>
          <w:p>
            <w:pPr>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02" w:type="dxa"/>
            <w:vAlign w:val="center"/>
          </w:tcPr>
          <w:p>
            <w:pPr>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法定代表人：</w:t>
            </w:r>
          </w:p>
        </w:tc>
        <w:tc>
          <w:tcPr>
            <w:tcW w:w="4502" w:type="dxa"/>
            <w:vAlign w:val="center"/>
          </w:tcPr>
          <w:p>
            <w:pPr>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02" w:type="dxa"/>
            <w:vAlign w:val="center"/>
          </w:tcPr>
          <w:p>
            <w:pPr>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委托代理人：</w:t>
            </w:r>
          </w:p>
        </w:tc>
        <w:tc>
          <w:tcPr>
            <w:tcW w:w="4502" w:type="dxa"/>
            <w:vAlign w:val="center"/>
          </w:tcPr>
          <w:p>
            <w:pPr>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02" w:type="dxa"/>
            <w:vAlign w:val="center"/>
          </w:tcPr>
          <w:p>
            <w:pPr>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电话：</w:t>
            </w:r>
          </w:p>
        </w:tc>
        <w:tc>
          <w:tcPr>
            <w:tcW w:w="4502" w:type="dxa"/>
            <w:vAlign w:val="center"/>
          </w:tcPr>
          <w:p>
            <w:pPr>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02" w:type="dxa"/>
            <w:vAlign w:val="center"/>
          </w:tcPr>
          <w:p>
            <w:pPr>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电子邮箱：</w:t>
            </w:r>
          </w:p>
        </w:tc>
        <w:tc>
          <w:tcPr>
            <w:tcW w:w="4502" w:type="dxa"/>
            <w:vAlign w:val="center"/>
          </w:tcPr>
          <w:p>
            <w:pPr>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02" w:type="dxa"/>
            <w:vAlign w:val="center"/>
          </w:tcPr>
          <w:p>
            <w:pPr>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开户银行：</w:t>
            </w:r>
          </w:p>
        </w:tc>
        <w:tc>
          <w:tcPr>
            <w:tcW w:w="4502" w:type="dxa"/>
            <w:vAlign w:val="center"/>
          </w:tcPr>
          <w:p>
            <w:pPr>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02" w:type="dxa"/>
            <w:vAlign w:val="center"/>
          </w:tcPr>
          <w:p>
            <w:pPr>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账号：</w:t>
            </w:r>
          </w:p>
        </w:tc>
        <w:tc>
          <w:tcPr>
            <w:tcW w:w="4502" w:type="dxa"/>
            <w:vAlign w:val="center"/>
          </w:tcPr>
          <w:p>
            <w:pPr>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02" w:type="dxa"/>
            <w:vAlign w:val="center"/>
          </w:tcPr>
          <w:p>
            <w:pPr>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邮政编码：</w:t>
            </w:r>
          </w:p>
        </w:tc>
        <w:tc>
          <w:tcPr>
            <w:tcW w:w="4502" w:type="dxa"/>
            <w:vAlign w:val="center"/>
          </w:tcPr>
          <w:p>
            <w:pPr>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邮政编码：</w:t>
            </w:r>
          </w:p>
        </w:tc>
      </w:tr>
    </w:tbl>
    <w:p>
      <w:pPr>
        <w:snapToGrid w:val="0"/>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br w:type="page"/>
      </w:r>
    </w:p>
    <w:tbl>
      <w:tblPr>
        <w:tblStyle w:val="8"/>
        <w:tblW w:w="8940" w:type="dxa"/>
        <w:jc w:val="center"/>
        <w:tblLayout w:type="fixed"/>
        <w:tblCellMar>
          <w:top w:w="0" w:type="dxa"/>
          <w:left w:w="108" w:type="dxa"/>
          <w:bottom w:w="0" w:type="dxa"/>
          <w:right w:w="108" w:type="dxa"/>
        </w:tblCellMar>
      </w:tblPr>
      <w:tblGrid>
        <w:gridCol w:w="1305"/>
        <w:gridCol w:w="1819"/>
        <w:gridCol w:w="1449"/>
        <w:gridCol w:w="1745"/>
        <w:gridCol w:w="236"/>
        <w:gridCol w:w="1193"/>
        <w:gridCol w:w="1193"/>
      </w:tblGrid>
      <w:tr>
        <w:tblPrEx>
          <w:tblCellMar>
            <w:top w:w="0" w:type="dxa"/>
            <w:left w:w="108" w:type="dxa"/>
            <w:bottom w:w="0" w:type="dxa"/>
            <w:right w:w="108" w:type="dxa"/>
          </w:tblCellMar>
        </w:tblPrEx>
        <w:trPr>
          <w:trHeight w:val="450" w:hRule="atLeast"/>
          <w:jc w:val="center"/>
        </w:trPr>
        <w:tc>
          <w:tcPr>
            <w:tcW w:w="1305" w:type="dxa"/>
            <w:tcBorders>
              <w:top w:val="nil"/>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819" w:type="dxa"/>
            <w:tcBorders>
              <w:top w:val="nil"/>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3430" w:type="dxa"/>
            <w:gridSpan w:val="3"/>
            <w:tcBorders>
              <w:top w:val="nil"/>
              <w:left w:val="nil"/>
              <w:bottom w:val="nil"/>
              <w:right w:val="nil"/>
            </w:tcBorders>
            <w:vAlign w:val="center"/>
          </w:tcPr>
          <w:p>
            <w:pPr>
              <w:widowControl/>
              <w:rPr>
                <w:rFonts w:hint="eastAsia" w:asciiTheme="minorEastAsia" w:hAnsiTheme="minorEastAsia" w:eastAsiaTheme="minorEastAsia" w:cstheme="minorEastAsia"/>
                <w:b/>
                <w:color w:val="auto"/>
                <w:spacing w:val="0"/>
                <w:position w:val="0"/>
                <w:sz w:val="36"/>
                <w:highlight w:val="none"/>
              </w:rPr>
            </w:pPr>
            <w:r>
              <w:rPr>
                <w:rFonts w:hint="eastAsia" w:asciiTheme="minorEastAsia" w:hAnsiTheme="minorEastAsia" w:eastAsiaTheme="minorEastAsia" w:cstheme="minorEastAsia"/>
                <w:b/>
                <w:color w:val="auto"/>
                <w:spacing w:val="0"/>
                <w:position w:val="0"/>
                <w:sz w:val="36"/>
                <w:highlight w:val="none"/>
              </w:rPr>
              <w:t xml:space="preserve">  合 同 附 件</w:t>
            </w:r>
          </w:p>
        </w:tc>
        <w:tc>
          <w:tcPr>
            <w:tcW w:w="1193" w:type="dxa"/>
            <w:tcBorders>
              <w:top w:val="nil"/>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193" w:type="dxa"/>
            <w:tcBorders>
              <w:top w:val="nil"/>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r>
      <w:tr>
        <w:tblPrEx>
          <w:tblCellMar>
            <w:top w:w="0" w:type="dxa"/>
            <w:left w:w="108" w:type="dxa"/>
            <w:bottom w:w="0" w:type="dxa"/>
            <w:right w:w="108" w:type="dxa"/>
          </w:tblCellMar>
        </w:tblPrEx>
        <w:trPr>
          <w:trHeight w:val="345" w:hRule="atLeast"/>
          <w:jc w:val="center"/>
        </w:trPr>
        <w:tc>
          <w:tcPr>
            <w:tcW w:w="4573" w:type="dxa"/>
            <w:gridSpan w:val="3"/>
            <w:tcBorders>
              <w:top w:val="single" w:color="auto" w:sz="4" w:space="0"/>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1、供应商承诺具体事项：</w:t>
            </w:r>
          </w:p>
        </w:tc>
        <w:tc>
          <w:tcPr>
            <w:tcW w:w="1745" w:type="dxa"/>
            <w:tcBorders>
              <w:top w:val="single" w:color="auto" w:sz="4" w:space="0"/>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236" w:type="dxa"/>
            <w:tcBorders>
              <w:top w:val="single" w:color="auto" w:sz="4" w:space="0"/>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193" w:type="dxa"/>
            <w:tcBorders>
              <w:top w:val="single" w:color="auto" w:sz="4" w:space="0"/>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193" w:type="dxa"/>
            <w:tcBorders>
              <w:top w:val="single" w:color="auto" w:sz="4" w:space="0"/>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r>
      <w:tr>
        <w:tblPrEx>
          <w:tblCellMar>
            <w:top w:w="0" w:type="dxa"/>
            <w:left w:w="108" w:type="dxa"/>
            <w:bottom w:w="0" w:type="dxa"/>
            <w:right w:w="108" w:type="dxa"/>
          </w:tblCellMar>
        </w:tblPrEx>
        <w:trPr>
          <w:trHeight w:val="330" w:hRule="atLeast"/>
          <w:jc w:val="center"/>
        </w:trPr>
        <w:tc>
          <w:tcPr>
            <w:tcW w:w="130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81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44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74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236"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r>
      <w:tr>
        <w:tblPrEx>
          <w:tblCellMar>
            <w:top w:w="0" w:type="dxa"/>
            <w:left w:w="108" w:type="dxa"/>
            <w:bottom w:w="0" w:type="dxa"/>
            <w:right w:w="108" w:type="dxa"/>
          </w:tblCellMar>
        </w:tblPrEx>
        <w:trPr>
          <w:trHeight w:val="330" w:hRule="atLeast"/>
          <w:jc w:val="center"/>
        </w:trPr>
        <w:tc>
          <w:tcPr>
            <w:tcW w:w="130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81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44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74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236"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r>
      <w:tr>
        <w:tblPrEx>
          <w:tblCellMar>
            <w:top w:w="0" w:type="dxa"/>
            <w:left w:w="108" w:type="dxa"/>
            <w:bottom w:w="0" w:type="dxa"/>
            <w:right w:w="108" w:type="dxa"/>
          </w:tblCellMar>
        </w:tblPrEx>
        <w:trPr>
          <w:trHeight w:val="330" w:hRule="atLeast"/>
          <w:jc w:val="center"/>
        </w:trPr>
        <w:tc>
          <w:tcPr>
            <w:tcW w:w="130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81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44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74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236"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r>
      <w:tr>
        <w:tblPrEx>
          <w:tblCellMar>
            <w:top w:w="0" w:type="dxa"/>
            <w:left w:w="108" w:type="dxa"/>
            <w:bottom w:w="0" w:type="dxa"/>
            <w:right w:w="108" w:type="dxa"/>
          </w:tblCellMar>
        </w:tblPrEx>
        <w:trPr>
          <w:trHeight w:val="315" w:hRule="atLeast"/>
          <w:jc w:val="center"/>
        </w:trPr>
        <w:tc>
          <w:tcPr>
            <w:tcW w:w="130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81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44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74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236"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r>
      <w:tr>
        <w:tblPrEx>
          <w:tblCellMar>
            <w:top w:w="0" w:type="dxa"/>
            <w:left w:w="108" w:type="dxa"/>
            <w:bottom w:w="0" w:type="dxa"/>
            <w:right w:w="108" w:type="dxa"/>
          </w:tblCellMar>
        </w:tblPrEx>
        <w:trPr>
          <w:trHeight w:val="330" w:hRule="atLeast"/>
          <w:jc w:val="center"/>
        </w:trPr>
        <w:tc>
          <w:tcPr>
            <w:tcW w:w="4573" w:type="dxa"/>
            <w:gridSpan w:val="3"/>
            <w:tcBorders>
              <w:top w:val="single" w:color="auto" w:sz="4" w:space="0"/>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2、售后服务具体事项：</w:t>
            </w:r>
          </w:p>
        </w:tc>
        <w:tc>
          <w:tcPr>
            <w:tcW w:w="174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236"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r>
      <w:tr>
        <w:tblPrEx>
          <w:tblCellMar>
            <w:top w:w="0" w:type="dxa"/>
            <w:left w:w="108" w:type="dxa"/>
            <w:bottom w:w="0" w:type="dxa"/>
            <w:right w:w="108" w:type="dxa"/>
          </w:tblCellMar>
        </w:tblPrEx>
        <w:trPr>
          <w:trHeight w:val="315" w:hRule="atLeast"/>
          <w:jc w:val="center"/>
        </w:trPr>
        <w:tc>
          <w:tcPr>
            <w:tcW w:w="130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81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44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74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236"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r>
      <w:tr>
        <w:tblPrEx>
          <w:tblCellMar>
            <w:top w:w="0" w:type="dxa"/>
            <w:left w:w="108" w:type="dxa"/>
            <w:bottom w:w="0" w:type="dxa"/>
            <w:right w:w="108" w:type="dxa"/>
          </w:tblCellMar>
        </w:tblPrEx>
        <w:trPr>
          <w:trHeight w:val="315" w:hRule="atLeast"/>
          <w:jc w:val="center"/>
        </w:trPr>
        <w:tc>
          <w:tcPr>
            <w:tcW w:w="130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81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44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74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236"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r>
      <w:tr>
        <w:tblPrEx>
          <w:tblCellMar>
            <w:top w:w="0" w:type="dxa"/>
            <w:left w:w="108" w:type="dxa"/>
            <w:bottom w:w="0" w:type="dxa"/>
            <w:right w:w="108" w:type="dxa"/>
          </w:tblCellMar>
        </w:tblPrEx>
        <w:trPr>
          <w:trHeight w:val="315" w:hRule="atLeast"/>
          <w:jc w:val="center"/>
        </w:trPr>
        <w:tc>
          <w:tcPr>
            <w:tcW w:w="130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81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44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74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236"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r>
      <w:tr>
        <w:tblPrEx>
          <w:tblCellMar>
            <w:top w:w="0" w:type="dxa"/>
            <w:left w:w="108" w:type="dxa"/>
            <w:bottom w:w="0" w:type="dxa"/>
            <w:right w:w="108" w:type="dxa"/>
          </w:tblCellMar>
        </w:tblPrEx>
        <w:trPr>
          <w:trHeight w:val="315" w:hRule="atLeast"/>
          <w:jc w:val="center"/>
        </w:trPr>
        <w:tc>
          <w:tcPr>
            <w:tcW w:w="130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81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44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74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236"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r>
      <w:tr>
        <w:tblPrEx>
          <w:tblCellMar>
            <w:top w:w="0" w:type="dxa"/>
            <w:left w:w="108" w:type="dxa"/>
            <w:bottom w:w="0" w:type="dxa"/>
            <w:right w:w="108" w:type="dxa"/>
          </w:tblCellMar>
        </w:tblPrEx>
        <w:trPr>
          <w:trHeight w:val="330" w:hRule="atLeast"/>
          <w:jc w:val="center"/>
        </w:trPr>
        <w:tc>
          <w:tcPr>
            <w:tcW w:w="3124" w:type="dxa"/>
            <w:gridSpan w:val="2"/>
            <w:tcBorders>
              <w:top w:val="single" w:color="auto" w:sz="4" w:space="0"/>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3、保修期责任：</w:t>
            </w:r>
          </w:p>
        </w:tc>
        <w:tc>
          <w:tcPr>
            <w:tcW w:w="144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74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236"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r>
      <w:tr>
        <w:tblPrEx>
          <w:tblCellMar>
            <w:top w:w="0" w:type="dxa"/>
            <w:left w:w="108" w:type="dxa"/>
            <w:bottom w:w="0" w:type="dxa"/>
            <w:right w:w="108" w:type="dxa"/>
          </w:tblCellMar>
        </w:tblPrEx>
        <w:trPr>
          <w:trHeight w:val="330" w:hRule="atLeast"/>
          <w:jc w:val="center"/>
        </w:trPr>
        <w:tc>
          <w:tcPr>
            <w:tcW w:w="130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81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44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74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236"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r>
      <w:tr>
        <w:tblPrEx>
          <w:tblCellMar>
            <w:top w:w="0" w:type="dxa"/>
            <w:left w:w="108" w:type="dxa"/>
            <w:bottom w:w="0" w:type="dxa"/>
            <w:right w:w="108" w:type="dxa"/>
          </w:tblCellMar>
        </w:tblPrEx>
        <w:trPr>
          <w:trHeight w:val="330" w:hRule="atLeast"/>
          <w:jc w:val="center"/>
        </w:trPr>
        <w:tc>
          <w:tcPr>
            <w:tcW w:w="130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81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44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74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236"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r>
      <w:tr>
        <w:tblPrEx>
          <w:tblCellMar>
            <w:top w:w="0" w:type="dxa"/>
            <w:left w:w="108" w:type="dxa"/>
            <w:bottom w:w="0" w:type="dxa"/>
            <w:right w:w="108" w:type="dxa"/>
          </w:tblCellMar>
        </w:tblPrEx>
        <w:trPr>
          <w:trHeight w:val="330" w:hRule="atLeast"/>
          <w:jc w:val="center"/>
        </w:trPr>
        <w:tc>
          <w:tcPr>
            <w:tcW w:w="130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81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44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74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236"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r>
      <w:tr>
        <w:tblPrEx>
          <w:tblCellMar>
            <w:top w:w="0" w:type="dxa"/>
            <w:left w:w="108" w:type="dxa"/>
            <w:bottom w:w="0" w:type="dxa"/>
            <w:right w:w="108" w:type="dxa"/>
          </w:tblCellMar>
        </w:tblPrEx>
        <w:trPr>
          <w:trHeight w:val="315" w:hRule="atLeast"/>
          <w:jc w:val="center"/>
        </w:trPr>
        <w:tc>
          <w:tcPr>
            <w:tcW w:w="130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81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44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74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236"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r>
      <w:tr>
        <w:tblPrEx>
          <w:tblCellMar>
            <w:top w:w="0" w:type="dxa"/>
            <w:left w:w="108" w:type="dxa"/>
            <w:bottom w:w="0" w:type="dxa"/>
            <w:right w:w="108" w:type="dxa"/>
          </w:tblCellMar>
        </w:tblPrEx>
        <w:trPr>
          <w:trHeight w:val="330" w:hRule="atLeast"/>
          <w:jc w:val="center"/>
        </w:trPr>
        <w:tc>
          <w:tcPr>
            <w:tcW w:w="3124" w:type="dxa"/>
            <w:gridSpan w:val="2"/>
            <w:tcBorders>
              <w:top w:val="single" w:color="auto" w:sz="4" w:space="0"/>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4、其他具体事项：</w:t>
            </w:r>
          </w:p>
        </w:tc>
        <w:tc>
          <w:tcPr>
            <w:tcW w:w="144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74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236"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r>
      <w:tr>
        <w:tblPrEx>
          <w:tblCellMar>
            <w:top w:w="0" w:type="dxa"/>
            <w:left w:w="108" w:type="dxa"/>
            <w:bottom w:w="0" w:type="dxa"/>
            <w:right w:w="108" w:type="dxa"/>
          </w:tblCellMar>
        </w:tblPrEx>
        <w:trPr>
          <w:trHeight w:val="315" w:hRule="atLeast"/>
          <w:jc w:val="center"/>
        </w:trPr>
        <w:tc>
          <w:tcPr>
            <w:tcW w:w="130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81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44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74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236"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r>
      <w:tr>
        <w:tblPrEx>
          <w:tblCellMar>
            <w:top w:w="0" w:type="dxa"/>
            <w:left w:w="108" w:type="dxa"/>
            <w:bottom w:w="0" w:type="dxa"/>
            <w:right w:w="108" w:type="dxa"/>
          </w:tblCellMar>
        </w:tblPrEx>
        <w:trPr>
          <w:trHeight w:val="315" w:hRule="atLeast"/>
          <w:jc w:val="center"/>
        </w:trPr>
        <w:tc>
          <w:tcPr>
            <w:tcW w:w="130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81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44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74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236"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r>
      <w:tr>
        <w:tblPrEx>
          <w:tblCellMar>
            <w:top w:w="0" w:type="dxa"/>
            <w:left w:w="108" w:type="dxa"/>
            <w:bottom w:w="0" w:type="dxa"/>
            <w:right w:w="108" w:type="dxa"/>
          </w:tblCellMar>
        </w:tblPrEx>
        <w:trPr>
          <w:trHeight w:val="315" w:hRule="atLeast"/>
          <w:jc w:val="center"/>
        </w:trPr>
        <w:tc>
          <w:tcPr>
            <w:tcW w:w="130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81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44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74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236"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r>
      <w:tr>
        <w:tblPrEx>
          <w:tblCellMar>
            <w:top w:w="0" w:type="dxa"/>
            <w:left w:w="108" w:type="dxa"/>
            <w:bottom w:w="0" w:type="dxa"/>
            <w:right w:w="108" w:type="dxa"/>
          </w:tblCellMar>
        </w:tblPrEx>
        <w:trPr>
          <w:trHeight w:val="330" w:hRule="atLeast"/>
          <w:jc w:val="center"/>
        </w:trPr>
        <w:tc>
          <w:tcPr>
            <w:tcW w:w="130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81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449"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74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236"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193"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r>
      <w:tr>
        <w:tblPrEx>
          <w:tblCellMar>
            <w:top w:w="0" w:type="dxa"/>
            <w:left w:w="108" w:type="dxa"/>
            <w:bottom w:w="0" w:type="dxa"/>
            <w:right w:w="108" w:type="dxa"/>
          </w:tblCellMar>
        </w:tblPrEx>
        <w:trPr>
          <w:trHeight w:val="285" w:hRule="atLeast"/>
          <w:jc w:val="center"/>
        </w:trPr>
        <w:tc>
          <w:tcPr>
            <w:tcW w:w="1305" w:type="dxa"/>
            <w:tcBorders>
              <w:top w:val="single" w:color="auto" w:sz="4" w:space="0"/>
              <w:left w:val="single" w:color="auto" w:sz="4" w:space="0"/>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819" w:type="dxa"/>
            <w:tcBorders>
              <w:top w:val="single" w:color="auto" w:sz="4" w:space="0"/>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449" w:type="dxa"/>
            <w:tcBorders>
              <w:top w:val="single" w:color="auto" w:sz="4" w:space="0"/>
              <w:left w:val="nil"/>
              <w:bottom w:val="nil"/>
              <w:right w:val="single" w:color="auto" w:sz="4" w:space="0"/>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745" w:type="dxa"/>
            <w:tcBorders>
              <w:top w:val="single" w:color="auto" w:sz="4" w:space="0"/>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236" w:type="dxa"/>
            <w:tcBorders>
              <w:top w:val="single" w:color="auto" w:sz="4" w:space="0"/>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193" w:type="dxa"/>
            <w:tcBorders>
              <w:top w:val="single" w:color="auto" w:sz="4" w:space="0"/>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193" w:type="dxa"/>
            <w:tcBorders>
              <w:top w:val="single" w:color="auto" w:sz="4" w:space="0"/>
              <w:left w:val="nil"/>
              <w:bottom w:val="nil"/>
              <w:right w:val="single" w:color="auto" w:sz="4" w:space="0"/>
            </w:tcBorders>
            <w:vAlign w:val="center"/>
          </w:tcPr>
          <w:p>
            <w:pPr>
              <w:widowControl/>
              <w:rPr>
                <w:rFonts w:hint="eastAsia" w:asciiTheme="minorEastAsia" w:hAnsiTheme="minorEastAsia" w:eastAsiaTheme="minorEastAsia" w:cstheme="minorEastAsia"/>
                <w:color w:val="auto"/>
                <w:spacing w:val="0"/>
                <w:position w:val="0"/>
                <w:highlight w:val="none"/>
              </w:rPr>
            </w:pPr>
          </w:p>
        </w:tc>
      </w:tr>
      <w:tr>
        <w:tblPrEx>
          <w:tblCellMar>
            <w:top w:w="0" w:type="dxa"/>
            <w:left w:w="108" w:type="dxa"/>
            <w:bottom w:w="0" w:type="dxa"/>
            <w:right w:w="108" w:type="dxa"/>
          </w:tblCellMar>
        </w:tblPrEx>
        <w:trPr>
          <w:trHeight w:val="285" w:hRule="atLeast"/>
          <w:jc w:val="center"/>
        </w:trPr>
        <w:tc>
          <w:tcPr>
            <w:tcW w:w="1305" w:type="dxa"/>
            <w:tcBorders>
              <w:top w:val="nil"/>
              <w:left w:val="single" w:color="auto" w:sz="4" w:space="0"/>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甲方(章)</w:t>
            </w:r>
          </w:p>
        </w:tc>
        <w:tc>
          <w:tcPr>
            <w:tcW w:w="1819" w:type="dxa"/>
            <w:tcBorders>
              <w:top w:val="nil"/>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449" w:type="dxa"/>
            <w:tcBorders>
              <w:top w:val="nil"/>
              <w:left w:val="nil"/>
              <w:bottom w:val="nil"/>
              <w:right w:val="single" w:color="auto" w:sz="4" w:space="0"/>
            </w:tcBorders>
            <w:vAlign w:val="center"/>
          </w:tcPr>
          <w:p>
            <w:pPr>
              <w:widowControl/>
              <w:rPr>
                <w:rFonts w:hint="eastAsia" w:asciiTheme="minorEastAsia" w:hAnsiTheme="minorEastAsia" w:eastAsiaTheme="minorEastAsia" w:cstheme="minorEastAsia"/>
                <w:color w:val="auto"/>
                <w:spacing w:val="0"/>
                <w:position w:val="0"/>
                <w:sz w:val="20"/>
                <w:highlight w:val="none"/>
              </w:rPr>
            </w:pPr>
            <w:r>
              <w:rPr>
                <w:rFonts w:hint="eastAsia" w:asciiTheme="minorEastAsia" w:hAnsiTheme="minorEastAsia" w:eastAsiaTheme="minorEastAsia" w:cstheme="minorEastAsia"/>
                <w:color w:val="auto"/>
                <w:spacing w:val="0"/>
                <w:position w:val="0"/>
                <w:sz w:val="20"/>
                <w:highlight w:val="none"/>
              </w:rPr>
              <w:t xml:space="preserve">             </w:t>
            </w:r>
          </w:p>
        </w:tc>
        <w:tc>
          <w:tcPr>
            <w:tcW w:w="1745" w:type="dxa"/>
            <w:tcBorders>
              <w:top w:val="nil"/>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乙方(章)</w:t>
            </w:r>
          </w:p>
        </w:tc>
        <w:tc>
          <w:tcPr>
            <w:tcW w:w="236" w:type="dxa"/>
            <w:tcBorders>
              <w:top w:val="nil"/>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193" w:type="dxa"/>
            <w:tcBorders>
              <w:top w:val="nil"/>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193" w:type="dxa"/>
            <w:tcBorders>
              <w:top w:val="nil"/>
              <w:left w:val="nil"/>
              <w:bottom w:val="nil"/>
              <w:right w:val="single" w:color="auto" w:sz="4" w:space="0"/>
            </w:tcBorders>
            <w:vAlign w:val="center"/>
          </w:tcPr>
          <w:p>
            <w:pPr>
              <w:widowControl/>
              <w:rPr>
                <w:rFonts w:hint="eastAsia" w:asciiTheme="minorEastAsia" w:hAnsiTheme="minorEastAsia" w:eastAsiaTheme="minorEastAsia" w:cstheme="minorEastAsia"/>
                <w:color w:val="auto"/>
                <w:spacing w:val="0"/>
                <w:position w:val="0"/>
                <w:highlight w:val="none"/>
              </w:rPr>
            </w:pPr>
          </w:p>
        </w:tc>
      </w:tr>
      <w:tr>
        <w:tblPrEx>
          <w:tblCellMar>
            <w:top w:w="0" w:type="dxa"/>
            <w:left w:w="108" w:type="dxa"/>
            <w:bottom w:w="0" w:type="dxa"/>
            <w:right w:w="108" w:type="dxa"/>
          </w:tblCellMar>
        </w:tblPrEx>
        <w:trPr>
          <w:trHeight w:val="285" w:hRule="atLeast"/>
          <w:jc w:val="center"/>
        </w:trPr>
        <w:tc>
          <w:tcPr>
            <w:tcW w:w="1305" w:type="dxa"/>
            <w:tcBorders>
              <w:top w:val="nil"/>
              <w:left w:val="single" w:color="auto" w:sz="4" w:space="0"/>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819" w:type="dxa"/>
            <w:tcBorders>
              <w:top w:val="nil"/>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449" w:type="dxa"/>
            <w:tcBorders>
              <w:top w:val="nil"/>
              <w:left w:val="nil"/>
              <w:bottom w:val="nil"/>
              <w:right w:val="single" w:color="auto" w:sz="4" w:space="0"/>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745" w:type="dxa"/>
            <w:tcBorders>
              <w:top w:val="nil"/>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236" w:type="dxa"/>
            <w:tcBorders>
              <w:top w:val="nil"/>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193" w:type="dxa"/>
            <w:tcBorders>
              <w:top w:val="nil"/>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193" w:type="dxa"/>
            <w:tcBorders>
              <w:top w:val="nil"/>
              <w:left w:val="nil"/>
              <w:bottom w:val="nil"/>
              <w:right w:val="single" w:color="auto" w:sz="4" w:space="0"/>
            </w:tcBorders>
            <w:vAlign w:val="center"/>
          </w:tcPr>
          <w:p>
            <w:pPr>
              <w:widowControl/>
              <w:rPr>
                <w:rFonts w:hint="eastAsia" w:asciiTheme="minorEastAsia" w:hAnsiTheme="minorEastAsia" w:eastAsiaTheme="minorEastAsia" w:cstheme="minorEastAsia"/>
                <w:color w:val="auto"/>
                <w:spacing w:val="0"/>
                <w:position w:val="0"/>
                <w:highlight w:val="none"/>
              </w:rPr>
            </w:pPr>
          </w:p>
        </w:tc>
      </w:tr>
      <w:tr>
        <w:tblPrEx>
          <w:tblCellMar>
            <w:top w:w="0" w:type="dxa"/>
            <w:left w:w="108" w:type="dxa"/>
            <w:bottom w:w="0" w:type="dxa"/>
            <w:right w:w="108" w:type="dxa"/>
          </w:tblCellMar>
        </w:tblPrEx>
        <w:trPr>
          <w:trHeight w:val="285" w:hRule="atLeast"/>
          <w:jc w:val="center"/>
        </w:trPr>
        <w:tc>
          <w:tcPr>
            <w:tcW w:w="1305" w:type="dxa"/>
            <w:tcBorders>
              <w:top w:val="nil"/>
              <w:left w:val="single" w:color="auto" w:sz="4" w:space="0"/>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819" w:type="dxa"/>
            <w:tcBorders>
              <w:top w:val="nil"/>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449" w:type="dxa"/>
            <w:tcBorders>
              <w:top w:val="nil"/>
              <w:left w:val="nil"/>
              <w:bottom w:val="nil"/>
              <w:right w:val="single" w:color="auto" w:sz="4" w:space="0"/>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745" w:type="dxa"/>
            <w:tcBorders>
              <w:top w:val="nil"/>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236" w:type="dxa"/>
            <w:tcBorders>
              <w:top w:val="nil"/>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193" w:type="dxa"/>
            <w:tcBorders>
              <w:top w:val="nil"/>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193" w:type="dxa"/>
            <w:tcBorders>
              <w:top w:val="nil"/>
              <w:left w:val="nil"/>
              <w:bottom w:val="nil"/>
              <w:right w:val="single" w:color="auto" w:sz="4" w:space="0"/>
            </w:tcBorders>
            <w:vAlign w:val="center"/>
          </w:tcPr>
          <w:p>
            <w:pPr>
              <w:widowControl/>
              <w:rPr>
                <w:rFonts w:hint="eastAsia" w:asciiTheme="minorEastAsia" w:hAnsiTheme="minorEastAsia" w:eastAsiaTheme="minorEastAsia" w:cstheme="minorEastAsia"/>
                <w:color w:val="auto"/>
                <w:spacing w:val="0"/>
                <w:position w:val="0"/>
                <w:highlight w:val="none"/>
              </w:rPr>
            </w:pPr>
          </w:p>
        </w:tc>
      </w:tr>
      <w:tr>
        <w:tblPrEx>
          <w:tblCellMar>
            <w:top w:w="0" w:type="dxa"/>
            <w:left w:w="108" w:type="dxa"/>
            <w:bottom w:w="0" w:type="dxa"/>
            <w:right w:w="108" w:type="dxa"/>
          </w:tblCellMar>
        </w:tblPrEx>
        <w:trPr>
          <w:trHeight w:val="285" w:hRule="atLeast"/>
          <w:jc w:val="center"/>
        </w:trPr>
        <w:tc>
          <w:tcPr>
            <w:tcW w:w="1305" w:type="dxa"/>
            <w:tcBorders>
              <w:top w:val="nil"/>
              <w:left w:val="single" w:color="auto" w:sz="4" w:space="0"/>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819" w:type="dxa"/>
            <w:tcBorders>
              <w:top w:val="nil"/>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449" w:type="dxa"/>
            <w:tcBorders>
              <w:top w:val="nil"/>
              <w:left w:val="nil"/>
              <w:bottom w:val="nil"/>
              <w:right w:val="single" w:color="auto" w:sz="4" w:space="0"/>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1745" w:type="dxa"/>
            <w:tcBorders>
              <w:top w:val="nil"/>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236" w:type="dxa"/>
            <w:tcBorders>
              <w:top w:val="nil"/>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193" w:type="dxa"/>
            <w:tcBorders>
              <w:top w:val="nil"/>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193" w:type="dxa"/>
            <w:tcBorders>
              <w:top w:val="nil"/>
              <w:left w:val="nil"/>
              <w:bottom w:val="nil"/>
              <w:right w:val="single" w:color="auto" w:sz="4" w:space="0"/>
            </w:tcBorders>
            <w:vAlign w:val="center"/>
          </w:tcPr>
          <w:p>
            <w:pPr>
              <w:widowControl/>
              <w:rPr>
                <w:rFonts w:hint="eastAsia" w:asciiTheme="minorEastAsia" w:hAnsiTheme="minorEastAsia" w:eastAsiaTheme="minorEastAsia" w:cstheme="minorEastAsia"/>
                <w:color w:val="auto"/>
                <w:spacing w:val="0"/>
                <w:position w:val="0"/>
                <w:highlight w:val="none"/>
              </w:rPr>
            </w:pPr>
          </w:p>
        </w:tc>
      </w:tr>
      <w:tr>
        <w:tblPrEx>
          <w:tblCellMar>
            <w:top w:w="0" w:type="dxa"/>
            <w:left w:w="108" w:type="dxa"/>
            <w:bottom w:w="0" w:type="dxa"/>
            <w:right w:w="108" w:type="dxa"/>
          </w:tblCellMar>
        </w:tblPrEx>
        <w:trPr>
          <w:trHeight w:val="985" w:hRule="atLeast"/>
          <w:jc w:val="center"/>
        </w:trPr>
        <w:tc>
          <w:tcPr>
            <w:tcW w:w="1305" w:type="dxa"/>
            <w:tcBorders>
              <w:top w:val="nil"/>
              <w:left w:val="single" w:color="auto" w:sz="4" w:space="0"/>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3268" w:type="dxa"/>
            <w:gridSpan w:val="2"/>
            <w:tcBorders>
              <w:top w:val="nil"/>
              <w:left w:val="nil"/>
              <w:bottom w:val="single" w:color="auto" w:sz="4" w:space="0"/>
              <w:right w:val="single" w:color="000000" w:sz="4" w:space="0"/>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xml:space="preserve">    年   月  日</w:t>
            </w:r>
          </w:p>
        </w:tc>
        <w:tc>
          <w:tcPr>
            <w:tcW w:w="1745" w:type="dxa"/>
            <w:tcBorders>
              <w:top w:val="nil"/>
              <w:left w:val="nil"/>
              <w:bottom w:val="single" w:color="auto" w:sz="4" w:space="0"/>
              <w:right w:val="nil"/>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w:t>
            </w:r>
          </w:p>
        </w:tc>
        <w:tc>
          <w:tcPr>
            <w:tcW w:w="2622" w:type="dxa"/>
            <w:gridSpan w:val="3"/>
            <w:tcBorders>
              <w:top w:val="nil"/>
              <w:left w:val="nil"/>
              <w:bottom w:val="single" w:color="auto" w:sz="4" w:space="0"/>
              <w:right w:val="single" w:color="000000" w:sz="4" w:space="0"/>
            </w:tcBorders>
            <w:vAlign w:val="center"/>
          </w:tcPr>
          <w:p>
            <w:pPr>
              <w:widowControl/>
              <w:rPr>
                <w:rFonts w:hint="eastAsia" w:asciiTheme="minorEastAsia" w:hAnsiTheme="minorEastAsia" w:eastAsiaTheme="minorEastAsia" w:cstheme="minorEastAsia"/>
                <w:color w:val="auto"/>
                <w:spacing w:val="0"/>
                <w:position w:val="0"/>
                <w:highlight w:val="none"/>
              </w:rPr>
            </w:pPr>
            <w:r>
              <w:rPr>
                <w:rFonts w:hint="eastAsia" w:asciiTheme="minorEastAsia" w:hAnsiTheme="minorEastAsia" w:eastAsiaTheme="minorEastAsia" w:cstheme="minorEastAsia"/>
                <w:color w:val="auto"/>
                <w:spacing w:val="0"/>
                <w:position w:val="0"/>
                <w:highlight w:val="none"/>
              </w:rPr>
              <w:t xml:space="preserve">        年   月   日</w:t>
            </w:r>
          </w:p>
        </w:tc>
      </w:tr>
      <w:tr>
        <w:tblPrEx>
          <w:tblCellMar>
            <w:top w:w="0" w:type="dxa"/>
            <w:left w:w="108" w:type="dxa"/>
            <w:bottom w:w="0" w:type="dxa"/>
            <w:right w:w="108" w:type="dxa"/>
          </w:tblCellMar>
        </w:tblPrEx>
        <w:trPr>
          <w:trHeight w:val="298" w:hRule="atLeast"/>
          <w:jc w:val="center"/>
        </w:trPr>
        <w:tc>
          <w:tcPr>
            <w:tcW w:w="1305" w:type="dxa"/>
            <w:tcBorders>
              <w:top w:val="single" w:color="auto" w:sz="4" w:space="0"/>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819" w:type="dxa"/>
            <w:tcBorders>
              <w:top w:val="single" w:color="auto" w:sz="4" w:space="0"/>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1449" w:type="dxa"/>
            <w:tcBorders>
              <w:top w:val="single" w:color="auto" w:sz="4" w:space="0"/>
              <w:left w:val="nil"/>
              <w:bottom w:val="nil"/>
              <w:right w:val="nil"/>
            </w:tcBorders>
            <w:vAlign w:val="center"/>
          </w:tcPr>
          <w:p>
            <w:pPr>
              <w:widowControl/>
              <w:rPr>
                <w:rFonts w:hint="eastAsia" w:asciiTheme="minorEastAsia" w:hAnsiTheme="minorEastAsia" w:eastAsiaTheme="minorEastAsia" w:cstheme="minorEastAsia"/>
                <w:color w:val="auto"/>
                <w:spacing w:val="0"/>
                <w:position w:val="0"/>
                <w:highlight w:val="none"/>
              </w:rPr>
            </w:pPr>
          </w:p>
        </w:tc>
        <w:tc>
          <w:tcPr>
            <w:tcW w:w="4367" w:type="dxa"/>
            <w:gridSpan w:val="4"/>
            <w:tcBorders>
              <w:top w:val="single" w:color="auto" w:sz="4" w:space="0"/>
              <w:left w:val="nil"/>
              <w:bottom w:val="nil"/>
              <w:right w:val="nil"/>
            </w:tcBorders>
            <w:vAlign w:val="center"/>
          </w:tcPr>
          <w:p>
            <w:pPr>
              <w:widowControl/>
              <w:rPr>
                <w:rFonts w:hint="eastAsia" w:asciiTheme="minorEastAsia" w:hAnsiTheme="minorEastAsia" w:eastAsiaTheme="minorEastAsia" w:cstheme="minorEastAsia"/>
                <w:color w:val="auto"/>
                <w:spacing w:val="0"/>
                <w:position w:val="0"/>
                <w:sz w:val="20"/>
                <w:highlight w:val="none"/>
              </w:rPr>
            </w:pPr>
            <w:r>
              <w:rPr>
                <w:rFonts w:hint="eastAsia" w:asciiTheme="minorEastAsia" w:hAnsiTheme="minorEastAsia" w:eastAsiaTheme="minorEastAsia" w:cstheme="minorEastAsia"/>
                <w:color w:val="auto"/>
                <w:spacing w:val="0"/>
                <w:position w:val="0"/>
                <w:sz w:val="20"/>
                <w:highlight w:val="none"/>
              </w:rPr>
              <w:t xml:space="preserve">      注：售后服务事项填不下时可另加附页</w:t>
            </w:r>
          </w:p>
        </w:tc>
      </w:tr>
    </w:tbl>
    <w:p>
      <w:pPr>
        <w:keepNext w:val="0"/>
        <w:keepLines w:val="0"/>
        <w:widowControl/>
        <w:suppressLineNumbers w:val="0"/>
        <w:spacing w:before="0" w:beforeAutospacing="0" w:after="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bCs w:val="0"/>
          <w:i w:val="0"/>
          <w:iCs w:val="0"/>
          <w:caps w:val="0"/>
          <w:color w:val="666666"/>
          <w:spacing w:val="0"/>
          <w:sz w:val="24"/>
          <w:szCs w:val="24"/>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kern w:val="0"/>
          <w:sz w:val="36"/>
          <w:szCs w:val="36"/>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val="0"/>
          <w:bCs w:val="0"/>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36"/>
          <w:szCs w:val="36"/>
          <w:lang w:val="en-US" w:eastAsia="zh-CN" w:bidi="ar"/>
        </w:rPr>
        <w:t>第六章 响应文件格式与要求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bCs/>
          <w:i w:val="0"/>
          <w:iCs w:val="0"/>
          <w:caps w:val="0"/>
          <w:color w:val="666666"/>
          <w:spacing w:val="0"/>
          <w:sz w:val="24"/>
          <w:szCs w:val="24"/>
        </w:rPr>
        <w:t>       《响应文件格式》是参加竞争性磋商供应商的部分响应文件格式，请参照这些格式编制响应文件。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bCs w:val="0"/>
          <w:i w:val="0"/>
          <w:iCs w:val="0"/>
          <w:caps w:val="0"/>
          <w:color w:val="666666"/>
          <w:spacing w:val="0"/>
          <w:sz w:val="24"/>
          <w:szCs w:val="24"/>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lang w:val="en-US" w:eastAsia="zh-CN" w:bidi="ar"/>
        </w:rPr>
        <w:t>一、响应文件封面格式</w:t>
      </w:r>
    </w:p>
    <w:p>
      <w:pPr>
        <w:keepNext w:val="0"/>
        <w:keepLines w:val="0"/>
        <w:widowControl/>
        <w:suppressLineNumbers w:val="0"/>
        <w:spacing w:before="0" w:beforeAutospacing="0" w:after="24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rPr>
      </w:pPr>
      <w:r>
        <w:rPr>
          <w:rFonts w:hint="eastAsia" w:ascii="微软雅黑" w:hAnsi="微软雅黑" w:eastAsia="微软雅黑" w:cs="微软雅黑"/>
          <w:b/>
          <w:bCs/>
          <w:i w:val="0"/>
          <w:iCs w:val="0"/>
          <w:caps w:val="0"/>
          <w:color w:val="666666"/>
          <w:spacing w:val="0"/>
          <w:sz w:val="48"/>
          <w:szCs w:val="48"/>
        </w:rPr>
        <w:t>政 府 采 购</w:t>
      </w:r>
      <w:r>
        <w:rPr>
          <w:rFonts w:hint="eastAsia" w:ascii="微软雅黑" w:hAnsi="微软雅黑" w:eastAsia="微软雅黑" w:cs="微软雅黑"/>
          <w:b/>
          <w:bCs/>
          <w:i w:val="0"/>
          <w:iCs w:val="0"/>
          <w:caps w:val="0"/>
          <w:color w:val="666666"/>
          <w:spacing w:val="0"/>
          <w:sz w:val="48"/>
          <w:szCs w:val="48"/>
        </w:rPr>
        <w:br w:type="textWrapping"/>
      </w:r>
      <w:r>
        <w:rPr>
          <w:rFonts w:hint="eastAsia" w:ascii="微软雅黑" w:hAnsi="微软雅黑" w:eastAsia="微软雅黑" w:cs="微软雅黑"/>
          <w:b/>
          <w:bCs/>
          <w:i w:val="0"/>
          <w:iCs w:val="0"/>
          <w:caps w:val="0"/>
          <w:color w:val="666666"/>
          <w:spacing w:val="0"/>
          <w:sz w:val="48"/>
          <w:szCs w:val="48"/>
        </w:rPr>
        <w:t>响 应 文 件</w:t>
      </w:r>
    </w:p>
    <w:p>
      <w:pPr>
        <w:keepNext w:val="0"/>
        <w:keepLines w:val="0"/>
        <w:widowControl/>
        <w:suppressLineNumbers w:val="0"/>
        <w:spacing w:before="0" w:beforeAutospacing="0" w:after="24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bCs w:val="0"/>
          <w:i w:val="0"/>
          <w:iCs w:val="0"/>
          <w:caps w:val="0"/>
          <w:color w:val="666666"/>
          <w:spacing w:val="0"/>
          <w:sz w:val="36"/>
          <w:szCs w:val="36"/>
        </w:rPr>
        <w:t>项目名称：</w:t>
      </w:r>
      <w:r>
        <w:rPr>
          <w:rFonts w:hint="eastAsia" w:ascii="微软雅黑" w:hAnsi="微软雅黑" w:eastAsia="微软雅黑" w:cs="微软雅黑"/>
          <w:b w:val="0"/>
          <w:bCs w:val="0"/>
          <w:i w:val="0"/>
          <w:iCs w:val="0"/>
          <w:caps w:val="0"/>
          <w:color w:val="0A82E5"/>
          <w:spacing w:val="0"/>
          <w:sz w:val="36"/>
          <w:szCs w:val="36"/>
        </w:rPr>
        <w:t>房屋维修工程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bCs w:val="0"/>
          <w:i w:val="0"/>
          <w:iCs w:val="0"/>
          <w:caps w:val="0"/>
          <w:color w:val="666666"/>
          <w:spacing w:val="0"/>
          <w:sz w:val="36"/>
          <w:szCs w:val="36"/>
        </w:rPr>
        <w:t>项目编号：</w:t>
      </w:r>
      <w:r>
        <w:rPr>
          <w:rFonts w:hint="eastAsia" w:ascii="微软雅黑" w:hAnsi="微软雅黑" w:eastAsia="微软雅黑" w:cs="微软雅黑"/>
          <w:b w:val="0"/>
          <w:bCs w:val="0"/>
          <w:i w:val="0"/>
          <w:iCs w:val="0"/>
          <w:caps w:val="0"/>
          <w:color w:val="0A82E5"/>
          <w:spacing w:val="0"/>
          <w:sz w:val="36"/>
          <w:szCs w:val="36"/>
        </w:rPr>
        <w:t>YZC2021-004</w:t>
      </w:r>
    </w:p>
    <w:p>
      <w:pPr>
        <w:keepNext w:val="0"/>
        <w:keepLines w:val="0"/>
        <w:widowControl/>
        <w:suppressLineNumbers w:val="0"/>
        <w:spacing w:before="0" w:beforeAutospacing="0" w:after="240" w:afterAutospacing="0"/>
        <w:ind w:left="0" w:right="0"/>
        <w:jc w:val="left"/>
      </w:pP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rPr>
        <w:t>供应商全称：（公章）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rPr>
        <w:t>授权代表：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rPr>
        <w:t>电话：</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rPr>
      </w:pPr>
      <w:r>
        <w:rPr>
          <w:rFonts w:hint="eastAsia" w:ascii="微软雅黑" w:hAnsi="微软雅黑" w:eastAsia="微软雅黑" w:cs="微软雅黑"/>
          <w:b/>
          <w:bCs/>
          <w:i w:val="0"/>
          <w:iCs w:val="0"/>
          <w:caps w:val="0"/>
          <w:color w:val="666666"/>
          <w:spacing w:val="0"/>
          <w:sz w:val="24"/>
          <w:szCs w:val="24"/>
        </w:rPr>
        <w:t>磋商日期：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bCs w:val="0"/>
          <w:i w:val="0"/>
          <w:iCs w:val="0"/>
          <w:caps w:val="0"/>
          <w:color w:val="666666"/>
          <w:spacing w:val="0"/>
          <w:sz w:val="24"/>
          <w:szCs w:val="24"/>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lang w:val="en-US" w:eastAsia="zh-CN" w:bidi="ar"/>
        </w:rPr>
        <w:t>二、首轮报价表</w:t>
      </w:r>
    </w:p>
    <w:p>
      <w:pPr>
        <w:keepNext w:val="0"/>
        <w:keepLines w:val="0"/>
        <w:widowControl/>
        <w:suppressLineNumbers w:val="0"/>
        <w:spacing w:before="0" w:beforeAutospacing="0" w:after="24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FF0000"/>
        </w:rPr>
      </w:pPr>
      <w:r>
        <w:rPr>
          <w:rFonts w:hint="eastAsia" w:ascii="微软雅黑" w:hAnsi="微软雅黑" w:eastAsia="微软雅黑" w:cs="微软雅黑"/>
          <w:b w:val="0"/>
          <w:bCs w:val="0"/>
          <w:i w:val="0"/>
          <w:iCs w:val="0"/>
          <w:caps w:val="0"/>
          <w:color w:val="FF0000"/>
          <w:spacing w:val="0"/>
          <w:sz w:val="24"/>
          <w:szCs w:val="24"/>
        </w:rPr>
        <w:t>注：采用电子招投标的项目无需编制该表格，投标供应商应在投标客户端【报价部分】进行填写，投标客户端软件将自动根据供应商填写信息在线生成开标一览表（首轮报价表、报价一览表）或分项报价表，若在投标文件中出现非系统生成的开标一览表（首轮报价表、报价一览表）或分项报价表，且与投标客户端生成的开标一览表（首轮报价表、 报价一览表）或分项报价表信息内容不一致，以投标客户端生成的内容为准。</w:t>
      </w:r>
    </w:p>
    <w:p>
      <w:pPr>
        <w:keepNext w:val="0"/>
        <w:keepLines w:val="0"/>
        <w:widowControl/>
        <w:suppressLineNumbers w:val="0"/>
        <w:spacing w:before="0" w:beforeAutospacing="0" w:after="240" w:afterAutospacing="0"/>
        <w:ind w:left="0" w:right="0"/>
        <w:jc w:val="left"/>
      </w:pP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lang w:val="en-US" w:eastAsia="zh-CN" w:bidi="ar"/>
        </w:rPr>
        <w:t>三、分项报价表</w:t>
      </w:r>
    </w:p>
    <w:p>
      <w:pPr>
        <w:keepNext w:val="0"/>
        <w:keepLines w:val="0"/>
        <w:widowControl/>
        <w:suppressLineNumbers w:val="0"/>
        <w:spacing w:before="0" w:beforeAutospacing="0" w:after="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FF0000"/>
        </w:rPr>
      </w:pPr>
      <w:r>
        <w:rPr>
          <w:rFonts w:hint="eastAsia" w:ascii="微软雅黑" w:hAnsi="微软雅黑" w:eastAsia="微软雅黑" w:cs="微软雅黑"/>
          <w:b w:val="0"/>
          <w:bCs w:val="0"/>
          <w:i w:val="0"/>
          <w:iCs w:val="0"/>
          <w:caps w:val="0"/>
          <w:color w:val="FF0000"/>
          <w:spacing w:val="0"/>
          <w:sz w:val="24"/>
          <w:szCs w:val="24"/>
        </w:rPr>
        <w:t>注：采用电子招投标的项目无需编制该表格，投标供应商应在投标客户端【报价部分】进行填写，投标客户端软件将自动根据供应商填写信息在线生成开标一览表（首轮报价表、报价一览表）或分项报价表，若在投标文件中出现非系统生成的开标一览表（首轮报价表、报价一览表）或分项报价表，且与投标客户端生成的开标一览表（首轮报价表、 报价一览表）或分项报价表信息内容不一致，以投标客户端生成的内容为准。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bCs w:val="0"/>
          <w:i w:val="0"/>
          <w:iCs w:val="0"/>
          <w:caps w:val="0"/>
          <w:color w:val="666666"/>
          <w:spacing w:val="0"/>
          <w:sz w:val="24"/>
          <w:szCs w:val="24"/>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kern w:val="0"/>
          <w:sz w:val="27"/>
          <w:szCs w:val="27"/>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kern w:val="0"/>
          <w:sz w:val="27"/>
          <w:szCs w:val="27"/>
          <w:lang w:val="en-US" w:eastAsia="zh-CN" w:bidi="ar"/>
        </w:rPr>
      </w:pPr>
      <w:r>
        <w:rPr>
          <w:rFonts w:hint="eastAsia" w:ascii="微软雅黑" w:hAnsi="微软雅黑" w:eastAsia="微软雅黑" w:cs="微软雅黑"/>
          <w:b/>
          <w:bCs/>
          <w:i w:val="0"/>
          <w:iCs w:val="0"/>
          <w:caps w:val="0"/>
          <w:color w:val="666666"/>
          <w:spacing w:val="0"/>
          <w:kern w:val="0"/>
          <w:sz w:val="27"/>
          <w:szCs w:val="27"/>
          <w:lang w:val="en-US" w:eastAsia="zh-CN" w:bidi="ar"/>
        </w:rPr>
        <w:t>四、本工程项目管理机构、班子配备情况</w:t>
      </w:r>
    </w:p>
    <w:p>
      <w:pPr>
        <w:spacing w:line="600" w:lineRule="exact"/>
        <w:jc w:val="both"/>
        <w:rPr>
          <w:rFonts w:hAnsi="宋体" w:eastAsia="宋体" w:cs="宋体"/>
          <w:b/>
          <w:snapToGrid w:val="0"/>
          <w:color w:val="auto"/>
          <w:position w:val="0"/>
          <w:highlight w:val="none"/>
        </w:rPr>
      </w:pPr>
    </w:p>
    <w:tbl>
      <w:tblPr>
        <w:tblStyle w:val="8"/>
        <w:tblW w:w="9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48"/>
        <w:gridCol w:w="1078"/>
        <w:gridCol w:w="1079"/>
        <w:gridCol w:w="1079"/>
        <w:gridCol w:w="3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trPr>
        <w:tc>
          <w:tcPr>
            <w:tcW w:w="709" w:type="dxa"/>
            <w:vAlign w:val="center"/>
          </w:tcPr>
          <w:p>
            <w:pPr>
              <w:spacing w:line="600" w:lineRule="exact"/>
              <w:jc w:val="center"/>
              <w:rPr>
                <w:rFonts w:hint="eastAsia" w:ascii="微软雅黑" w:hAnsi="微软雅黑" w:eastAsia="微软雅黑" w:cs="微软雅黑"/>
                <w:b w:val="0"/>
                <w:bCs w:val="0"/>
                <w:i w:val="0"/>
                <w:iCs w:val="0"/>
                <w:caps w:val="0"/>
                <w:color w:val="666666"/>
                <w:spacing w:val="0"/>
                <w:kern w:val="0"/>
                <w:sz w:val="24"/>
                <w:szCs w:val="24"/>
                <w:lang w:val="en-US" w:eastAsia="zh-CN" w:bidi="ar"/>
              </w:rPr>
            </w:pPr>
            <w:r>
              <w:rPr>
                <w:rFonts w:hint="eastAsia" w:ascii="微软雅黑" w:hAnsi="微软雅黑" w:eastAsia="微软雅黑" w:cs="微软雅黑"/>
                <w:b w:val="0"/>
                <w:bCs w:val="0"/>
                <w:i w:val="0"/>
                <w:iCs w:val="0"/>
                <w:caps w:val="0"/>
                <w:color w:val="666666"/>
                <w:spacing w:val="0"/>
                <w:kern w:val="0"/>
                <w:sz w:val="24"/>
                <w:szCs w:val="24"/>
                <w:lang w:val="en-US" w:eastAsia="zh-CN" w:bidi="ar"/>
              </w:rPr>
              <w:t>序号</w:t>
            </w:r>
          </w:p>
        </w:tc>
        <w:tc>
          <w:tcPr>
            <w:tcW w:w="1448" w:type="dxa"/>
            <w:vAlign w:val="center"/>
          </w:tcPr>
          <w:p>
            <w:pPr>
              <w:spacing w:line="600" w:lineRule="exact"/>
              <w:jc w:val="center"/>
              <w:rPr>
                <w:rFonts w:hint="eastAsia" w:ascii="微软雅黑" w:hAnsi="微软雅黑" w:eastAsia="微软雅黑" w:cs="微软雅黑"/>
                <w:b w:val="0"/>
                <w:bCs w:val="0"/>
                <w:i w:val="0"/>
                <w:iCs w:val="0"/>
                <w:caps w:val="0"/>
                <w:color w:val="666666"/>
                <w:spacing w:val="0"/>
                <w:kern w:val="0"/>
                <w:sz w:val="24"/>
                <w:szCs w:val="24"/>
                <w:lang w:val="en-US" w:eastAsia="zh-CN" w:bidi="ar"/>
              </w:rPr>
            </w:pPr>
            <w:r>
              <w:rPr>
                <w:rFonts w:hint="eastAsia" w:ascii="微软雅黑" w:hAnsi="微软雅黑" w:eastAsia="微软雅黑" w:cs="微软雅黑"/>
                <w:b w:val="0"/>
                <w:bCs w:val="0"/>
                <w:i w:val="0"/>
                <w:iCs w:val="0"/>
                <w:caps w:val="0"/>
                <w:color w:val="666666"/>
                <w:spacing w:val="0"/>
                <w:kern w:val="0"/>
                <w:sz w:val="24"/>
                <w:szCs w:val="24"/>
                <w:lang w:val="en-US" w:eastAsia="zh-CN" w:bidi="ar"/>
              </w:rPr>
              <w:t>姓名</w:t>
            </w:r>
          </w:p>
        </w:tc>
        <w:tc>
          <w:tcPr>
            <w:tcW w:w="1078" w:type="dxa"/>
            <w:vAlign w:val="center"/>
          </w:tcPr>
          <w:p>
            <w:pPr>
              <w:spacing w:line="600" w:lineRule="exact"/>
              <w:jc w:val="center"/>
              <w:rPr>
                <w:rFonts w:hint="eastAsia" w:ascii="微软雅黑" w:hAnsi="微软雅黑" w:eastAsia="微软雅黑" w:cs="微软雅黑"/>
                <w:b w:val="0"/>
                <w:bCs w:val="0"/>
                <w:i w:val="0"/>
                <w:iCs w:val="0"/>
                <w:caps w:val="0"/>
                <w:color w:val="666666"/>
                <w:spacing w:val="0"/>
                <w:kern w:val="0"/>
                <w:sz w:val="24"/>
                <w:szCs w:val="24"/>
                <w:lang w:val="en-US" w:eastAsia="zh-CN" w:bidi="ar"/>
              </w:rPr>
            </w:pPr>
            <w:r>
              <w:rPr>
                <w:rFonts w:hint="eastAsia" w:ascii="微软雅黑" w:hAnsi="微软雅黑" w:eastAsia="微软雅黑" w:cs="微软雅黑"/>
                <w:b w:val="0"/>
                <w:bCs w:val="0"/>
                <w:i w:val="0"/>
                <w:iCs w:val="0"/>
                <w:caps w:val="0"/>
                <w:color w:val="666666"/>
                <w:spacing w:val="0"/>
                <w:kern w:val="0"/>
                <w:sz w:val="24"/>
                <w:szCs w:val="24"/>
                <w:lang w:val="en-US" w:eastAsia="zh-CN" w:bidi="ar"/>
              </w:rPr>
              <w:t>专业</w:t>
            </w:r>
          </w:p>
        </w:tc>
        <w:tc>
          <w:tcPr>
            <w:tcW w:w="1079" w:type="dxa"/>
            <w:vAlign w:val="center"/>
          </w:tcPr>
          <w:p>
            <w:pPr>
              <w:spacing w:line="600" w:lineRule="exact"/>
              <w:jc w:val="center"/>
              <w:rPr>
                <w:rFonts w:hint="eastAsia" w:ascii="微软雅黑" w:hAnsi="微软雅黑" w:eastAsia="微软雅黑" w:cs="微软雅黑"/>
                <w:b w:val="0"/>
                <w:bCs w:val="0"/>
                <w:i w:val="0"/>
                <w:iCs w:val="0"/>
                <w:caps w:val="0"/>
                <w:color w:val="666666"/>
                <w:spacing w:val="0"/>
                <w:kern w:val="0"/>
                <w:sz w:val="24"/>
                <w:szCs w:val="24"/>
                <w:lang w:val="en-US" w:eastAsia="zh-CN" w:bidi="ar"/>
              </w:rPr>
            </w:pPr>
            <w:r>
              <w:rPr>
                <w:rFonts w:hint="eastAsia" w:ascii="微软雅黑" w:hAnsi="微软雅黑" w:eastAsia="微软雅黑" w:cs="微软雅黑"/>
                <w:b w:val="0"/>
                <w:bCs w:val="0"/>
                <w:i w:val="0"/>
                <w:iCs w:val="0"/>
                <w:caps w:val="0"/>
                <w:color w:val="666666"/>
                <w:spacing w:val="0"/>
                <w:kern w:val="0"/>
                <w:sz w:val="24"/>
                <w:szCs w:val="24"/>
                <w:lang w:val="en-US" w:eastAsia="zh-CN" w:bidi="ar"/>
              </w:rPr>
              <w:t>职称</w:t>
            </w:r>
          </w:p>
        </w:tc>
        <w:tc>
          <w:tcPr>
            <w:tcW w:w="1079" w:type="dxa"/>
            <w:vAlign w:val="center"/>
          </w:tcPr>
          <w:p>
            <w:pPr>
              <w:spacing w:line="600" w:lineRule="exact"/>
              <w:jc w:val="center"/>
              <w:rPr>
                <w:rFonts w:hint="eastAsia" w:ascii="微软雅黑" w:hAnsi="微软雅黑" w:eastAsia="微软雅黑" w:cs="微软雅黑"/>
                <w:b w:val="0"/>
                <w:bCs w:val="0"/>
                <w:i w:val="0"/>
                <w:iCs w:val="0"/>
                <w:caps w:val="0"/>
                <w:color w:val="666666"/>
                <w:spacing w:val="0"/>
                <w:kern w:val="0"/>
                <w:sz w:val="24"/>
                <w:szCs w:val="24"/>
                <w:lang w:val="en-US" w:eastAsia="zh-CN" w:bidi="ar"/>
              </w:rPr>
            </w:pPr>
            <w:r>
              <w:rPr>
                <w:rFonts w:hint="eastAsia" w:ascii="微软雅黑" w:hAnsi="微软雅黑" w:eastAsia="微软雅黑" w:cs="微软雅黑"/>
                <w:b w:val="0"/>
                <w:bCs w:val="0"/>
                <w:i w:val="0"/>
                <w:iCs w:val="0"/>
                <w:caps w:val="0"/>
                <w:color w:val="666666"/>
                <w:spacing w:val="0"/>
                <w:kern w:val="0"/>
                <w:sz w:val="24"/>
                <w:szCs w:val="24"/>
                <w:lang w:val="en-US" w:eastAsia="zh-CN" w:bidi="ar"/>
              </w:rPr>
              <w:t>职务</w:t>
            </w:r>
          </w:p>
        </w:tc>
        <w:tc>
          <w:tcPr>
            <w:tcW w:w="3843" w:type="dxa"/>
            <w:vAlign w:val="center"/>
          </w:tcPr>
          <w:p>
            <w:pPr>
              <w:spacing w:line="600" w:lineRule="exact"/>
              <w:jc w:val="center"/>
              <w:rPr>
                <w:rFonts w:hint="eastAsia" w:ascii="微软雅黑" w:hAnsi="微软雅黑" w:eastAsia="微软雅黑" w:cs="微软雅黑"/>
                <w:b w:val="0"/>
                <w:bCs w:val="0"/>
                <w:i w:val="0"/>
                <w:iCs w:val="0"/>
                <w:caps w:val="0"/>
                <w:color w:val="666666"/>
                <w:spacing w:val="0"/>
                <w:kern w:val="0"/>
                <w:sz w:val="24"/>
                <w:szCs w:val="24"/>
                <w:lang w:val="en-US" w:eastAsia="zh-CN" w:bidi="ar"/>
              </w:rPr>
            </w:pPr>
            <w:r>
              <w:rPr>
                <w:rFonts w:hint="eastAsia" w:ascii="微软雅黑" w:hAnsi="微软雅黑" w:eastAsia="微软雅黑" w:cs="微软雅黑"/>
                <w:b w:val="0"/>
                <w:bCs w:val="0"/>
                <w:i w:val="0"/>
                <w:iCs w:val="0"/>
                <w:caps w:val="0"/>
                <w:color w:val="666666"/>
                <w:spacing w:val="0"/>
                <w:kern w:val="0"/>
                <w:sz w:val="24"/>
                <w:szCs w:val="24"/>
                <w:lang w:val="en-US" w:eastAsia="zh-CN" w:bidi="ar"/>
              </w:rPr>
              <w:t>主要施工过的项目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trPr>
        <w:tc>
          <w:tcPr>
            <w:tcW w:w="709" w:type="dxa"/>
            <w:vAlign w:val="center"/>
          </w:tcPr>
          <w:p>
            <w:pPr>
              <w:snapToGrid w:val="0"/>
              <w:spacing w:line="360" w:lineRule="auto"/>
              <w:jc w:val="both"/>
              <w:rPr>
                <w:rFonts w:hAnsi="宋体" w:eastAsia="宋体" w:cs="宋体"/>
                <w:snapToGrid w:val="0"/>
                <w:color w:val="auto"/>
                <w:position w:val="0"/>
                <w:highlight w:val="none"/>
              </w:rPr>
            </w:pPr>
          </w:p>
        </w:tc>
        <w:tc>
          <w:tcPr>
            <w:tcW w:w="1448" w:type="dxa"/>
            <w:vAlign w:val="center"/>
          </w:tcPr>
          <w:p>
            <w:pPr>
              <w:snapToGrid w:val="0"/>
              <w:spacing w:line="360" w:lineRule="auto"/>
              <w:jc w:val="both"/>
              <w:rPr>
                <w:rFonts w:hAnsi="宋体" w:eastAsia="宋体" w:cs="宋体"/>
                <w:snapToGrid w:val="0"/>
                <w:color w:val="auto"/>
                <w:position w:val="0"/>
                <w:highlight w:val="none"/>
              </w:rPr>
            </w:pPr>
          </w:p>
        </w:tc>
        <w:tc>
          <w:tcPr>
            <w:tcW w:w="1078" w:type="dxa"/>
            <w:vAlign w:val="center"/>
          </w:tcPr>
          <w:p>
            <w:pPr>
              <w:snapToGrid w:val="0"/>
              <w:spacing w:line="360" w:lineRule="auto"/>
              <w:jc w:val="both"/>
              <w:rPr>
                <w:rFonts w:hAnsi="宋体" w:eastAsia="宋体" w:cs="宋体"/>
                <w:snapToGrid w:val="0"/>
                <w:color w:val="auto"/>
                <w:position w:val="0"/>
                <w:highlight w:val="none"/>
              </w:rPr>
            </w:pPr>
          </w:p>
        </w:tc>
        <w:tc>
          <w:tcPr>
            <w:tcW w:w="1079" w:type="dxa"/>
            <w:vAlign w:val="center"/>
          </w:tcPr>
          <w:p>
            <w:pPr>
              <w:snapToGrid w:val="0"/>
              <w:spacing w:line="360" w:lineRule="auto"/>
              <w:jc w:val="both"/>
              <w:rPr>
                <w:rFonts w:hAnsi="宋体" w:eastAsia="宋体" w:cs="宋体"/>
                <w:snapToGrid w:val="0"/>
                <w:color w:val="auto"/>
                <w:position w:val="0"/>
                <w:highlight w:val="none"/>
              </w:rPr>
            </w:pPr>
          </w:p>
        </w:tc>
        <w:tc>
          <w:tcPr>
            <w:tcW w:w="1079" w:type="dxa"/>
            <w:vAlign w:val="center"/>
          </w:tcPr>
          <w:p>
            <w:pPr>
              <w:snapToGrid w:val="0"/>
              <w:spacing w:line="360" w:lineRule="auto"/>
              <w:jc w:val="both"/>
              <w:rPr>
                <w:rFonts w:hAnsi="宋体" w:eastAsia="宋体" w:cs="宋体"/>
                <w:snapToGrid w:val="0"/>
                <w:color w:val="auto"/>
                <w:position w:val="0"/>
                <w:highlight w:val="none"/>
              </w:rPr>
            </w:pPr>
          </w:p>
        </w:tc>
        <w:tc>
          <w:tcPr>
            <w:tcW w:w="3843" w:type="dxa"/>
            <w:vAlign w:val="center"/>
          </w:tcPr>
          <w:p>
            <w:pPr>
              <w:snapToGrid w:val="0"/>
              <w:spacing w:line="360" w:lineRule="auto"/>
              <w:jc w:val="both"/>
              <w:rPr>
                <w:rFonts w:hAnsi="宋体" w:eastAsia="宋体" w:cs="宋体"/>
                <w:snapToGrid w:val="0"/>
                <w:color w:val="auto"/>
                <w:positio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 w:hRule="atLeast"/>
        </w:trPr>
        <w:tc>
          <w:tcPr>
            <w:tcW w:w="709" w:type="dxa"/>
            <w:vAlign w:val="center"/>
          </w:tcPr>
          <w:p>
            <w:pPr>
              <w:snapToGrid w:val="0"/>
              <w:spacing w:line="360" w:lineRule="auto"/>
              <w:jc w:val="both"/>
              <w:rPr>
                <w:rFonts w:hAnsi="宋体" w:eastAsia="宋体" w:cs="宋体"/>
                <w:snapToGrid w:val="0"/>
                <w:color w:val="auto"/>
                <w:position w:val="0"/>
                <w:highlight w:val="none"/>
              </w:rPr>
            </w:pPr>
          </w:p>
        </w:tc>
        <w:tc>
          <w:tcPr>
            <w:tcW w:w="1448" w:type="dxa"/>
            <w:vAlign w:val="center"/>
          </w:tcPr>
          <w:p>
            <w:pPr>
              <w:snapToGrid w:val="0"/>
              <w:spacing w:line="360" w:lineRule="auto"/>
              <w:jc w:val="both"/>
              <w:rPr>
                <w:rFonts w:hAnsi="宋体" w:eastAsia="宋体" w:cs="宋体"/>
                <w:snapToGrid w:val="0"/>
                <w:color w:val="auto"/>
                <w:position w:val="0"/>
                <w:highlight w:val="none"/>
              </w:rPr>
            </w:pPr>
          </w:p>
        </w:tc>
        <w:tc>
          <w:tcPr>
            <w:tcW w:w="1078" w:type="dxa"/>
            <w:vAlign w:val="center"/>
          </w:tcPr>
          <w:p>
            <w:pPr>
              <w:snapToGrid w:val="0"/>
              <w:spacing w:line="360" w:lineRule="auto"/>
              <w:jc w:val="both"/>
              <w:rPr>
                <w:rFonts w:hAnsi="宋体" w:eastAsia="宋体" w:cs="宋体"/>
                <w:snapToGrid w:val="0"/>
                <w:color w:val="auto"/>
                <w:position w:val="0"/>
                <w:highlight w:val="none"/>
              </w:rPr>
            </w:pPr>
          </w:p>
        </w:tc>
        <w:tc>
          <w:tcPr>
            <w:tcW w:w="1079" w:type="dxa"/>
            <w:vAlign w:val="center"/>
          </w:tcPr>
          <w:p>
            <w:pPr>
              <w:snapToGrid w:val="0"/>
              <w:spacing w:line="360" w:lineRule="auto"/>
              <w:jc w:val="both"/>
              <w:rPr>
                <w:rFonts w:hAnsi="宋体" w:eastAsia="宋体" w:cs="宋体"/>
                <w:snapToGrid w:val="0"/>
                <w:color w:val="auto"/>
                <w:position w:val="0"/>
                <w:highlight w:val="none"/>
              </w:rPr>
            </w:pPr>
          </w:p>
        </w:tc>
        <w:tc>
          <w:tcPr>
            <w:tcW w:w="1079" w:type="dxa"/>
            <w:vAlign w:val="center"/>
          </w:tcPr>
          <w:p>
            <w:pPr>
              <w:snapToGrid w:val="0"/>
              <w:spacing w:line="360" w:lineRule="auto"/>
              <w:jc w:val="both"/>
              <w:rPr>
                <w:rFonts w:hAnsi="宋体" w:eastAsia="宋体" w:cs="宋体"/>
                <w:snapToGrid w:val="0"/>
                <w:color w:val="auto"/>
                <w:position w:val="0"/>
                <w:highlight w:val="none"/>
              </w:rPr>
            </w:pPr>
          </w:p>
        </w:tc>
        <w:tc>
          <w:tcPr>
            <w:tcW w:w="3843" w:type="dxa"/>
            <w:vAlign w:val="center"/>
          </w:tcPr>
          <w:p>
            <w:pPr>
              <w:snapToGrid w:val="0"/>
              <w:spacing w:line="360" w:lineRule="auto"/>
              <w:jc w:val="both"/>
              <w:rPr>
                <w:rFonts w:hAnsi="宋体" w:eastAsia="宋体" w:cs="宋体"/>
                <w:snapToGrid w:val="0"/>
                <w:color w:val="auto"/>
                <w:positio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trPr>
        <w:tc>
          <w:tcPr>
            <w:tcW w:w="709" w:type="dxa"/>
            <w:vAlign w:val="center"/>
          </w:tcPr>
          <w:p>
            <w:pPr>
              <w:snapToGrid w:val="0"/>
              <w:spacing w:line="360" w:lineRule="auto"/>
              <w:jc w:val="both"/>
              <w:rPr>
                <w:rFonts w:hAnsi="宋体" w:eastAsia="宋体" w:cs="宋体"/>
                <w:snapToGrid w:val="0"/>
                <w:color w:val="auto"/>
                <w:position w:val="0"/>
                <w:highlight w:val="none"/>
              </w:rPr>
            </w:pPr>
          </w:p>
        </w:tc>
        <w:tc>
          <w:tcPr>
            <w:tcW w:w="1448" w:type="dxa"/>
            <w:vAlign w:val="center"/>
          </w:tcPr>
          <w:p>
            <w:pPr>
              <w:snapToGrid w:val="0"/>
              <w:spacing w:line="360" w:lineRule="auto"/>
              <w:jc w:val="both"/>
              <w:rPr>
                <w:rFonts w:hAnsi="宋体" w:eastAsia="宋体" w:cs="宋体"/>
                <w:snapToGrid w:val="0"/>
                <w:color w:val="auto"/>
                <w:position w:val="0"/>
                <w:highlight w:val="none"/>
              </w:rPr>
            </w:pPr>
          </w:p>
        </w:tc>
        <w:tc>
          <w:tcPr>
            <w:tcW w:w="1078" w:type="dxa"/>
            <w:vAlign w:val="center"/>
          </w:tcPr>
          <w:p>
            <w:pPr>
              <w:snapToGrid w:val="0"/>
              <w:spacing w:line="360" w:lineRule="auto"/>
              <w:jc w:val="both"/>
              <w:rPr>
                <w:rFonts w:hAnsi="宋体" w:eastAsia="宋体" w:cs="宋体"/>
                <w:snapToGrid w:val="0"/>
                <w:color w:val="auto"/>
                <w:position w:val="0"/>
                <w:highlight w:val="none"/>
              </w:rPr>
            </w:pPr>
          </w:p>
        </w:tc>
        <w:tc>
          <w:tcPr>
            <w:tcW w:w="1079" w:type="dxa"/>
            <w:vAlign w:val="center"/>
          </w:tcPr>
          <w:p>
            <w:pPr>
              <w:snapToGrid w:val="0"/>
              <w:spacing w:line="360" w:lineRule="auto"/>
              <w:jc w:val="both"/>
              <w:rPr>
                <w:rFonts w:hAnsi="宋体" w:eastAsia="宋体" w:cs="宋体"/>
                <w:snapToGrid w:val="0"/>
                <w:color w:val="auto"/>
                <w:position w:val="0"/>
                <w:highlight w:val="none"/>
              </w:rPr>
            </w:pPr>
          </w:p>
        </w:tc>
        <w:tc>
          <w:tcPr>
            <w:tcW w:w="1079" w:type="dxa"/>
            <w:vAlign w:val="center"/>
          </w:tcPr>
          <w:p>
            <w:pPr>
              <w:snapToGrid w:val="0"/>
              <w:spacing w:line="360" w:lineRule="auto"/>
              <w:jc w:val="both"/>
              <w:rPr>
                <w:rFonts w:hAnsi="宋体" w:eastAsia="宋体" w:cs="宋体"/>
                <w:snapToGrid w:val="0"/>
                <w:color w:val="auto"/>
                <w:position w:val="0"/>
                <w:highlight w:val="none"/>
              </w:rPr>
            </w:pPr>
          </w:p>
        </w:tc>
        <w:tc>
          <w:tcPr>
            <w:tcW w:w="3843" w:type="dxa"/>
            <w:vAlign w:val="center"/>
          </w:tcPr>
          <w:p>
            <w:pPr>
              <w:snapToGrid w:val="0"/>
              <w:spacing w:line="360" w:lineRule="auto"/>
              <w:jc w:val="both"/>
              <w:rPr>
                <w:rFonts w:hAnsi="宋体" w:eastAsia="宋体" w:cs="宋体"/>
                <w:snapToGrid w:val="0"/>
                <w:color w:val="auto"/>
                <w:positio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 w:hRule="atLeast"/>
        </w:trPr>
        <w:tc>
          <w:tcPr>
            <w:tcW w:w="709" w:type="dxa"/>
            <w:vAlign w:val="center"/>
          </w:tcPr>
          <w:p>
            <w:pPr>
              <w:snapToGrid w:val="0"/>
              <w:spacing w:line="360" w:lineRule="auto"/>
              <w:jc w:val="both"/>
              <w:rPr>
                <w:rFonts w:hAnsi="宋体" w:eastAsia="宋体" w:cs="宋体"/>
                <w:snapToGrid w:val="0"/>
                <w:color w:val="auto"/>
                <w:position w:val="0"/>
                <w:highlight w:val="none"/>
              </w:rPr>
            </w:pPr>
          </w:p>
        </w:tc>
        <w:tc>
          <w:tcPr>
            <w:tcW w:w="1448" w:type="dxa"/>
            <w:vAlign w:val="center"/>
          </w:tcPr>
          <w:p>
            <w:pPr>
              <w:snapToGrid w:val="0"/>
              <w:spacing w:line="360" w:lineRule="auto"/>
              <w:jc w:val="both"/>
              <w:rPr>
                <w:rFonts w:hAnsi="宋体" w:eastAsia="宋体" w:cs="宋体"/>
                <w:snapToGrid w:val="0"/>
                <w:color w:val="auto"/>
                <w:position w:val="0"/>
                <w:highlight w:val="none"/>
              </w:rPr>
            </w:pPr>
          </w:p>
        </w:tc>
        <w:tc>
          <w:tcPr>
            <w:tcW w:w="1078" w:type="dxa"/>
            <w:vAlign w:val="center"/>
          </w:tcPr>
          <w:p>
            <w:pPr>
              <w:snapToGrid w:val="0"/>
              <w:spacing w:line="360" w:lineRule="auto"/>
              <w:jc w:val="both"/>
              <w:rPr>
                <w:rFonts w:hAnsi="宋体" w:eastAsia="宋体" w:cs="宋体"/>
                <w:snapToGrid w:val="0"/>
                <w:color w:val="auto"/>
                <w:position w:val="0"/>
                <w:highlight w:val="none"/>
              </w:rPr>
            </w:pPr>
          </w:p>
        </w:tc>
        <w:tc>
          <w:tcPr>
            <w:tcW w:w="1079" w:type="dxa"/>
            <w:vAlign w:val="center"/>
          </w:tcPr>
          <w:p>
            <w:pPr>
              <w:snapToGrid w:val="0"/>
              <w:spacing w:line="360" w:lineRule="auto"/>
              <w:jc w:val="both"/>
              <w:rPr>
                <w:rFonts w:hAnsi="宋体" w:eastAsia="宋体" w:cs="宋体"/>
                <w:snapToGrid w:val="0"/>
                <w:color w:val="auto"/>
                <w:position w:val="0"/>
                <w:highlight w:val="none"/>
              </w:rPr>
            </w:pPr>
          </w:p>
        </w:tc>
        <w:tc>
          <w:tcPr>
            <w:tcW w:w="1079" w:type="dxa"/>
            <w:vAlign w:val="center"/>
          </w:tcPr>
          <w:p>
            <w:pPr>
              <w:snapToGrid w:val="0"/>
              <w:spacing w:line="360" w:lineRule="auto"/>
              <w:jc w:val="both"/>
              <w:rPr>
                <w:rFonts w:hAnsi="宋体" w:eastAsia="宋体" w:cs="宋体"/>
                <w:snapToGrid w:val="0"/>
                <w:color w:val="auto"/>
                <w:position w:val="0"/>
                <w:highlight w:val="none"/>
              </w:rPr>
            </w:pPr>
          </w:p>
        </w:tc>
        <w:tc>
          <w:tcPr>
            <w:tcW w:w="3843" w:type="dxa"/>
            <w:vAlign w:val="center"/>
          </w:tcPr>
          <w:p>
            <w:pPr>
              <w:snapToGrid w:val="0"/>
              <w:spacing w:line="360" w:lineRule="auto"/>
              <w:jc w:val="both"/>
              <w:rPr>
                <w:rFonts w:hAnsi="宋体" w:eastAsia="宋体" w:cs="宋体"/>
                <w:snapToGrid w:val="0"/>
                <w:color w:val="auto"/>
                <w:positio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 w:hRule="atLeast"/>
        </w:trPr>
        <w:tc>
          <w:tcPr>
            <w:tcW w:w="709" w:type="dxa"/>
            <w:vAlign w:val="center"/>
          </w:tcPr>
          <w:p>
            <w:pPr>
              <w:snapToGrid w:val="0"/>
              <w:spacing w:line="360" w:lineRule="auto"/>
              <w:jc w:val="both"/>
              <w:rPr>
                <w:rFonts w:hAnsi="宋体" w:eastAsia="宋体" w:cs="宋体"/>
                <w:snapToGrid w:val="0"/>
                <w:color w:val="auto"/>
                <w:position w:val="0"/>
                <w:highlight w:val="none"/>
              </w:rPr>
            </w:pPr>
          </w:p>
        </w:tc>
        <w:tc>
          <w:tcPr>
            <w:tcW w:w="1448" w:type="dxa"/>
            <w:vAlign w:val="center"/>
          </w:tcPr>
          <w:p>
            <w:pPr>
              <w:snapToGrid w:val="0"/>
              <w:spacing w:line="360" w:lineRule="auto"/>
              <w:jc w:val="both"/>
              <w:rPr>
                <w:rFonts w:hAnsi="宋体" w:eastAsia="宋体" w:cs="宋体"/>
                <w:snapToGrid w:val="0"/>
                <w:color w:val="auto"/>
                <w:position w:val="0"/>
                <w:highlight w:val="none"/>
              </w:rPr>
            </w:pPr>
          </w:p>
        </w:tc>
        <w:tc>
          <w:tcPr>
            <w:tcW w:w="1078" w:type="dxa"/>
            <w:vAlign w:val="center"/>
          </w:tcPr>
          <w:p>
            <w:pPr>
              <w:snapToGrid w:val="0"/>
              <w:spacing w:line="360" w:lineRule="auto"/>
              <w:jc w:val="both"/>
              <w:rPr>
                <w:rFonts w:hAnsi="宋体" w:eastAsia="宋体" w:cs="宋体"/>
                <w:snapToGrid w:val="0"/>
                <w:color w:val="auto"/>
                <w:position w:val="0"/>
                <w:highlight w:val="none"/>
              </w:rPr>
            </w:pPr>
          </w:p>
        </w:tc>
        <w:tc>
          <w:tcPr>
            <w:tcW w:w="1079" w:type="dxa"/>
            <w:vAlign w:val="center"/>
          </w:tcPr>
          <w:p>
            <w:pPr>
              <w:snapToGrid w:val="0"/>
              <w:spacing w:line="360" w:lineRule="auto"/>
              <w:jc w:val="both"/>
              <w:rPr>
                <w:rFonts w:hAnsi="宋体" w:eastAsia="宋体" w:cs="宋体"/>
                <w:snapToGrid w:val="0"/>
                <w:color w:val="auto"/>
                <w:position w:val="0"/>
                <w:highlight w:val="none"/>
              </w:rPr>
            </w:pPr>
          </w:p>
        </w:tc>
        <w:tc>
          <w:tcPr>
            <w:tcW w:w="1079" w:type="dxa"/>
            <w:vAlign w:val="center"/>
          </w:tcPr>
          <w:p>
            <w:pPr>
              <w:snapToGrid w:val="0"/>
              <w:spacing w:line="360" w:lineRule="auto"/>
              <w:jc w:val="both"/>
              <w:rPr>
                <w:rFonts w:hAnsi="宋体" w:eastAsia="宋体" w:cs="宋体"/>
                <w:snapToGrid w:val="0"/>
                <w:color w:val="auto"/>
                <w:position w:val="0"/>
                <w:highlight w:val="none"/>
              </w:rPr>
            </w:pPr>
          </w:p>
        </w:tc>
        <w:tc>
          <w:tcPr>
            <w:tcW w:w="3843" w:type="dxa"/>
            <w:vAlign w:val="center"/>
          </w:tcPr>
          <w:p>
            <w:pPr>
              <w:snapToGrid w:val="0"/>
              <w:spacing w:line="360" w:lineRule="auto"/>
              <w:jc w:val="both"/>
              <w:rPr>
                <w:rFonts w:hAnsi="宋体" w:eastAsia="宋体" w:cs="宋体"/>
                <w:snapToGrid w:val="0"/>
                <w:color w:val="auto"/>
                <w:positio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 w:hRule="atLeast"/>
        </w:trPr>
        <w:tc>
          <w:tcPr>
            <w:tcW w:w="709" w:type="dxa"/>
            <w:vAlign w:val="center"/>
          </w:tcPr>
          <w:p>
            <w:pPr>
              <w:snapToGrid w:val="0"/>
              <w:spacing w:line="360" w:lineRule="auto"/>
              <w:jc w:val="both"/>
              <w:rPr>
                <w:rFonts w:hAnsi="宋体" w:eastAsia="宋体" w:cs="宋体"/>
                <w:snapToGrid w:val="0"/>
                <w:color w:val="auto"/>
                <w:position w:val="0"/>
                <w:highlight w:val="none"/>
              </w:rPr>
            </w:pPr>
          </w:p>
        </w:tc>
        <w:tc>
          <w:tcPr>
            <w:tcW w:w="1448" w:type="dxa"/>
            <w:vAlign w:val="center"/>
          </w:tcPr>
          <w:p>
            <w:pPr>
              <w:snapToGrid w:val="0"/>
              <w:spacing w:line="360" w:lineRule="auto"/>
              <w:jc w:val="both"/>
              <w:rPr>
                <w:rFonts w:hAnsi="宋体" w:eastAsia="宋体" w:cs="宋体"/>
                <w:snapToGrid w:val="0"/>
                <w:color w:val="auto"/>
                <w:position w:val="0"/>
                <w:highlight w:val="none"/>
              </w:rPr>
            </w:pPr>
          </w:p>
        </w:tc>
        <w:tc>
          <w:tcPr>
            <w:tcW w:w="1078" w:type="dxa"/>
            <w:vAlign w:val="center"/>
          </w:tcPr>
          <w:p>
            <w:pPr>
              <w:snapToGrid w:val="0"/>
              <w:spacing w:line="360" w:lineRule="auto"/>
              <w:jc w:val="both"/>
              <w:rPr>
                <w:rFonts w:hAnsi="宋体" w:eastAsia="宋体" w:cs="宋体"/>
                <w:snapToGrid w:val="0"/>
                <w:color w:val="auto"/>
                <w:position w:val="0"/>
                <w:highlight w:val="none"/>
              </w:rPr>
            </w:pPr>
          </w:p>
        </w:tc>
        <w:tc>
          <w:tcPr>
            <w:tcW w:w="1079" w:type="dxa"/>
            <w:vAlign w:val="center"/>
          </w:tcPr>
          <w:p>
            <w:pPr>
              <w:snapToGrid w:val="0"/>
              <w:spacing w:line="360" w:lineRule="auto"/>
              <w:jc w:val="both"/>
              <w:rPr>
                <w:rFonts w:hAnsi="宋体" w:eastAsia="宋体" w:cs="宋体"/>
                <w:snapToGrid w:val="0"/>
                <w:color w:val="auto"/>
                <w:position w:val="0"/>
                <w:highlight w:val="none"/>
              </w:rPr>
            </w:pPr>
          </w:p>
        </w:tc>
        <w:tc>
          <w:tcPr>
            <w:tcW w:w="1079" w:type="dxa"/>
            <w:vAlign w:val="center"/>
          </w:tcPr>
          <w:p>
            <w:pPr>
              <w:snapToGrid w:val="0"/>
              <w:spacing w:line="360" w:lineRule="auto"/>
              <w:jc w:val="both"/>
              <w:rPr>
                <w:rFonts w:hAnsi="宋体" w:eastAsia="宋体" w:cs="宋体"/>
                <w:snapToGrid w:val="0"/>
                <w:color w:val="auto"/>
                <w:position w:val="0"/>
                <w:highlight w:val="none"/>
              </w:rPr>
            </w:pPr>
          </w:p>
        </w:tc>
        <w:tc>
          <w:tcPr>
            <w:tcW w:w="3843" w:type="dxa"/>
            <w:vAlign w:val="center"/>
          </w:tcPr>
          <w:p>
            <w:pPr>
              <w:snapToGrid w:val="0"/>
              <w:spacing w:line="360" w:lineRule="auto"/>
              <w:jc w:val="both"/>
              <w:rPr>
                <w:rFonts w:hAnsi="宋体" w:eastAsia="宋体" w:cs="宋体"/>
                <w:snapToGrid w:val="0"/>
                <w:color w:val="auto"/>
                <w:positio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 w:hRule="atLeast"/>
        </w:trPr>
        <w:tc>
          <w:tcPr>
            <w:tcW w:w="709" w:type="dxa"/>
            <w:vAlign w:val="center"/>
          </w:tcPr>
          <w:p>
            <w:pPr>
              <w:snapToGrid w:val="0"/>
              <w:spacing w:line="360" w:lineRule="auto"/>
              <w:jc w:val="both"/>
              <w:rPr>
                <w:rFonts w:hAnsi="宋体" w:eastAsia="宋体" w:cs="宋体"/>
                <w:snapToGrid w:val="0"/>
                <w:color w:val="auto"/>
                <w:position w:val="0"/>
                <w:highlight w:val="none"/>
              </w:rPr>
            </w:pPr>
          </w:p>
        </w:tc>
        <w:tc>
          <w:tcPr>
            <w:tcW w:w="1448" w:type="dxa"/>
            <w:vAlign w:val="center"/>
          </w:tcPr>
          <w:p>
            <w:pPr>
              <w:snapToGrid w:val="0"/>
              <w:spacing w:line="360" w:lineRule="auto"/>
              <w:jc w:val="both"/>
              <w:rPr>
                <w:rFonts w:hAnsi="宋体" w:eastAsia="宋体" w:cs="宋体"/>
                <w:snapToGrid w:val="0"/>
                <w:color w:val="auto"/>
                <w:position w:val="0"/>
                <w:highlight w:val="none"/>
              </w:rPr>
            </w:pPr>
          </w:p>
        </w:tc>
        <w:tc>
          <w:tcPr>
            <w:tcW w:w="1078" w:type="dxa"/>
            <w:vAlign w:val="center"/>
          </w:tcPr>
          <w:p>
            <w:pPr>
              <w:snapToGrid w:val="0"/>
              <w:spacing w:line="360" w:lineRule="auto"/>
              <w:jc w:val="both"/>
              <w:rPr>
                <w:rFonts w:hAnsi="宋体" w:eastAsia="宋体" w:cs="宋体"/>
                <w:snapToGrid w:val="0"/>
                <w:color w:val="auto"/>
                <w:position w:val="0"/>
                <w:highlight w:val="none"/>
              </w:rPr>
            </w:pPr>
          </w:p>
        </w:tc>
        <w:tc>
          <w:tcPr>
            <w:tcW w:w="1079" w:type="dxa"/>
            <w:vAlign w:val="center"/>
          </w:tcPr>
          <w:p>
            <w:pPr>
              <w:snapToGrid w:val="0"/>
              <w:spacing w:line="360" w:lineRule="auto"/>
              <w:jc w:val="both"/>
              <w:rPr>
                <w:rFonts w:hAnsi="宋体" w:eastAsia="宋体" w:cs="宋体"/>
                <w:snapToGrid w:val="0"/>
                <w:color w:val="auto"/>
                <w:position w:val="0"/>
                <w:highlight w:val="none"/>
              </w:rPr>
            </w:pPr>
          </w:p>
        </w:tc>
        <w:tc>
          <w:tcPr>
            <w:tcW w:w="1079" w:type="dxa"/>
            <w:vAlign w:val="center"/>
          </w:tcPr>
          <w:p>
            <w:pPr>
              <w:snapToGrid w:val="0"/>
              <w:spacing w:line="360" w:lineRule="auto"/>
              <w:jc w:val="both"/>
              <w:rPr>
                <w:rFonts w:hAnsi="宋体" w:eastAsia="宋体" w:cs="宋体"/>
                <w:snapToGrid w:val="0"/>
                <w:color w:val="auto"/>
                <w:position w:val="0"/>
                <w:highlight w:val="none"/>
              </w:rPr>
            </w:pPr>
          </w:p>
        </w:tc>
        <w:tc>
          <w:tcPr>
            <w:tcW w:w="3843" w:type="dxa"/>
            <w:vAlign w:val="center"/>
          </w:tcPr>
          <w:p>
            <w:pPr>
              <w:snapToGrid w:val="0"/>
              <w:spacing w:line="360" w:lineRule="auto"/>
              <w:jc w:val="both"/>
              <w:rPr>
                <w:rFonts w:hAnsi="宋体" w:eastAsia="宋体" w:cs="宋体"/>
                <w:snapToGrid w:val="0"/>
                <w:color w:val="auto"/>
                <w:positio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709" w:type="dxa"/>
            <w:vAlign w:val="center"/>
          </w:tcPr>
          <w:p>
            <w:pPr>
              <w:snapToGrid w:val="0"/>
              <w:spacing w:line="360" w:lineRule="auto"/>
              <w:jc w:val="both"/>
              <w:rPr>
                <w:rFonts w:hAnsi="宋体" w:eastAsia="宋体" w:cs="宋体"/>
                <w:snapToGrid w:val="0"/>
                <w:color w:val="auto"/>
                <w:position w:val="0"/>
                <w:highlight w:val="none"/>
              </w:rPr>
            </w:pPr>
          </w:p>
        </w:tc>
        <w:tc>
          <w:tcPr>
            <w:tcW w:w="1448" w:type="dxa"/>
            <w:vAlign w:val="center"/>
          </w:tcPr>
          <w:p>
            <w:pPr>
              <w:snapToGrid w:val="0"/>
              <w:spacing w:line="360" w:lineRule="auto"/>
              <w:jc w:val="both"/>
              <w:rPr>
                <w:rFonts w:hAnsi="宋体" w:eastAsia="宋体" w:cs="宋体"/>
                <w:snapToGrid w:val="0"/>
                <w:color w:val="auto"/>
                <w:position w:val="0"/>
                <w:highlight w:val="none"/>
              </w:rPr>
            </w:pPr>
          </w:p>
        </w:tc>
        <w:tc>
          <w:tcPr>
            <w:tcW w:w="1078" w:type="dxa"/>
            <w:vAlign w:val="center"/>
          </w:tcPr>
          <w:p>
            <w:pPr>
              <w:snapToGrid w:val="0"/>
              <w:spacing w:line="360" w:lineRule="auto"/>
              <w:jc w:val="both"/>
              <w:rPr>
                <w:rFonts w:hAnsi="宋体" w:eastAsia="宋体" w:cs="宋体"/>
                <w:snapToGrid w:val="0"/>
                <w:color w:val="auto"/>
                <w:position w:val="0"/>
                <w:highlight w:val="none"/>
              </w:rPr>
            </w:pPr>
          </w:p>
        </w:tc>
        <w:tc>
          <w:tcPr>
            <w:tcW w:w="1079" w:type="dxa"/>
            <w:vAlign w:val="center"/>
          </w:tcPr>
          <w:p>
            <w:pPr>
              <w:snapToGrid w:val="0"/>
              <w:spacing w:line="360" w:lineRule="auto"/>
              <w:jc w:val="both"/>
              <w:rPr>
                <w:rFonts w:hAnsi="宋体" w:eastAsia="宋体" w:cs="宋体"/>
                <w:snapToGrid w:val="0"/>
                <w:color w:val="auto"/>
                <w:position w:val="0"/>
                <w:highlight w:val="none"/>
              </w:rPr>
            </w:pPr>
          </w:p>
        </w:tc>
        <w:tc>
          <w:tcPr>
            <w:tcW w:w="1079" w:type="dxa"/>
            <w:vAlign w:val="center"/>
          </w:tcPr>
          <w:p>
            <w:pPr>
              <w:snapToGrid w:val="0"/>
              <w:spacing w:line="360" w:lineRule="auto"/>
              <w:jc w:val="both"/>
              <w:rPr>
                <w:rFonts w:hAnsi="宋体" w:eastAsia="宋体" w:cs="宋体"/>
                <w:snapToGrid w:val="0"/>
                <w:color w:val="auto"/>
                <w:position w:val="0"/>
                <w:highlight w:val="none"/>
              </w:rPr>
            </w:pPr>
          </w:p>
        </w:tc>
        <w:tc>
          <w:tcPr>
            <w:tcW w:w="3843" w:type="dxa"/>
            <w:vAlign w:val="center"/>
          </w:tcPr>
          <w:p>
            <w:pPr>
              <w:snapToGrid w:val="0"/>
              <w:spacing w:line="360" w:lineRule="auto"/>
              <w:jc w:val="both"/>
              <w:rPr>
                <w:rFonts w:hAnsi="宋体" w:eastAsia="宋体" w:cs="宋体"/>
                <w:snapToGrid w:val="0"/>
                <w:color w:val="auto"/>
                <w:positio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 w:hRule="atLeast"/>
        </w:trPr>
        <w:tc>
          <w:tcPr>
            <w:tcW w:w="709" w:type="dxa"/>
            <w:vAlign w:val="center"/>
          </w:tcPr>
          <w:p>
            <w:pPr>
              <w:snapToGrid w:val="0"/>
              <w:spacing w:line="360" w:lineRule="auto"/>
              <w:jc w:val="both"/>
              <w:rPr>
                <w:rFonts w:hAnsi="宋体" w:eastAsia="宋体" w:cs="宋体"/>
                <w:snapToGrid w:val="0"/>
                <w:color w:val="auto"/>
                <w:position w:val="0"/>
                <w:highlight w:val="none"/>
              </w:rPr>
            </w:pPr>
          </w:p>
        </w:tc>
        <w:tc>
          <w:tcPr>
            <w:tcW w:w="1448" w:type="dxa"/>
            <w:vAlign w:val="center"/>
          </w:tcPr>
          <w:p>
            <w:pPr>
              <w:snapToGrid w:val="0"/>
              <w:spacing w:line="360" w:lineRule="auto"/>
              <w:jc w:val="both"/>
              <w:rPr>
                <w:rFonts w:hAnsi="宋体" w:eastAsia="宋体" w:cs="宋体"/>
                <w:snapToGrid w:val="0"/>
                <w:color w:val="auto"/>
                <w:position w:val="0"/>
                <w:highlight w:val="none"/>
              </w:rPr>
            </w:pPr>
          </w:p>
        </w:tc>
        <w:tc>
          <w:tcPr>
            <w:tcW w:w="1078" w:type="dxa"/>
            <w:vAlign w:val="center"/>
          </w:tcPr>
          <w:p>
            <w:pPr>
              <w:snapToGrid w:val="0"/>
              <w:spacing w:line="360" w:lineRule="auto"/>
              <w:jc w:val="both"/>
              <w:rPr>
                <w:rFonts w:hAnsi="宋体" w:eastAsia="宋体" w:cs="宋体"/>
                <w:snapToGrid w:val="0"/>
                <w:color w:val="auto"/>
                <w:position w:val="0"/>
                <w:highlight w:val="none"/>
              </w:rPr>
            </w:pPr>
          </w:p>
        </w:tc>
        <w:tc>
          <w:tcPr>
            <w:tcW w:w="1079" w:type="dxa"/>
            <w:vAlign w:val="center"/>
          </w:tcPr>
          <w:p>
            <w:pPr>
              <w:snapToGrid w:val="0"/>
              <w:spacing w:line="360" w:lineRule="auto"/>
              <w:jc w:val="both"/>
              <w:rPr>
                <w:rFonts w:hAnsi="宋体" w:eastAsia="宋体" w:cs="宋体"/>
                <w:snapToGrid w:val="0"/>
                <w:color w:val="auto"/>
                <w:position w:val="0"/>
                <w:highlight w:val="none"/>
              </w:rPr>
            </w:pPr>
          </w:p>
        </w:tc>
        <w:tc>
          <w:tcPr>
            <w:tcW w:w="1079" w:type="dxa"/>
            <w:vAlign w:val="center"/>
          </w:tcPr>
          <w:p>
            <w:pPr>
              <w:snapToGrid w:val="0"/>
              <w:spacing w:line="360" w:lineRule="auto"/>
              <w:jc w:val="both"/>
              <w:rPr>
                <w:rFonts w:hAnsi="宋体" w:eastAsia="宋体" w:cs="宋体"/>
                <w:snapToGrid w:val="0"/>
                <w:color w:val="auto"/>
                <w:position w:val="0"/>
                <w:highlight w:val="none"/>
              </w:rPr>
            </w:pPr>
          </w:p>
        </w:tc>
        <w:tc>
          <w:tcPr>
            <w:tcW w:w="3843" w:type="dxa"/>
            <w:vAlign w:val="center"/>
          </w:tcPr>
          <w:p>
            <w:pPr>
              <w:snapToGrid w:val="0"/>
              <w:spacing w:line="360" w:lineRule="auto"/>
              <w:jc w:val="both"/>
              <w:rPr>
                <w:rFonts w:hAnsi="宋体" w:eastAsia="宋体" w:cs="宋体"/>
                <w:snapToGrid w:val="0"/>
                <w:color w:val="auto"/>
                <w:positio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709" w:type="dxa"/>
            <w:vAlign w:val="center"/>
          </w:tcPr>
          <w:p>
            <w:pPr>
              <w:snapToGrid w:val="0"/>
              <w:spacing w:line="360" w:lineRule="auto"/>
              <w:jc w:val="both"/>
              <w:rPr>
                <w:rFonts w:hAnsi="宋体" w:eastAsia="宋体" w:cs="宋体"/>
                <w:snapToGrid w:val="0"/>
                <w:color w:val="auto"/>
                <w:position w:val="0"/>
                <w:highlight w:val="none"/>
              </w:rPr>
            </w:pPr>
          </w:p>
        </w:tc>
        <w:tc>
          <w:tcPr>
            <w:tcW w:w="1448" w:type="dxa"/>
            <w:vAlign w:val="center"/>
          </w:tcPr>
          <w:p>
            <w:pPr>
              <w:snapToGrid w:val="0"/>
              <w:spacing w:line="360" w:lineRule="auto"/>
              <w:jc w:val="both"/>
              <w:rPr>
                <w:rFonts w:hAnsi="宋体" w:eastAsia="宋体" w:cs="宋体"/>
                <w:snapToGrid w:val="0"/>
                <w:color w:val="auto"/>
                <w:position w:val="0"/>
                <w:highlight w:val="none"/>
              </w:rPr>
            </w:pPr>
          </w:p>
        </w:tc>
        <w:tc>
          <w:tcPr>
            <w:tcW w:w="1078" w:type="dxa"/>
            <w:vAlign w:val="center"/>
          </w:tcPr>
          <w:p>
            <w:pPr>
              <w:snapToGrid w:val="0"/>
              <w:spacing w:line="360" w:lineRule="auto"/>
              <w:jc w:val="both"/>
              <w:rPr>
                <w:rFonts w:hAnsi="宋体" w:eastAsia="宋体" w:cs="宋体"/>
                <w:snapToGrid w:val="0"/>
                <w:color w:val="auto"/>
                <w:position w:val="0"/>
                <w:highlight w:val="none"/>
              </w:rPr>
            </w:pPr>
          </w:p>
        </w:tc>
        <w:tc>
          <w:tcPr>
            <w:tcW w:w="1079" w:type="dxa"/>
            <w:vAlign w:val="center"/>
          </w:tcPr>
          <w:p>
            <w:pPr>
              <w:snapToGrid w:val="0"/>
              <w:spacing w:line="360" w:lineRule="auto"/>
              <w:jc w:val="both"/>
              <w:rPr>
                <w:rFonts w:hAnsi="宋体" w:eastAsia="宋体" w:cs="宋体"/>
                <w:snapToGrid w:val="0"/>
                <w:color w:val="auto"/>
                <w:position w:val="0"/>
                <w:highlight w:val="none"/>
              </w:rPr>
            </w:pPr>
          </w:p>
        </w:tc>
        <w:tc>
          <w:tcPr>
            <w:tcW w:w="1079" w:type="dxa"/>
            <w:vAlign w:val="center"/>
          </w:tcPr>
          <w:p>
            <w:pPr>
              <w:snapToGrid w:val="0"/>
              <w:spacing w:line="360" w:lineRule="auto"/>
              <w:jc w:val="both"/>
              <w:rPr>
                <w:rFonts w:hAnsi="宋体" w:eastAsia="宋体" w:cs="宋体"/>
                <w:snapToGrid w:val="0"/>
                <w:color w:val="auto"/>
                <w:position w:val="0"/>
                <w:highlight w:val="none"/>
              </w:rPr>
            </w:pPr>
          </w:p>
        </w:tc>
        <w:tc>
          <w:tcPr>
            <w:tcW w:w="3843" w:type="dxa"/>
            <w:vAlign w:val="center"/>
          </w:tcPr>
          <w:p>
            <w:pPr>
              <w:snapToGrid w:val="0"/>
              <w:spacing w:line="360" w:lineRule="auto"/>
              <w:jc w:val="both"/>
              <w:rPr>
                <w:rFonts w:hAnsi="宋体" w:eastAsia="宋体" w:cs="宋体"/>
                <w:snapToGrid w:val="0"/>
                <w:color w:val="auto"/>
                <w:position w:val="0"/>
                <w:highlight w:val="none"/>
              </w:rPr>
            </w:pPr>
          </w:p>
        </w:tc>
      </w:tr>
    </w:tbl>
    <w:p>
      <w:pPr>
        <w:spacing w:line="600" w:lineRule="exact"/>
        <w:jc w:val="left"/>
        <w:rPr>
          <w:rFonts w:hint="eastAsia" w:ascii="微软雅黑" w:hAnsi="微软雅黑" w:eastAsia="微软雅黑" w:cs="微软雅黑"/>
          <w:b w:val="0"/>
          <w:bCs w:val="0"/>
          <w:i w:val="0"/>
          <w:iCs w:val="0"/>
          <w:caps w:val="0"/>
          <w:color w:val="666666"/>
          <w:spacing w:val="0"/>
          <w:kern w:val="0"/>
          <w:sz w:val="24"/>
          <w:szCs w:val="24"/>
          <w:lang w:val="en-US" w:eastAsia="zh-CN" w:bidi="ar"/>
        </w:rPr>
      </w:pPr>
      <w:r>
        <w:rPr>
          <w:rFonts w:hint="eastAsia" w:ascii="微软雅黑" w:hAnsi="微软雅黑" w:eastAsia="微软雅黑" w:cs="微软雅黑"/>
          <w:b w:val="0"/>
          <w:bCs w:val="0"/>
          <w:i w:val="0"/>
          <w:iCs w:val="0"/>
          <w:caps w:val="0"/>
          <w:color w:val="666666"/>
          <w:spacing w:val="0"/>
          <w:kern w:val="0"/>
          <w:sz w:val="24"/>
          <w:szCs w:val="24"/>
          <w:lang w:val="en-US" w:eastAsia="zh-CN" w:bidi="ar"/>
        </w:rPr>
        <w:t>注：提供项目班子成员证件的复印件并盖公章（包括但不限于建造师、施工员（工长）、质量员（质量检查员）、安全员等）。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b w:val="0"/>
          <w:bCs w:val="0"/>
          <w:i w:val="0"/>
          <w:iCs w:val="0"/>
          <w:caps w:val="0"/>
          <w:color w:val="666666"/>
          <w:spacing w:val="0"/>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微软雅黑" w:hAnsi="微软雅黑" w:eastAsia="微软雅黑" w:cs="微软雅黑"/>
          <w:b w:val="0"/>
          <w:bCs w:val="0"/>
          <w:i w:val="0"/>
          <w:iCs w:val="0"/>
          <w:caps w:val="0"/>
          <w:color w:val="666666"/>
          <w:spacing w:val="0"/>
          <w:sz w:val="24"/>
          <w:szCs w:val="24"/>
        </w:rPr>
        <w:t>供应商全称：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微软雅黑" w:hAnsi="微软雅黑" w:eastAsia="微软雅黑" w:cs="微软雅黑"/>
          <w:b w:val="0"/>
          <w:bCs w:val="0"/>
          <w:i w:val="0"/>
          <w:iCs w:val="0"/>
          <w:caps w:val="0"/>
          <w:color w:val="666666"/>
          <w:spacing w:val="0"/>
          <w:sz w:val="24"/>
          <w:szCs w:val="24"/>
        </w:rPr>
        <w:t>日期：    年    月    日</w:t>
      </w:r>
    </w:p>
    <w:p>
      <w:pPr>
        <w:keepNext w:val="0"/>
        <w:keepLines w:val="0"/>
        <w:widowControl/>
        <w:suppressLineNumbers w:val="0"/>
        <w:spacing w:before="0" w:beforeAutospacing="0" w:after="240" w:afterAutospacing="0"/>
        <w:ind w:left="0" w:right="0"/>
        <w:jc w:val="left"/>
      </w:pP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kern w:val="0"/>
          <w:sz w:val="27"/>
          <w:szCs w:val="27"/>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kern w:val="0"/>
          <w:sz w:val="27"/>
          <w:szCs w:val="27"/>
          <w:lang w:val="en-US" w:eastAsia="zh-CN" w:bidi="ar"/>
        </w:rPr>
      </w:pPr>
      <w:r>
        <w:rPr>
          <w:rFonts w:hint="eastAsia" w:ascii="微软雅黑" w:hAnsi="微软雅黑" w:eastAsia="微软雅黑" w:cs="微软雅黑"/>
          <w:b/>
          <w:bCs/>
          <w:i w:val="0"/>
          <w:iCs w:val="0"/>
          <w:caps w:val="0"/>
          <w:color w:val="666666"/>
          <w:spacing w:val="0"/>
          <w:kern w:val="0"/>
          <w:sz w:val="27"/>
          <w:szCs w:val="27"/>
          <w:lang w:val="en-US" w:eastAsia="zh-CN" w:bidi="ar"/>
        </w:rPr>
        <w:t>五、施工组织设计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kern w:val="0"/>
          <w:sz w:val="27"/>
          <w:szCs w:val="27"/>
          <w:lang w:val="en-US" w:eastAsia="zh-CN" w:bidi="ar"/>
        </w:rPr>
      </w:pPr>
      <w:r>
        <w:rPr>
          <w:rFonts w:hint="eastAsia" w:ascii="微软雅黑" w:hAnsi="微软雅黑" w:eastAsia="微软雅黑" w:cs="微软雅黑"/>
          <w:b/>
          <w:bCs/>
          <w:i w:val="0"/>
          <w:iCs w:val="0"/>
          <w:caps w:val="0"/>
          <w:color w:val="666666"/>
          <w:spacing w:val="0"/>
          <w:kern w:val="0"/>
          <w:sz w:val="27"/>
          <w:szCs w:val="27"/>
          <w:lang w:val="en-US" w:eastAsia="zh-CN" w:bidi="ar"/>
        </w:rPr>
        <w:t>（供应商须结合评分细则自行编制）</w:t>
      </w:r>
    </w:p>
    <w:p>
      <w:pPr>
        <w:pStyle w:val="2"/>
        <w:rPr>
          <w:rFonts w:hint="eastAsia" w:ascii="微软雅黑" w:hAnsi="微软雅黑" w:eastAsia="微软雅黑" w:cs="微软雅黑"/>
          <w:b/>
          <w:bCs/>
          <w:i w:val="0"/>
          <w:iCs w:val="0"/>
          <w:caps w:val="0"/>
          <w:color w:val="666666"/>
          <w:spacing w:val="0"/>
          <w:kern w:val="0"/>
          <w:sz w:val="27"/>
          <w:szCs w:val="27"/>
          <w:lang w:val="en-US" w:eastAsia="zh-CN" w:bidi="ar"/>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供应商全称：</w:t>
      </w:r>
    </w:p>
    <w:p>
      <w:pPr>
        <w:pStyle w:val="2"/>
        <w:rPr>
          <w:rFonts w:hint="eastAsia" w:ascii="微软雅黑" w:hAnsi="微软雅黑" w:eastAsia="微软雅黑" w:cs="微软雅黑"/>
          <w:b/>
          <w:bCs/>
          <w:i w:val="0"/>
          <w:iCs w:val="0"/>
          <w:caps w:val="0"/>
          <w:color w:val="666666"/>
          <w:spacing w:val="0"/>
          <w:kern w:val="0"/>
          <w:sz w:val="27"/>
          <w:szCs w:val="27"/>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lang w:val="en-US" w:eastAsia="zh-CN" w:bidi="ar"/>
        </w:rPr>
        <w:t>六、技术服务和售后服务的内容及措施</w:t>
      </w:r>
    </w:p>
    <w:p>
      <w:pPr>
        <w:keepNext w:val="0"/>
        <w:keepLines w:val="0"/>
        <w:widowControl/>
        <w:suppressLineNumbers w:val="0"/>
        <w:spacing w:before="0" w:beforeAutospacing="0" w:after="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供应商全称：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bCs w:val="0"/>
          <w:i w:val="0"/>
          <w:iCs w:val="0"/>
          <w:caps w:val="0"/>
          <w:color w:val="666666"/>
          <w:spacing w:val="0"/>
          <w:sz w:val="24"/>
          <w:szCs w:val="24"/>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kern w:val="0"/>
          <w:sz w:val="27"/>
          <w:szCs w:val="27"/>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lang w:val="en-US" w:eastAsia="zh-CN" w:bidi="ar"/>
        </w:rPr>
        <w:t>七、法定代表人/单位负责人授权书</w:t>
      </w:r>
    </w:p>
    <w:p>
      <w:pPr>
        <w:keepNext w:val="0"/>
        <w:keepLines w:val="0"/>
        <w:widowControl/>
        <w:suppressLineNumbers w:val="0"/>
        <w:spacing w:before="0" w:beforeAutospacing="0" w:after="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（报价单位全称）法定代表人/单位负责人                   授权                   （授权代表姓名）为响应供应商代表，参加贵处组织的                   项目（项目编号）竞争性磋商，全权处理本活动中的一切事宜。</w:t>
      </w:r>
    </w:p>
    <w:p>
      <w:pPr>
        <w:keepNext w:val="0"/>
        <w:keepLines w:val="0"/>
        <w:widowControl/>
        <w:suppressLineNumbers w:val="0"/>
        <w:spacing w:before="0" w:beforeAutospacing="0" w:after="240" w:afterAutospacing="0"/>
        <w:ind w:left="0" w:right="0"/>
        <w:jc w:val="left"/>
      </w:pP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法定代表人/单位负责人签字：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供应商全称（公章）：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日   期：</w:t>
      </w:r>
    </w:p>
    <w:p>
      <w:pPr>
        <w:keepNext w:val="0"/>
        <w:keepLines w:val="0"/>
        <w:widowControl/>
        <w:suppressLineNumbers w:val="0"/>
        <w:spacing w:before="0" w:beforeAutospacing="0" w:after="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授权代表姓名：                                              授权代表：（签字）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职             务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详细通讯地址：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邮  政  编  码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传             真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电             话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bCs w:val="0"/>
          <w:i w:val="0"/>
          <w:iCs w:val="0"/>
          <w:caps w:val="0"/>
          <w:color w:val="666666"/>
          <w:spacing w:val="0"/>
          <w:sz w:val="24"/>
          <w:szCs w:val="24"/>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kern w:val="0"/>
          <w:sz w:val="27"/>
          <w:szCs w:val="27"/>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lang w:val="en-US" w:eastAsia="zh-CN" w:bidi="ar"/>
        </w:rPr>
        <w:t>八、法定代表人/单位负责人和授权代表身份证明</w:t>
      </w:r>
    </w:p>
    <w:p>
      <w:pPr>
        <w:keepNext w:val="0"/>
        <w:keepLines w:val="0"/>
        <w:widowControl/>
        <w:suppressLineNumbers w:val="0"/>
        <w:spacing w:before="0" w:beforeAutospacing="0" w:after="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bCs w:val="0"/>
          <w:i w:val="0"/>
          <w:iCs w:val="0"/>
          <w:caps w:val="0"/>
          <w:color w:val="666666"/>
          <w:spacing w:val="0"/>
          <w:sz w:val="24"/>
          <w:szCs w:val="24"/>
        </w:rPr>
        <w:t>（法定代表人/单位负责人身份证正反面复印件）</w:t>
      </w:r>
    </w:p>
    <w:p>
      <w:pPr>
        <w:keepNext w:val="0"/>
        <w:keepLines w:val="0"/>
        <w:widowControl/>
        <w:suppressLineNumbers w:val="0"/>
        <w:spacing w:before="0" w:beforeAutospacing="0" w:after="240" w:afterAutospacing="0"/>
        <w:ind w:left="0" w:right="0"/>
        <w:jc w:val="left"/>
      </w:pP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bCs w:val="0"/>
          <w:i w:val="0"/>
          <w:iCs w:val="0"/>
          <w:caps w:val="0"/>
          <w:color w:val="666666"/>
          <w:spacing w:val="0"/>
          <w:sz w:val="24"/>
          <w:szCs w:val="24"/>
        </w:rPr>
        <w:t>（授权代表身份证正反面复印件）</w:t>
      </w:r>
    </w:p>
    <w:p>
      <w:pPr>
        <w:keepNext w:val="0"/>
        <w:keepLines w:val="0"/>
        <w:widowControl/>
        <w:suppressLineNumbers w:val="0"/>
        <w:spacing w:before="0" w:beforeAutospacing="0" w:after="240" w:afterAutospacing="0"/>
        <w:ind w:left="0" w:right="0"/>
        <w:jc w:val="left"/>
      </w:pP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供应商全称：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lang w:val="en-US" w:eastAsia="zh-CN" w:bidi="ar"/>
        </w:rPr>
        <w:t>九、小微企业声明函</w:t>
      </w:r>
    </w:p>
    <w:p>
      <w:pPr>
        <w:keepNext w:val="0"/>
        <w:keepLines w:val="0"/>
        <w:widowControl/>
        <w:suppressLineNumbers w:val="0"/>
        <w:spacing w:before="0" w:beforeAutospacing="0" w:after="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FF0000"/>
        </w:rPr>
      </w:pPr>
      <w:r>
        <w:rPr>
          <w:rFonts w:hint="eastAsia" w:ascii="微软雅黑" w:hAnsi="微软雅黑" w:eastAsia="微软雅黑" w:cs="微软雅黑"/>
          <w:b w:val="0"/>
          <w:bCs w:val="0"/>
          <w:i w:val="0"/>
          <w:iCs w:val="0"/>
          <w:caps w:val="0"/>
          <w:color w:val="FF0000"/>
          <w:spacing w:val="0"/>
          <w:sz w:val="24"/>
          <w:szCs w:val="24"/>
        </w:rPr>
        <w:t>注：响应供应商及响应产品是小微企业的提供，否则无需提供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lang w:val="en-US" w:eastAsia="zh-CN" w:bidi="ar"/>
        </w:rPr>
        <w:t>中小企业声明函（货物）</w:t>
      </w:r>
    </w:p>
    <w:p>
      <w:pPr>
        <w:keepNext w:val="0"/>
        <w:keepLines w:val="0"/>
        <w:widowControl/>
        <w:suppressLineNumbers w:val="0"/>
        <w:spacing w:before="0" w:beforeAutospacing="0" w:after="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rPr>
        <w:t>       1.（标的名称），属于（采购文件中明确的所属行业）行业；制造商为（企业名称），从业人员      人，营业收入为      万元，资产总额为      万元，属于（中型企业、小型企业、微型企业）；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rPr>
        <w:t>       2.（标的名称），属于（采购文件中明确的所属行业）行业；制造商为（企业名称），从业人员      人，营业收入为      万元，资产总额为      万元，属于（中型企业、小型企业、微型企业）；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rPr>
        <w:t>       以上企业，不属于大企业的分支机构，不存在控股股东为大企业的情形，也不存在与大企业的负责人为同一人的情形。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rPr>
        <w:t>       本企业对上述声明内容的真实性负责。如有虚假，将依法承担相应责任。</w:t>
      </w:r>
    </w:p>
    <w:p>
      <w:pPr>
        <w:keepNext w:val="0"/>
        <w:keepLines w:val="0"/>
        <w:widowControl/>
        <w:suppressLineNumbers w:val="0"/>
        <w:spacing w:before="0" w:beforeAutospacing="0" w:after="24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bCs w:val="0"/>
        </w:rPr>
      </w:pPr>
      <w:r>
        <w:rPr>
          <w:rFonts w:hint="eastAsia" w:ascii="微软雅黑" w:hAnsi="微软雅黑" w:eastAsia="微软雅黑" w:cs="微软雅黑"/>
          <w:b w:val="0"/>
          <w:bCs w:val="0"/>
          <w:i w:val="0"/>
          <w:iCs w:val="0"/>
          <w:caps w:val="0"/>
          <w:color w:val="666666"/>
          <w:spacing w:val="0"/>
          <w:sz w:val="24"/>
          <w:szCs w:val="24"/>
        </w:rPr>
        <w:t>企业名称（盖章）：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bCs w:val="0"/>
        </w:rPr>
      </w:pPr>
      <w:r>
        <w:rPr>
          <w:rFonts w:hint="eastAsia" w:ascii="微软雅黑" w:hAnsi="微软雅黑" w:eastAsia="微软雅黑" w:cs="微软雅黑"/>
          <w:b w:val="0"/>
          <w:bCs w:val="0"/>
          <w:i w:val="0"/>
          <w:iCs w:val="0"/>
          <w:caps w:val="0"/>
          <w:color w:val="666666"/>
          <w:spacing w:val="0"/>
          <w:sz w:val="24"/>
          <w:szCs w:val="24"/>
        </w:rPr>
        <w:t>日期：         年        月        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0"/>
          <w:szCs w:val="20"/>
        </w:rPr>
        <w:t>从业人员、营业收入、资产总额填报上一年度数据，无上一年度数据的新成立企业可不填报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lang w:val="en-US" w:eastAsia="zh-CN" w:bidi="ar"/>
        </w:rPr>
        <w:t>中小企业声明函（工程、服务）</w:t>
      </w:r>
    </w:p>
    <w:p>
      <w:pPr>
        <w:keepNext w:val="0"/>
        <w:keepLines w:val="0"/>
        <w:widowControl/>
        <w:suppressLineNumbers w:val="0"/>
        <w:spacing w:before="0" w:beforeAutospacing="0" w:after="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rPr>
        <w:t>       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rPr>
        <w:t>       1.（标的名称），属于（采购文件中明确的所属行业）；承建（承接）企业为（企业名称），从业人员      人，营业收入为      万元，资产总额为      万元，属于（中型企业、小型企业、微型企业）；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rPr>
        <w:t>       2.（标的名称），属于（采购文件中明确的所属行业）；承建（承接）企业为（企业名称），从业人员      人，营业收入为      万元，资产总额为      万元，属于（中型企业、小型企业、微型企业）；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rPr>
        <w:t>       以上企业，不属于大企业的分支机构，不存在控股股东为大企业的情形，也不存在与大企业的负责人为同一人的情形。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rPr>
        <w:t>       本企业对上述声明内容的真实性负责。如有虚假，将依法承担相应责任。</w:t>
      </w:r>
    </w:p>
    <w:p>
      <w:pPr>
        <w:keepNext w:val="0"/>
        <w:keepLines w:val="0"/>
        <w:widowControl/>
        <w:suppressLineNumbers w:val="0"/>
        <w:spacing w:before="0" w:beforeAutospacing="0" w:after="240" w:afterAutospacing="0"/>
        <w:ind w:left="0" w:right="0"/>
        <w:jc w:val="left"/>
      </w:pP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bCs w:val="0"/>
        </w:rPr>
      </w:pPr>
      <w:r>
        <w:rPr>
          <w:rFonts w:hint="eastAsia" w:ascii="微软雅黑" w:hAnsi="微软雅黑" w:eastAsia="微软雅黑" w:cs="微软雅黑"/>
          <w:b w:val="0"/>
          <w:bCs w:val="0"/>
          <w:i w:val="0"/>
          <w:iCs w:val="0"/>
          <w:caps w:val="0"/>
          <w:color w:val="666666"/>
          <w:spacing w:val="0"/>
          <w:sz w:val="24"/>
          <w:szCs w:val="24"/>
        </w:rPr>
        <w:t>企业名称（盖章）：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bCs w:val="0"/>
        </w:rPr>
      </w:pPr>
      <w:r>
        <w:rPr>
          <w:rFonts w:hint="eastAsia" w:ascii="微软雅黑" w:hAnsi="微软雅黑" w:eastAsia="微软雅黑" w:cs="微软雅黑"/>
          <w:b w:val="0"/>
          <w:bCs w:val="0"/>
          <w:i w:val="0"/>
          <w:iCs w:val="0"/>
          <w:caps w:val="0"/>
          <w:color w:val="666666"/>
          <w:spacing w:val="0"/>
          <w:sz w:val="24"/>
          <w:szCs w:val="24"/>
        </w:rPr>
        <w:t>日期：         年        月        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0"/>
          <w:szCs w:val="20"/>
        </w:rPr>
        <w:t>从业人员、营业收入、资产总额填报上一年度数据，无上一年度数据的新成立企业可不填报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bCs w:val="0"/>
          <w:i w:val="0"/>
          <w:iCs w:val="0"/>
          <w:caps w:val="0"/>
          <w:color w:val="666666"/>
          <w:spacing w:val="0"/>
          <w:sz w:val="24"/>
          <w:szCs w:val="24"/>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lang w:val="en-US" w:eastAsia="zh-CN" w:bidi="ar"/>
        </w:rPr>
        <w:t>十、残疾人福利性单位声明函</w:t>
      </w:r>
    </w:p>
    <w:p>
      <w:pPr>
        <w:keepNext w:val="0"/>
        <w:keepLines w:val="0"/>
        <w:widowControl/>
        <w:suppressLineNumbers w:val="0"/>
        <w:spacing w:before="0" w:beforeAutospacing="0" w:after="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rPr>
        <w:t>       本单位郑重声明，根据《财政部 民政部 中国残疾人联合会关于促进残疾人就业政府采购政策的通知》（财库〔2017〕141号）的规定，本单位为符合条件的残疾人福利性单位，且本单位参加         单位的         目采购活动提供本单位制造的货物（由本单位承担工程/提供服务），或者提供其他残疾人福利性单位制造的货物（不包括使用非残疾人福利性单位注册商标的货物）。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rPr>
        <w:t>       本单位对上述声明的真实性负责。如有虚假，将依法承担相应责任。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pPr>
      <w:r>
        <w:rPr>
          <w:rFonts w:hint="eastAsia" w:ascii="微软雅黑" w:hAnsi="微软雅黑" w:eastAsia="微软雅黑" w:cs="微软雅黑"/>
          <w:b w:val="0"/>
          <w:bCs w:val="0"/>
          <w:i w:val="0"/>
          <w:iCs w:val="0"/>
          <w:caps w:val="0"/>
          <w:color w:val="666666"/>
          <w:spacing w:val="0"/>
          <w:sz w:val="24"/>
          <w:szCs w:val="24"/>
        </w:rPr>
        <w:br w:type="textWrapp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bCs w:val="0"/>
        </w:rPr>
      </w:pPr>
      <w:r>
        <w:rPr>
          <w:rFonts w:hint="eastAsia" w:ascii="微软雅黑" w:hAnsi="微软雅黑" w:eastAsia="微软雅黑" w:cs="微软雅黑"/>
          <w:b w:val="0"/>
          <w:bCs w:val="0"/>
          <w:i w:val="0"/>
          <w:iCs w:val="0"/>
          <w:caps w:val="0"/>
          <w:color w:val="666666"/>
          <w:spacing w:val="0"/>
          <w:sz w:val="24"/>
          <w:szCs w:val="24"/>
        </w:rPr>
        <w:t>残疾人福利性单位（盖章）：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bCs w:val="0"/>
        </w:rPr>
      </w:pPr>
      <w:r>
        <w:rPr>
          <w:rFonts w:hint="eastAsia" w:ascii="微软雅黑" w:hAnsi="微软雅黑" w:eastAsia="微软雅黑" w:cs="微软雅黑"/>
          <w:b w:val="0"/>
          <w:bCs w:val="0"/>
          <w:i w:val="0"/>
          <w:iCs w:val="0"/>
          <w:caps w:val="0"/>
          <w:color w:val="666666"/>
          <w:spacing w:val="0"/>
          <w:sz w:val="24"/>
          <w:szCs w:val="24"/>
        </w:rPr>
        <w:t>日期：          年         月         日 </w:t>
      </w:r>
    </w:p>
    <w:p>
      <w:pPr>
        <w:keepNext w:val="0"/>
        <w:keepLines w:val="0"/>
        <w:widowControl/>
        <w:suppressLineNumbers w:val="0"/>
        <w:spacing w:before="0" w:beforeAutospacing="0" w:after="240" w:afterAutospacing="0"/>
        <w:ind w:left="0" w:right="0"/>
        <w:jc w:val="left"/>
      </w:pP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r>
        <w:rPr>
          <w:rFonts w:hint="eastAsia" w:ascii="微软雅黑" w:hAnsi="微软雅黑" w:eastAsia="微软雅黑" w:cs="微软雅黑"/>
          <w:b w:val="0"/>
          <w:bCs w:val="0"/>
          <w:i w:val="0"/>
          <w:iCs w:val="0"/>
          <w:caps w:val="0"/>
          <w:color w:val="666666"/>
          <w:spacing w:val="0"/>
          <w:kern w:val="0"/>
          <w:sz w:val="24"/>
          <w:szCs w:val="24"/>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kern w:val="0"/>
          <w:sz w:val="27"/>
          <w:szCs w:val="27"/>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7"/>
          <w:szCs w:val="27"/>
          <w:lang w:val="en-US" w:eastAsia="zh-CN" w:bidi="ar"/>
        </w:rPr>
        <w:t>十一、投标人关联单位的说明</w:t>
      </w:r>
    </w:p>
    <w:p>
      <w:pPr>
        <w:keepNext w:val="0"/>
        <w:keepLines w:val="0"/>
        <w:widowControl/>
        <w:suppressLineNumbers w:val="0"/>
        <w:spacing w:before="0" w:beforeAutospacing="0" w:after="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rPr>
        <w:t>       说明：投标人应当如实披露与本单位存在下列关联关系的单位名称：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rPr>
      </w:pPr>
      <w:r>
        <w:rPr>
          <w:rFonts w:hint="eastAsia" w:ascii="微软雅黑" w:hAnsi="微软雅黑" w:eastAsia="微软雅黑" w:cs="微软雅黑"/>
          <w:b w:val="0"/>
          <w:bCs w:val="0"/>
          <w:i w:val="0"/>
          <w:iCs w:val="0"/>
          <w:caps w:val="0"/>
          <w:color w:val="666666"/>
          <w:spacing w:val="0"/>
          <w:sz w:val="24"/>
          <w:szCs w:val="24"/>
        </w:rPr>
        <w:t>       （1）与投标人单位负责人为同一人的其他单位；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bCs w:val="0"/>
          <w:i w:val="0"/>
          <w:iCs w:val="0"/>
          <w:caps w:val="0"/>
          <w:color w:val="666666"/>
          <w:spacing w:val="0"/>
          <w:sz w:val="24"/>
          <w:szCs w:val="24"/>
        </w:rPr>
        <w:t>       （2）与投标人存在直接控股、管理关系的其他单位。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01AEE"/>
    <w:rsid w:val="02031664"/>
    <w:rsid w:val="07C867BE"/>
    <w:rsid w:val="080C48C3"/>
    <w:rsid w:val="0C5A407E"/>
    <w:rsid w:val="0D2B7D6A"/>
    <w:rsid w:val="0E5D34FD"/>
    <w:rsid w:val="0F1E1355"/>
    <w:rsid w:val="0F407678"/>
    <w:rsid w:val="108449E9"/>
    <w:rsid w:val="114B0D10"/>
    <w:rsid w:val="16CB3A62"/>
    <w:rsid w:val="1DBE6F98"/>
    <w:rsid w:val="22366C38"/>
    <w:rsid w:val="24F742E7"/>
    <w:rsid w:val="260720BD"/>
    <w:rsid w:val="2762462B"/>
    <w:rsid w:val="2AB70110"/>
    <w:rsid w:val="2ECE33BB"/>
    <w:rsid w:val="3360582E"/>
    <w:rsid w:val="35A6073F"/>
    <w:rsid w:val="35E8566F"/>
    <w:rsid w:val="3644011B"/>
    <w:rsid w:val="370333F7"/>
    <w:rsid w:val="3A356B14"/>
    <w:rsid w:val="3BEF26D5"/>
    <w:rsid w:val="3C482B87"/>
    <w:rsid w:val="3E0D6636"/>
    <w:rsid w:val="3E4F1AE4"/>
    <w:rsid w:val="3EB811CE"/>
    <w:rsid w:val="42A71CF6"/>
    <w:rsid w:val="43D942CA"/>
    <w:rsid w:val="46753065"/>
    <w:rsid w:val="47580ED1"/>
    <w:rsid w:val="4B9979DF"/>
    <w:rsid w:val="4B9D5FCF"/>
    <w:rsid w:val="4D34684C"/>
    <w:rsid w:val="51CC2CEE"/>
    <w:rsid w:val="55000472"/>
    <w:rsid w:val="559719C8"/>
    <w:rsid w:val="55AA3CB1"/>
    <w:rsid w:val="5791469B"/>
    <w:rsid w:val="57E974BE"/>
    <w:rsid w:val="594425DC"/>
    <w:rsid w:val="595630BA"/>
    <w:rsid w:val="5AEA7844"/>
    <w:rsid w:val="62142FB7"/>
    <w:rsid w:val="623460CE"/>
    <w:rsid w:val="626D77DD"/>
    <w:rsid w:val="634B122B"/>
    <w:rsid w:val="66AE7E10"/>
    <w:rsid w:val="67BE407C"/>
    <w:rsid w:val="6A064ED4"/>
    <w:rsid w:val="6AF82903"/>
    <w:rsid w:val="6C4822C9"/>
    <w:rsid w:val="6C863B95"/>
    <w:rsid w:val="6DB0205A"/>
    <w:rsid w:val="71101ED0"/>
    <w:rsid w:val="72635FA1"/>
    <w:rsid w:val="7382587D"/>
    <w:rsid w:val="74396021"/>
    <w:rsid w:val="74BD3DDD"/>
    <w:rsid w:val="77BE0BF4"/>
    <w:rsid w:val="79B448CA"/>
    <w:rsid w:val="7A6B548D"/>
    <w:rsid w:val="7D9B3158"/>
    <w:rsid w:val="7EC51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120"/>
      <w:ind w:firstLine="420" w:firstLineChars="100"/>
    </w:pPr>
    <w:rPr>
      <w:sz w:val="21"/>
    </w:rPr>
  </w:style>
  <w:style w:type="paragraph" w:styleId="3">
    <w:name w:val="Body Text"/>
    <w:basedOn w:val="1"/>
    <w:next w:val="4"/>
    <w:qFormat/>
    <w:uiPriority w:val="0"/>
    <w:pPr>
      <w:autoSpaceDE w:val="0"/>
      <w:autoSpaceDN w:val="0"/>
      <w:spacing w:line="560" w:lineRule="exact"/>
      <w:jc w:val="both"/>
      <w:textAlignment w:val="auto"/>
    </w:pPr>
    <w:rPr>
      <w:rFonts w:hAnsi="宋体"/>
      <w:kern w:val="2"/>
      <w:position w:val="0"/>
      <w:sz w:val="32"/>
      <w:szCs w:val="24"/>
    </w:rPr>
  </w:style>
  <w:style w:type="paragraph" w:styleId="4">
    <w:name w:val="Date"/>
    <w:basedOn w:val="1"/>
    <w:next w:val="1"/>
    <w:qFormat/>
    <w:uiPriority w:val="0"/>
    <w:rPr>
      <w:sz w:val="24"/>
      <w:szCs w:val="20"/>
    </w:rPr>
  </w:style>
  <w:style w:type="paragraph" w:styleId="6">
    <w:name w:val="annotation text"/>
    <w:basedOn w:val="1"/>
    <w:qFormat/>
    <w:uiPriority w:val="0"/>
    <w:pPr>
      <w:jc w:val="left"/>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2021-09-28T09:19:00Z</dcterms:created>
  <dc:creator>dell</dc:creator>
  <cp:lastModifiedBy>哈尔滨执信建设项目管理咨询有限公司</cp:lastModifiedBy>
  <dcterms:modified xsi:type="dcterms:W3CDTF">2021-09-29T06:52:38Z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BEC9489B6B494F4B9E06D881109C4FB6</vt:lpwstr>
  </property>
</Properties>
</file>