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20" w:lineRule="exact"/>
        <w:jc w:val="left"/>
        <w:rPr>
          <w:rFonts w:hint="eastAsia" w:ascii="宋体" w:hAnsi="宋体" w:eastAsia="宋体" w:cs="宋体"/>
          <w:sz w:val="21"/>
          <w:szCs w:val="21"/>
          <w:u w:val="single"/>
        </w:rPr>
      </w:pPr>
    </w:p>
    <w:p>
      <w:pPr>
        <w:spacing w:line="520" w:lineRule="exact"/>
        <w:jc w:val="left"/>
        <w:rPr>
          <w:rFonts w:hint="eastAsia" w:ascii="宋体" w:hAnsi="宋体" w:eastAsia="宋体" w:cs="宋体"/>
          <w:sz w:val="21"/>
          <w:szCs w:val="21"/>
          <w:u w:val="single"/>
        </w:rPr>
      </w:pPr>
    </w:p>
    <w:p>
      <w:pPr>
        <w:spacing w:line="520" w:lineRule="exact"/>
        <w:jc w:val="left"/>
        <w:rPr>
          <w:rFonts w:hint="eastAsia" w:ascii="宋体" w:hAnsi="宋体" w:eastAsia="宋体" w:cs="宋体"/>
          <w:sz w:val="21"/>
          <w:szCs w:val="21"/>
          <w:u w:val="single"/>
        </w:rPr>
      </w:pPr>
    </w:p>
    <w:p>
      <w:pPr>
        <w:spacing w:line="520" w:lineRule="exact"/>
        <w:jc w:val="center"/>
        <w:rPr>
          <w:rFonts w:hint="eastAsia" w:ascii="宋体" w:hAnsi="宋体" w:eastAsia="宋体" w:cs="宋体"/>
          <w:sz w:val="36"/>
          <w:szCs w:val="36"/>
          <w:u w:val="single"/>
          <w:lang w:val="en-US" w:eastAsia="zh-CN"/>
        </w:rPr>
      </w:pPr>
      <w:r>
        <w:rPr>
          <w:rFonts w:hint="eastAsia" w:ascii="宋体" w:hAnsi="宋体" w:eastAsia="宋体" w:cs="宋体"/>
          <w:b/>
          <w:sz w:val="36"/>
          <w:szCs w:val="36"/>
        </w:rPr>
        <w:t>教师教育实训楼心理实训室采购项目</w:t>
      </w:r>
      <w:r>
        <w:rPr>
          <w:rFonts w:hint="eastAsia" w:ascii="宋体" w:hAnsi="宋体" w:eastAsia="宋体" w:cs="宋体"/>
          <w:b/>
          <w:sz w:val="36"/>
          <w:szCs w:val="36"/>
          <w:lang w:val="en-US" w:eastAsia="zh-CN"/>
        </w:rPr>
        <w:t>合同</w:t>
      </w:r>
    </w:p>
    <w:p>
      <w:pPr>
        <w:spacing w:line="520" w:lineRule="exact"/>
        <w:jc w:val="left"/>
        <w:rPr>
          <w:rFonts w:hint="eastAsia" w:ascii="宋体" w:hAnsi="宋体" w:eastAsia="宋体" w:cs="宋体"/>
          <w:sz w:val="21"/>
          <w:szCs w:val="21"/>
          <w:u w:val="single"/>
        </w:rPr>
      </w:pPr>
    </w:p>
    <w:p>
      <w:pPr>
        <w:spacing w:line="520" w:lineRule="exact"/>
        <w:jc w:val="left"/>
        <w:rPr>
          <w:rFonts w:hint="eastAsia" w:ascii="宋体" w:hAnsi="宋体" w:eastAsia="宋体" w:cs="宋体"/>
          <w:sz w:val="21"/>
          <w:szCs w:val="21"/>
          <w:u w:val="single"/>
        </w:rPr>
      </w:pPr>
    </w:p>
    <w:p>
      <w:pPr>
        <w:spacing w:line="520" w:lineRule="exact"/>
        <w:jc w:val="left"/>
        <w:rPr>
          <w:rFonts w:hint="eastAsia" w:ascii="宋体" w:hAnsi="宋体" w:eastAsia="宋体" w:cs="宋体"/>
          <w:sz w:val="21"/>
          <w:szCs w:val="21"/>
          <w:u w:val="single"/>
          <w:lang w:val="en-US" w:eastAsia="zh-CN"/>
        </w:rPr>
      </w:pPr>
      <w:r>
        <w:rPr>
          <w:rFonts w:hint="eastAsia" w:ascii="宋体" w:hAnsi="宋体" w:eastAsia="宋体" w:cs="宋体"/>
          <w:sz w:val="21"/>
          <w:szCs w:val="21"/>
          <w:u w:val="single"/>
        </w:rPr>
        <w:t>甲方：</w:t>
      </w:r>
      <w:r>
        <w:rPr>
          <w:rFonts w:hint="eastAsia" w:ascii="宋体" w:hAnsi="宋体" w:eastAsia="宋体" w:cs="宋体"/>
          <w:sz w:val="21"/>
          <w:szCs w:val="21"/>
          <w:u w:val="single"/>
          <w:lang w:val="en-US" w:eastAsia="zh-CN"/>
        </w:rPr>
        <w:t>牡丹江师范学院</w:t>
      </w:r>
    </w:p>
    <w:p>
      <w:pPr>
        <w:keepNext w:val="0"/>
        <w:keepLines w:val="0"/>
        <w:widowControl/>
        <w:suppressLineNumbers w:val="0"/>
        <w:jc w:val="left"/>
        <w:rPr>
          <w:rFonts w:hint="eastAsia" w:ascii="宋体" w:hAnsi="宋体" w:eastAsia="宋体" w:cs="宋体"/>
          <w:sz w:val="21"/>
          <w:szCs w:val="21"/>
          <w:u w:val="single"/>
        </w:rPr>
      </w:pPr>
      <w:r>
        <w:rPr>
          <w:rFonts w:hint="eastAsia" w:ascii="宋体" w:hAnsi="宋体" w:eastAsia="宋体" w:cs="宋体"/>
          <w:sz w:val="21"/>
          <w:szCs w:val="21"/>
          <w:u w:val="single"/>
        </w:rPr>
        <w:t>地址：</w:t>
      </w:r>
      <w:r>
        <w:rPr>
          <w:rFonts w:hint="eastAsia" w:ascii="宋体" w:hAnsi="宋体" w:eastAsia="宋体" w:cs="宋体"/>
          <w:color w:val="000000"/>
          <w:kern w:val="0"/>
          <w:sz w:val="21"/>
          <w:szCs w:val="21"/>
          <w:u w:val="single"/>
          <w:lang w:val="en-US" w:eastAsia="zh-CN" w:bidi="ar"/>
        </w:rPr>
        <w:t>牡丹江市爱民区文化街191号</w:t>
      </w:r>
      <w:r>
        <w:rPr>
          <w:rFonts w:hint="eastAsia" w:ascii="宋体" w:hAnsi="宋体" w:eastAsia="宋体" w:cs="宋体"/>
          <w:sz w:val="21"/>
          <w:szCs w:val="21"/>
          <w:u w:val="single"/>
        </w:rPr>
        <w:t>‬</w:t>
      </w:r>
    </w:p>
    <w:p>
      <w:pPr>
        <w:spacing w:line="520" w:lineRule="exact"/>
        <w:jc w:val="left"/>
        <w:rPr>
          <w:rFonts w:hint="eastAsia" w:ascii="宋体" w:hAnsi="宋体" w:eastAsia="宋体" w:cs="宋体"/>
          <w:sz w:val="21"/>
          <w:szCs w:val="21"/>
          <w:u w:val="single"/>
          <w:lang w:val="en-US" w:eastAsia="zh-CN"/>
        </w:rPr>
      </w:pPr>
      <w:r>
        <w:rPr>
          <w:rFonts w:hint="eastAsia" w:ascii="宋体" w:hAnsi="宋体" w:eastAsia="宋体" w:cs="宋体"/>
          <w:sz w:val="21"/>
          <w:szCs w:val="21"/>
          <w:u w:val="single"/>
        </w:rPr>
        <w:t>乙方：</w:t>
      </w:r>
      <w:r>
        <w:rPr>
          <w:rFonts w:hint="eastAsia" w:ascii="宋体" w:hAnsi="宋体" w:eastAsia="宋体" w:cs="宋体"/>
          <w:i w:val="0"/>
          <w:iCs w:val="0"/>
          <w:caps w:val="0"/>
          <w:color w:val="080707"/>
          <w:spacing w:val="0"/>
          <w:sz w:val="21"/>
          <w:szCs w:val="21"/>
          <w:u w:val="single"/>
          <w:shd w:val="clear" w:fill="FFFFFF"/>
        </w:rPr>
        <w:t>明臻智慧科技 (北京)有限责任公司</w:t>
      </w:r>
      <w:r>
        <w:rPr>
          <w:rFonts w:hint="eastAsia" w:ascii="宋体" w:hAnsi="宋体" w:eastAsia="宋体" w:cs="宋体"/>
          <w:sz w:val="21"/>
          <w:szCs w:val="21"/>
          <w:u w:val="single"/>
          <w:lang w:val="en-US" w:eastAsia="zh-CN"/>
        </w:rPr>
        <w:tab/>
      </w:r>
      <w:bookmarkStart w:id="567" w:name="_GoBack"/>
      <w:bookmarkEnd w:id="567"/>
    </w:p>
    <w:p>
      <w:pPr>
        <w:spacing w:line="520" w:lineRule="exact"/>
        <w:jc w:val="left"/>
        <w:rPr>
          <w:rFonts w:hint="eastAsia" w:ascii="宋体" w:hAnsi="宋体" w:eastAsia="宋体" w:cs="宋体"/>
          <w:color w:val="000000"/>
          <w:kern w:val="0"/>
          <w:sz w:val="21"/>
          <w:szCs w:val="21"/>
          <w:lang w:val="en-US" w:eastAsia="zh-CN" w:bidi="ar"/>
        </w:rPr>
      </w:pPr>
      <w:r>
        <w:rPr>
          <w:rFonts w:hint="eastAsia" w:ascii="宋体" w:hAnsi="宋体" w:eastAsia="宋体" w:cs="宋体"/>
          <w:sz w:val="21"/>
          <w:szCs w:val="21"/>
          <w:u w:val="single"/>
        </w:rPr>
        <w:t>地址：</w:t>
      </w:r>
      <w:r>
        <w:rPr>
          <w:rFonts w:hint="eastAsia" w:ascii="宋体" w:hAnsi="宋体" w:eastAsia="宋体" w:cs="宋体"/>
          <w:i w:val="0"/>
          <w:iCs w:val="0"/>
          <w:caps w:val="0"/>
          <w:color w:val="000000"/>
          <w:spacing w:val="0"/>
          <w:sz w:val="21"/>
          <w:szCs w:val="21"/>
          <w:u w:val="single"/>
          <w:shd w:val="clear" w:fill="FFFFFF"/>
        </w:rPr>
        <w:t>北京市通州区聚和四街5号5幢1层101</w:t>
      </w:r>
    </w:p>
    <w:p>
      <w:pPr>
        <w:keepNext w:val="0"/>
        <w:keepLines w:val="0"/>
        <w:widowControl/>
        <w:suppressLineNumbers w:val="0"/>
        <w:jc w:val="left"/>
        <w:rPr>
          <w:rFonts w:hint="eastAsia" w:ascii="宋体" w:hAnsi="宋体" w:eastAsia="宋体" w:cs="宋体"/>
          <w:b/>
          <w:bCs/>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合同号：</w:t>
      </w:r>
      <w:r>
        <w:rPr>
          <w:rFonts w:hint="eastAsia" w:ascii="宋体" w:hAnsi="宋体" w:eastAsia="宋体" w:cs="宋体"/>
          <w:b/>
          <w:bCs/>
          <w:color w:val="000000"/>
          <w:kern w:val="0"/>
          <w:sz w:val="21"/>
          <w:szCs w:val="21"/>
          <w:lang w:val="en-US" w:eastAsia="zh-CN" w:bidi="ar"/>
        </w:rPr>
        <w:t xml:space="preserve">[230001]SC[CS]20230219-1 </w:t>
      </w:r>
    </w:p>
    <w:p>
      <w:pPr>
        <w:pStyle w:val="2"/>
        <w:rPr>
          <w:rFonts w:hint="eastAsia" w:ascii="宋体" w:hAnsi="宋体" w:eastAsia="宋体" w:cs="宋体"/>
          <w:lang w:val="en-US" w:eastAsia="zh-CN"/>
        </w:rPr>
      </w:pPr>
    </w:p>
    <w:p>
      <w:pPr>
        <w:keepNext w:val="0"/>
        <w:keepLines w:val="0"/>
        <w:widowControl/>
        <w:suppressLineNumbers w:val="0"/>
        <w:ind w:firstLine="420" w:firstLineChars="200"/>
        <w:jc w:val="left"/>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根据《中华人民共和国政府采购法》、《中华人民共和国民法典》等相关法律法规，甲、乙双方就 （</w:t>
      </w:r>
      <w:r>
        <w:rPr>
          <w:rFonts w:hint="eastAsia" w:ascii="宋体" w:hAnsi="宋体" w:eastAsia="宋体" w:cs="宋体"/>
          <w:sz w:val="21"/>
          <w:szCs w:val="21"/>
          <w:u w:val="single"/>
          <w:lang w:val="en-US" w:eastAsia="zh-CN"/>
        </w:rPr>
        <w:t>牡丹江师范实训楼心理实训室项目</w:t>
      </w:r>
      <w:r>
        <w:rPr>
          <w:rFonts w:hint="eastAsia" w:ascii="宋体" w:hAnsi="宋体" w:eastAsia="宋体" w:cs="宋体"/>
          <w:color w:val="000000"/>
          <w:kern w:val="0"/>
          <w:sz w:val="21"/>
          <w:szCs w:val="21"/>
          <w:lang w:val="en-US" w:eastAsia="zh-CN" w:bidi="ar"/>
        </w:rPr>
        <w:t>） （政府采购项目编号、备案编号：</w:t>
      </w:r>
      <w:r>
        <w:rPr>
          <w:rFonts w:hint="eastAsia" w:ascii="宋体" w:hAnsi="宋体" w:eastAsia="宋体" w:cs="宋体"/>
          <w:b/>
          <w:bCs/>
          <w:color w:val="000000"/>
          <w:kern w:val="0"/>
          <w:sz w:val="21"/>
          <w:szCs w:val="21"/>
          <w:lang w:val="en-US" w:eastAsia="zh-CN" w:bidi="ar"/>
        </w:rPr>
        <w:t xml:space="preserve">[230001]SC[CS]20230219-1 </w:t>
      </w:r>
      <w:r>
        <w:rPr>
          <w:rFonts w:hint="eastAsia" w:ascii="宋体" w:hAnsi="宋体" w:eastAsia="宋体" w:cs="宋体"/>
          <w:color w:val="000000"/>
          <w:kern w:val="0"/>
          <w:sz w:val="21"/>
          <w:szCs w:val="21"/>
          <w:lang w:val="en-US" w:eastAsia="zh-CN" w:bidi="ar"/>
        </w:rPr>
        <w:t xml:space="preserve"> ），经平等自愿协商一致达成合同如下： </w:t>
      </w:r>
    </w:p>
    <w:p>
      <w:pPr>
        <w:pStyle w:val="18"/>
        <w:numPr>
          <w:ilvl w:val="0"/>
          <w:numId w:val="0"/>
        </w:numPr>
        <w:tabs>
          <w:tab w:val="left" w:pos="935"/>
        </w:tabs>
        <w:spacing w:before="140" w:after="0" w:line="379" w:lineRule="auto"/>
        <w:ind w:left="666" w:leftChars="0" w:right="7563" w:rightChars="0"/>
        <w:jc w:val="left"/>
        <w:rPr>
          <w:rFonts w:hint="eastAsia" w:ascii="宋体" w:hAnsi="宋体" w:eastAsia="宋体" w:cs="宋体"/>
          <w:b/>
          <w:bCs/>
          <w:sz w:val="21"/>
          <w:szCs w:val="21"/>
        </w:rPr>
      </w:pPr>
    </w:p>
    <w:p>
      <w:pPr>
        <w:pStyle w:val="18"/>
        <w:numPr>
          <w:ilvl w:val="0"/>
          <w:numId w:val="2"/>
        </w:numPr>
        <w:tabs>
          <w:tab w:val="left" w:pos="849"/>
        </w:tabs>
        <w:spacing w:before="0" w:after="0" w:line="242" w:lineRule="exact"/>
        <w:ind w:left="848" w:right="0" w:hanging="183"/>
        <w:jc w:val="left"/>
        <w:rPr>
          <w:rFonts w:hint="eastAsia" w:ascii="宋体" w:hAnsi="宋体" w:eastAsia="宋体" w:cs="宋体"/>
          <w:sz w:val="21"/>
          <w:szCs w:val="21"/>
        </w:rPr>
      </w:pPr>
      <w:r>
        <w:rPr>
          <w:rFonts w:hint="eastAsia" w:ascii="宋体" w:hAnsi="宋体" w:eastAsia="宋体" w:cs="宋体"/>
          <w:sz w:val="21"/>
          <w:szCs w:val="21"/>
        </w:rPr>
        <w:t>本合同所提供的标的物、数量及规格等详见中标结果公告及后附清单。</w:t>
      </w:r>
    </w:p>
    <w:p>
      <w:pPr>
        <w:pStyle w:val="18"/>
        <w:numPr>
          <w:ilvl w:val="0"/>
          <w:numId w:val="2"/>
        </w:numPr>
        <w:tabs>
          <w:tab w:val="left" w:pos="849"/>
        </w:tabs>
        <w:spacing w:before="140" w:after="0" w:line="240" w:lineRule="auto"/>
        <w:ind w:left="848" w:right="0" w:hanging="183"/>
        <w:jc w:val="left"/>
        <w:rPr>
          <w:rFonts w:hint="eastAsia" w:ascii="宋体" w:hAnsi="宋体" w:eastAsia="宋体" w:cs="宋体"/>
          <w:sz w:val="21"/>
          <w:szCs w:val="21"/>
        </w:rPr>
      </w:pPr>
      <w:r>
        <w:rPr>
          <w:rFonts w:hint="eastAsia" w:ascii="宋体" w:hAnsi="宋体" w:eastAsia="宋体" w:cs="宋体"/>
          <w:sz w:val="21"/>
          <w:szCs w:val="21"/>
        </w:rPr>
        <w:t>合同金额</w:t>
      </w:r>
    </w:p>
    <w:p>
      <w:pPr>
        <w:pStyle w:val="9"/>
        <w:tabs>
          <w:tab w:val="left" w:pos="3582"/>
        </w:tabs>
        <w:spacing w:before="141"/>
        <w:ind w:left="606"/>
        <w:rPr>
          <w:rFonts w:hint="eastAsia" w:ascii="宋体" w:hAnsi="宋体" w:eastAsia="宋体" w:cs="宋体"/>
          <w:sz w:val="21"/>
          <w:szCs w:val="21"/>
          <w:lang w:val="en-US" w:eastAsia="zh-CN"/>
        </w:rPr>
      </w:pPr>
      <w:r>
        <w:rPr>
          <w:rFonts w:hint="eastAsia" w:ascii="宋体" w:hAnsi="宋体" w:eastAsia="宋体" w:cs="宋体"/>
          <w:sz w:val="21"/>
          <w:szCs w:val="21"/>
        </w:rPr>
        <w:t>合同金额为人民币</w:t>
      </w:r>
      <w:r>
        <w:rPr>
          <w:rFonts w:hint="eastAsia" w:ascii="宋体" w:hAnsi="宋体" w:eastAsia="宋体" w:cs="宋体"/>
          <w:sz w:val="21"/>
          <w:szCs w:val="21"/>
          <w:lang w:val="en-US" w:eastAsia="zh-CN"/>
        </w:rPr>
        <w:t>1833820</w:t>
      </w:r>
      <w:r>
        <w:rPr>
          <w:rFonts w:hint="eastAsia" w:ascii="宋体" w:hAnsi="宋体" w:eastAsia="宋体" w:cs="宋体"/>
          <w:sz w:val="21"/>
          <w:szCs w:val="21"/>
        </w:rPr>
        <w:tab/>
      </w:r>
      <w:r>
        <w:rPr>
          <w:rFonts w:hint="eastAsia" w:ascii="宋体" w:hAnsi="宋体" w:eastAsia="宋体" w:cs="宋体"/>
          <w:sz w:val="21"/>
          <w:szCs w:val="21"/>
        </w:rPr>
        <w:t>万元，大写：</w:t>
      </w:r>
      <w:r>
        <w:rPr>
          <w:rFonts w:hint="eastAsia" w:ascii="宋体" w:hAnsi="宋体" w:eastAsia="宋体" w:cs="宋体"/>
          <w:sz w:val="21"/>
          <w:szCs w:val="21"/>
          <w:lang w:val="en-US" w:eastAsia="zh-CN"/>
        </w:rPr>
        <w:t>壹佰捌拾叁万叁仟捌佰贰拾元</w:t>
      </w:r>
    </w:p>
    <w:p>
      <w:pPr>
        <w:pStyle w:val="18"/>
        <w:numPr>
          <w:ilvl w:val="0"/>
          <w:numId w:val="2"/>
        </w:numPr>
        <w:tabs>
          <w:tab w:val="left" w:pos="789"/>
        </w:tabs>
        <w:spacing w:before="140" w:after="0" w:line="240" w:lineRule="auto"/>
        <w:ind w:left="788" w:right="0" w:hanging="183"/>
        <w:jc w:val="left"/>
        <w:rPr>
          <w:rFonts w:hint="eastAsia" w:ascii="宋体" w:hAnsi="宋体" w:eastAsia="宋体" w:cs="宋体"/>
          <w:sz w:val="21"/>
          <w:szCs w:val="21"/>
        </w:rPr>
      </w:pPr>
      <w:r>
        <w:rPr>
          <w:rFonts w:hint="eastAsia" w:ascii="宋体" w:hAnsi="宋体" w:eastAsia="宋体" w:cs="宋体"/>
          <w:sz w:val="21"/>
          <w:szCs w:val="21"/>
        </w:rPr>
        <w:t>付款方式及时间</w:t>
      </w:r>
    </w:p>
    <w:p>
      <w:pPr>
        <w:pStyle w:val="19"/>
        <w:spacing w:before="60"/>
        <w:ind w:left="100"/>
        <w:rPr>
          <w:rFonts w:hint="eastAsia" w:ascii="宋体" w:hAnsi="宋体" w:eastAsia="宋体" w:cs="宋体"/>
          <w:sz w:val="21"/>
          <w:szCs w:val="21"/>
        </w:rPr>
      </w:pPr>
      <w:r>
        <w:rPr>
          <w:rFonts w:hint="eastAsia" w:ascii="宋体" w:hAnsi="宋体" w:eastAsia="宋体" w:cs="宋体"/>
          <w:w w:val="130"/>
          <w:sz w:val="21"/>
          <w:szCs w:val="21"/>
        </w:rPr>
        <w:t>1</w:t>
      </w:r>
      <w:r>
        <w:rPr>
          <w:rFonts w:hint="eastAsia" w:ascii="宋体" w:hAnsi="宋体" w:eastAsia="宋体" w:cs="宋体"/>
          <w:w w:val="110"/>
          <w:sz w:val="21"/>
          <w:szCs w:val="21"/>
        </w:rPr>
        <w:t>期：支付比例</w:t>
      </w:r>
      <w:r>
        <w:rPr>
          <w:rFonts w:hint="eastAsia" w:ascii="宋体" w:hAnsi="宋体" w:eastAsia="宋体" w:cs="宋体"/>
          <w:w w:val="130"/>
          <w:sz w:val="21"/>
          <w:szCs w:val="21"/>
        </w:rPr>
        <w:t>50%，</w:t>
      </w:r>
      <w:r>
        <w:rPr>
          <w:rFonts w:hint="eastAsia" w:ascii="宋体" w:hAnsi="宋体" w:eastAsia="宋体" w:cs="宋体"/>
          <w:w w:val="110"/>
          <w:sz w:val="21"/>
          <w:szCs w:val="21"/>
        </w:rPr>
        <w:t>货物全部到场后，支付合同价款的</w:t>
      </w:r>
      <w:r>
        <w:rPr>
          <w:rFonts w:hint="eastAsia" w:ascii="宋体" w:hAnsi="宋体" w:eastAsia="宋体" w:cs="宋体"/>
          <w:w w:val="130"/>
          <w:sz w:val="21"/>
          <w:szCs w:val="21"/>
        </w:rPr>
        <w:t>50%</w:t>
      </w:r>
    </w:p>
    <w:p>
      <w:pPr>
        <w:pStyle w:val="19"/>
        <w:spacing w:before="141"/>
        <w:ind w:left="100"/>
        <w:rPr>
          <w:rFonts w:hint="eastAsia" w:ascii="宋体" w:hAnsi="宋体" w:eastAsia="宋体" w:cs="宋体"/>
          <w:sz w:val="21"/>
          <w:szCs w:val="21"/>
        </w:rPr>
      </w:pPr>
      <w:r>
        <w:rPr>
          <w:rFonts w:hint="eastAsia" w:ascii="宋体" w:hAnsi="宋体" w:eastAsia="宋体" w:cs="宋体"/>
          <w:w w:val="105"/>
          <w:sz w:val="21"/>
          <w:szCs w:val="21"/>
        </w:rPr>
        <w:t>2期：支付比例50%，供货安装调试完成，并经验收合格后支付合同价款的50</w:t>
      </w:r>
      <w:r>
        <w:rPr>
          <w:rFonts w:hint="eastAsia" w:ascii="宋体" w:hAnsi="宋体" w:eastAsia="宋体" w:cs="宋体"/>
          <w:w w:val="175"/>
          <w:sz w:val="21"/>
          <w:szCs w:val="21"/>
        </w:rPr>
        <w:t>%</w:t>
      </w:r>
      <w:r>
        <w:rPr>
          <w:rFonts w:hint="eastAsia" w:ascii="宋体" w:hAnsi="宋体" w:eastAsia="宋体" w:cs="宋体"/>
          <w:w w:val="120"/>
          <w:sz w:val="21"/>
          <w:szCs w:val="21"/>
        </w:rPr>
        <w:t>。</w:t>
      </w:r>
    </w:p>
    <w:p>
      <w:pPr>
        <w:pStyle w:val="9"/>
        <w:numPr>
          <w:ilvl w:val="0"/>
          <w:numId w:val="2"/>
        </w:numPr>
        <w:spacing w:before="141" w:line="379" w:lineRule="auto"/>
        <w:ind w:left="788" w:leftChars="0" w:right="7983" w:hanging="183" w:firstLineChars="0"/>
        <w:rPr>
          <w:rFonts w:hint="eastAsia" w:ascii="宋体" w:hAnsi="宋体" w:eastAsia="宋体" w:cs="宋体"/>
          <w:sz w:val="21"/>
          <w:szCs w:val="21"/>
        </w:rPr>
      </w:pPr>
      <w:r>
        <w:rPr>
          <w:rFonts w:hint="eastAsia" w:ascii="宋体" w:hAnsi="宋体" w:eastAsia="宋体" w:cs="宋体"/>
          <w:sz w:val="21"/>
          <w:szCs w:val="21"/>
        </w:rPr>
        <w:t>交货安装</w:t>
      </w:r>
    </w:p>
    <w:p>
      <w:pPr>
        <w:pStyle w:val="9"/>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交货时间：合同签署后60天（假期顺延）</w:t>
      </w:r>
    </w:p>
    <w:p>
      <w:pPr>
        <w:pStyle w:val="9"/>
        <w:bidi w:val="0"/>
        <w:rPr>
          <w:rFonts w:hint="eastAsia" w:ascii="宋体" w:hAnsi="宋体" w:eastAsia="宋体" w:cs="宋体"/>
          <w:sz w:val="21"/>
          <w:szCs w:val="21"/>
        </w:rPr>
      </w:pPr>
      <w:r>
        <w:rPr>
          <w:rFonts w:hint="eastAsia" w:ascii="宋体" w:hAnsi="宋体" w:eastAsia="宋体" w:cs="宋体"/>
          <w:sz w:val="21"/>
          <w:szCs w:val="21"/>
          <w:lang w:val="en-US" w:eastAsia="zh-CN"/>
        </w:rPr>
        <w:t xml:space="preserve">交货地点：牡丹江师范大学                                 </w:t>
      </w:r>
    </w:p>
    <w:p>
      <w:pPr>
        <w:pStyle w:val="9"/>
        <w:numPr>
          <w:ilvl w:val="0"/>
          <w:numId w:val="2"/>
        </w:numPr>
        <w:spacing w:before="141" w:line="379" w:lineRule="auto"/>
        <w:ind w:left="788" w:leftChars="0" w:right="7983" w:hanging="183" w:firstLineChars="0"/>
        <w:rPr>
          <w:rFonts w:hint="eastAsia" w:ascii="宋体" w:hAnsi="宋体" w:eastAsia="宋体" w:cs="宋体"/>
          <w:sz w:val="21"/>
          <w:szCs w:val="21"/>
        </w:rPr>
      </w:pPr>
      <w:r>
        <w:rPr>
          <w:rFonts w:hint="eastAsia" w:ascii="宋体" w:hAnsi="宋体" w:eastAsia="宋体" w:cs="宋体"/>
          <w:w w:val="110"/>
          <w:sz w:val="21"/>
          <w:szCs w:val="21"/>
        </w:rPr>
        <w:t>质量</w:t>
      </w:r>
    </w:p>
    <w:p>
      <w:pPr>
        <w:pStyle w:val="9"/>
        <w:spacing w:line="379" w:lineRule="auto"/>
        <w:ind w:left="126" w:right="205" w:firstLine="480"/>
        <w:rPr>
          <w:rFonts w:hint="eastAsia" w:ascii="宋体" w:hAnsi="宋体" w:eastAsia="宋体" w:cs="宋体"/>
          <w:sz w:val="21"/>
          <w:szCs w:val="21"/>
        </w:rPr>
      </w:pPr>
      <w:r>
        <w:rPr>
          <w:rFonts w:hint="eastAsia" w:ascii="宋体" w:hAnsi="宋体" w:eastAsia="宋体" w:cs="宋体"/>
          <w:sz w:val="21"/>
          <w:szCs w:val="21"/>
        </w:rPr>
        <w:t>乙方提供的标的物应符合国家相关质量验收标准，且能够提供相关权威部门出具的产品质量检测报告；提供的相关服务符合国家（或行业）规定标准。</w:t>
      </w:r>
    </w:p>
    <w:p>
      <w:pPr>
        <w:pStyle w:val="18"/>
        <w:numPr>
          <w:ilvl w:val="0"/>
          <w:numId w:val="0"/>
        </w:numPr>
        <w:tabs>
          <w:tab w:val="left" w:pos="849"/>
        </w:tabs>
        <w:spacing w:before="0" w:after="0" w:line="242" w:lineRule="exact"/>
        <w:ind w:left="660" w:leftChars="0" w:right="0" w:rightChars="0"/>
        <w:jc w:val="left"/>
        <w:rPr>
          <w:rFonts w:hint="eastAsia" w:ascii="宋体" w:hAnsi="宋体" w:eastAsia="宋体" w:cs="宋体"/>
          <w:sz w:val="21"/>
          <w:szCs w:val="21"/>
        </w:rPr>
      </w:pPr>
      <w:r>
        <w:rPr>
          <w:rFonts w:hint="eastAsia" w:ascii="宋体" w:hAnsi="宋体" w:eastAsia="宋体" w:cs="宋体"/>
          <w:sz w:val="21"/>
          <w:szCs w:val="21"/>
          <w:lang w:val="en-US" w:eastAsia="zh-CN"/>
        </w:rPr>
        <w:t>6.</w:t>
      </w:r>
      <w:r>
        <w:rPr>
          <w:rFonts w:hint="eastAsia" w:ascii="宋体" w:hAnsi="宋体" w:eastAsia="宋体" w:cs="宋体"/>
          <w:sz w:val="21"/>
          <w:szCs w:val="21"/>
        </w:rPr>
        <w:t>包装</w:t>
      </w:r>
    </w:p>
    <w:p>
      <w:pPr>
        <w:pStyle w:val="9"/>
        <w:spacing w:before="77" w:line="225" w:lineRule="auto"/>
        <w:ind w:left="126" w:right="265" w:firstLine="420"/>
        <w:rPr>
          <w:rFonts w:hint="eastAsia" w:ascii="宋体" w:hAnsi="宋体" w:eastAsia="宋体" w:cs="宋体"/>
          <w:sz w:val="21"/>
          <w:szCs w:val="21"/>
        </w:rPr>
      </w:pPr>
      <w:r>
        <w:rPr>
          <w:rFonts w:hint="eastAsia" w:ascii="宋体" w:hAnsi="宋体" w:eastAsia="宋体" w:cs="宋体"/>
          <w:sz w:val="21"/>
          <w:szCs w:val="21"/>
        </w:rPr>
        <w:t>标的物的包装应按照国家或者行业主管部门的技术规定执行，国家或业务主管部门无技术规定的，应当按双方约定采取足以保护标的物安全、完好的包装方式。</w:t>
      </w:r>
    </w:p>
    <w:p>
      <w:pPr>
        <w:pStyle w:val="9"/>
        <w:spacing w:before="77" w:line="225" w:lineRule="auto"/>
        <w:ind w:left="126" w:right="265" w:firstLine="609" w:firstLineChars="290"/>
        <w:rPr>
          <w:rFonts w:hint="eastAsia" w:ascii="宋体" w:hAnsi="宋体" w:eastAsia="宋体" w:cs="宋体"/>
          <w:sz w:val="21"/>
          <w:szCs w:val="21"/>
        </w:rPr>
      </w:pPr>
      <w:r>
        <w:rPr>
          <w:rFonts w:hint="eastAsia" w:ascii="宋体" w:hAnsi="宋体" w:eastAsia="宋体" w:cs="宋体"/>
          <w:sz w:val="21"/>
          <w:szCs w:val="21"/>
          <w:lang w:val="en-US" w:eastAsia="zh-CN"/>
        </w:rPr>
        <w:t>7.</w:t>
      </w:r>
      <w:r>
        <w:rPr>
          <w:rFonts w:hint="eastAsia" w:ascii="宋体" w:hAnsi="宋体" w:eastAsia="宋体" w:cs="宋体"/>
          <w:sz w:val="21"/>
          <w:szCs w:val="21"/>
        </w:rPr>
        <w:t>运输要求</w:t>
      </w:r>
    </w:p>
    <w:p>
      <w:pPr>
        <w:pStyle w:val="18"/>
        <w:numPr>
          <w:ilvl w:val="0"/>
          <w:numId w:val="3"/>
        </w:numPr>
        <w:tabs>
          <w:tab w:val="left" w:pos="1112"/>
        </w:tabs>
        <w:spacing w:before="141" w:after="0" w:line="240" w:lineRule="auto"/>
        <w:ind w:left="1111" w:right="0" w:hanging="506"/>
        <w:jc w:val="left"/>
        <w:rPr>
          <w:rFonts w:hint="eastAsia" w:ascii="宋体" w:hAnsi="宋体" w:eastAsia="宋体" w:cs="宋体"/>
          <w:sz w:val="21"/>
          <w:szCs w:val="21"/>
        </w:rPr>
      </w:pPr>
      <w:r>
        <w:rPr>
          <w:rFonts w:hint="eastAsia" w:ascii="宋体" w:hAnsi="宋体" w:eastAsia="宋体" w:cs="宋体"/>
          <w:sz w:val="21"/>
          <w:szCs w:val="21"/>
        </w:rPr>
        <w:t>运输方式及线路：</w:t>
      </w:r>
    </w:p>
    <w:p>
      <w:pPr>
        <w:pStyle w:val="18"/>
        <w:numPr>
          <w:ilvl w:val="0"/>
          <w:numId w:val="3"/>
        </w:numPr>
        <w:tabs>
          <w:tab w:val="left" w:pos="1112"/>
        </w:tabs>
        <w:spacing w:before="141" w:after="0" w:line="240" w:lineRule="auto"/>
        <w:ind w:left="1111" w:right="0" w:hanging="506"/>
        <w:jc w:val="left"/>
        <w:rPr>
          <w:rFonts w:hint="eastAsia" w:ascii="宋体" w:hAnsi="宋体" w:eastAsia="宋体" w:cs="宋体"/>
          <w:sz w:val="21"/>
          <w:szCs w:val="21"/>
        </w:rPr>
      </w:pPr>
      <w:r>
        <w:rPr>
          <w:rFonts w:hint="eastAsia" w:ascii="宋体" w:hAnsi="宋体" w:eastAsia="宋体" w:cs="宋体"/>
          <w:sz w:val="21"/>
          <w:szCs w:val="21"/>
        </w:rPr>
        <w:t>运输及相关费用由乙方承担。</w:t>
      </w:r>
    </w:p>
    <w:p>
      <w:pPr>
        <w:pStyle w:val="18"/>
        <w:numPr>
          <w:ilvl w:val="0"/>
          <w:numId w:val="0"/>
        </w:numPr>
        <w:tabs>
          <w:tab w:val="left" w:pos="849"/>
        </w:tabs>
        <w:spacing w:before="140" w:after="0" w:line="240" w:lineRule="auto"/>
        <w:ind w:left="660" w:leftChars="0" w:right="0" w:rightChars="0"/>
        <w:jc w:val="left"/>
        <w:rPr>
          <w:rFonts w:hint="eastAsia" w:ascii="宋体" w:hAnsi="宋体" w:eastAsia="宋体" w:cs="宋体"/>
          <w:sz w:val="21"/>
          <w:szCs w:val="21"/>
        </w:rPr>
      </w:pPr>
      <w:r>
        <w:rPr>
          <w:rFonts w:hint="eastAsia" w:ascii="宋体" w:hAnsi="宋体" w:eastAsia="宋体" w:cs="宋体"/>
          <w:sz w:val="21"/>
          <w:szCs w:val="21"/>
          <w:lang w:val="en-US" w:eastAsia="zh-CN"/>
        </w:rPr>
        <w:t>8.</w:t>
      </w:r>
      <w:r>
        <w:rPr>
          <w:rFonts w:hint="eastAsia" w:ascii="宋体" w:hAnsi="宋体" w:eastAsia="宋体" w:cs="宋体"/>
          <w:sz w:val="21"/>
          <w:szCs w:val="21"/>
        </w:rPr>
        <w:t>知识产权</w:t>
      </w:r>
    </w:p>
    <w:p>
      <w:pPr>
        <w:pStyle w:val="9"/>
        <w:spacing w:before="141"/>
        <w:ind w:left="606"/>
        <w:rPr>
          <w:rFonts w:hint="eastAsia" w:ascii="宋体" w:hAnsi="宋体" w:eastAsia="宋体" w:cs="宋体"/>
          <w:sz w:val="21"/>
          <w:szCs w:val="21"/>
        </w:rPr>
      </w:pPr>
      <w:r>
        <w:rPr>
          <w:rFonts w:hint="eastAsia" w:ascii="宋体" w:hAnsi="宋体" w:eastAsia="宋体" w:cs="宋体"/>
          <w:sz w:val="21"/>
          <w:szCs w:val="21"/>
        </w:rPr>
        <w:t>乙方应保证甲方在中国境内使用标的物或标的物的任何一部分时，免受第三方提出的侵犯其知识产权的诉讼。</w:t>
      </w:r>
    </w:p>
    <w:p>
      <w:pPr>
        <w:pStyle w:val="18"/>
        <w:numPr>
          <w:ilvl w:val="0"/>
          <w:numId w:val="0"/>
        </w:numPr>
        <w:tabs>
          <w:tab w:val="left" w:pos="969"/>
        </w:tabs>
        <w:spacing w:before="141" w:after="0" w:line="240" w:lineRule="auto"/>
        <w:ind w:left="660" w:leftChars="0" w:right="0" w:rightChars="0"/>
        <w:jc w:val="left"/>
        <w:rPr>
          <w:rFonts w:hint="eastAsia" w:ascii="宋体" w:hAnsi="宋体" w:eastAsia="宋体" w:cs="宋体"/>
          <w:sz w:val="21"/>
          <w:szCs w:val="21"/>
        </w:rPr>
      </w:pPr>
      <w:r>
        <w:rPr>
          <w:rFonts w:hint="eastAsia" w:ascii="宋体" w:hAnsi="宋体" w:eastAsia="宋体" w:cs="宋体"/>
          <w:sz w:val="21"/>
          <w:szCs w:val="21"/>
          <w:lang w:val="en-US" w:eastAsia="zh-CN"/>
        </w:rPr>
        <w:t>9.</w:t>
      </w:r>
      <w:r>
        <w:rPr>
          <w:rFonts w:hint="eastAsia" w:ascii="宋体" w:hAnsi="宋体" w:eastAsia="宋体" w:cs="宋体"/>
          <w:sz w:val="21"/>
          <w:szCs w:val="21"/>
        </w:rPr>
        <w:t>验收</w:t>
      </w:r>
    </w:p>
    <w:p>
      <w:pPr>
        <w:pStyle w:val="18"/>
        <w:numPr>
          <w:ilvl w:val="0"/>
          <w:numId w:val="4"/>
        </w:numPr>
        <w:tabs>
          <w:tab w:val="left" w:pos="1172"/>
        </w:tabs>
        <w:spacing w:before="140" w:after="0" w:line="240" w:lineRule="auto"/>
        <w:ind w:left="1171" w:right="0" w:hanging="506"/>
        <w:jc w:val="left"/>
        <w:rPr>
          <w:rFonts w:hint="eastAsia" w:ascii="宋体" w:hAnsi="宋体" w:eastAsia="宋体" w:cs="宋体"/>
          <w:sz w:val="21"/>
          <w:szCs w:val="21"/>
        </w:rPr>
      </w:pPr>
      <w:r>
        <w:rPr>
          <w:rFonts w:hint="eastAsia" w:ascii="宋体" w:hAnsi="宋体" w:eastAsia="宋体" w:cs="宋体"/>
          <w:sz w:val="21"/>
          <w:szCs w:val="21"/>
        </w:rPr>
        <w:t>乙方将标的物送达至甲方指定的地点后，由甲乙双方及第三方（如有）一同验收并签字确认。</w:t>
      </w:r>
    </w:p>
    <w:p>
      <w:pPr>
        <w:pStyle w:val="18"/>
        <w:numPr>
          <w:ilvl w:val="0"/>
          <w:numId w:val="4"/>
        </w:numPr>
        <w:tabs>
          <w:tab w:val="left" w:pos="1172"/>
          <w:tab w:val="left" w:pos="9764"/>
        </w:tabs>
        <w:spacing w:before="141" w:after="0" w:line="379" w:lineRule="auto"/>
        <w:ind w:left="126" w:right="109" w:firstLine="540"/>
        <w:jc w:val="left"/>
        <w:rPr>
          <w:rFonts w:hint="eastAsia" w:ascii="宋体" w:hAnsi="宋体" w:eastAsia="宋体" w:cs="宋体"/>
          <w:sz w:val="21"/>
          <w:szCs w:val="21"/>
        </w:rPr>
      </w:pPr>
      <w:r>
        <w:rPr>
          <w:rFonts w:hint="eastAsia" w:ascii="宋体" w:hAnsi="宋体" w:eastAsia="宋体" w:cs="宋体"/>
          <w:sz w:val="21"/>
          <w:szCs w:val="21"/>
        </w:rPr>
        <w:t>对标的物的质量问题，甲方应在发现后向乙方提出书面异议，乙方在接到书面异议后，应当在</w:t>
      </w:r>
      <w:r>
        <w:rPr>
          <w:rFonts w:hint="eastAsia" w:ascii="宋体" w:hAnsi="宋体" w:eastAsia="宋体" w:cs="宋体"/>
          <w:sz w:val="21"/>
          <w:szCs w:val="21"/>
        </w:rPr>
        <w:tab/>
      </w:r>
      <w:r>
        <w:rPr>
          <w:rFonts w:hint="eastAsia" w:ascii="宋体" w:hAnsi="宋体" w:eastAsia="宋体" w:cs="宋体"/>
          <w:sz w:val="21"/>
          <w:szCs w:val="21"/>
        </w:rPr>
        <w:t>日内负责处理。甲方逾期提出的，对所交标的物视为符合合同的规定。如果乙方在响应文件及磋商过程中做出的书面说明及承诺中，</w:t>
      </w:r>
      <w:r>
        <w:rPr>
          <w:rFonts w:hint="eastAsia" w:ascii="宋体" w:hAnsi="宋体" w:eastAsia="宋体" w:cs="宋体"/>
          <w:spacing w:val="-18"/>
          <w:sz w:val="21"/>
          <w:szCs w:val="21"/>
        </w:rPr>
        <w:t>有</w:t>
      </w:r>
      <w:r>
        <w:rPr>
          <w:rFonts w:hint="eastAsia" w:ascii="宋体" w:hAnsi="宋体" w:eastAsia="宋体" w:cs="宋体"/>
          <w:sz w:val="21"/>
          <w:szCs w:val="21"/>
        </w:rPr>
        <w:t>明确质量保证期的，适用质量保证期。</w:t>
      </w:r>
    </w:p>
    <w:p>
      <w:pPr>
        <w:pStyle w:val="18"/>
        <w:numPr>
          <w:ilvl w:val="0"/>
          <w:numId w:val="4"/>
        </w:numPr>
        <w:tabs>
          <w:tab w:val="left" w:pos="1172"/>
        </w:tabs>
        <w:spacing w:before="0" w:after="0" w:line="242" w:lineRule="exact"/>
        <w:ind w:left="1171" w:right="0" w:hanging="506"/>
        <w:jc w:val="left"/>
        <w:rPr>
          <w:rFonts w:hint="eastAsia" w:ascii="宋体" w:hAnsi="宋体" w:eastAsia="宋体" w:cs="宋体"/>
          <w:sz w:val="21"/>
          <w:szCs w:val="21"/>
        </w:rPr>
      </w:pPr>
      <w:r>
        <w:rPr>
          <w:rFonts w:hint="eastAsia" w:ascii="宋体" w:hAnsi="宋体" w:eastAsia="宋体" w:cs="宋体"/>
          <w:sz w:val="21"/>
          <w:szCs w:val="21"/>
        </w:rPr>
        <w:t>经双方共同验收，标的物达不到质量或规格要求的，甲方可以拒收，并可解除合同且不承担任何法律责任，</w:t>
      </w:r>
    </w:p>
    <w:p>
      <w:pPr>
        <w:pStyle w:val="18"/>
        <w:numPr>
          <w:ilvl w:val="0"/>
          <w:numId w:val="0"/>
        </w:numPr>
        <w:tabs>
          <w:tab w:val="left" w:pos="969"/>
        </w:tabs>
        <w:spacing w:before="141" w:after="0" w:line="240" w:lineRule="auto"/>
        <w:ind w:left="660" w:leftChars="0" w:right="0" w:rightChars="0"/>
        <w:jc w:val="left"/>
        <w:rPr>
          <w:rFonts w:hint="eastAsia" w:ascii="宋体" w:hAnsi="宋体" w:eastAsia="宋体" w:cs="宋体"/>
          <w:sz w:val="21"/>
          <w:szCs w:val="21"/>
        </w:rPr>
      </w:pPr>
      <w:r>
        <w:rPr>
          <w:rFonts w:hint="eastAsia" w:ascii="宋体" w:hAnsi="宋体" w:eastAsia="宋体" w:cs="宋体"/>
          <w:sz w:val="21"/>
          <w:szCs w:val="21"/>
          <w:lang w:val="en-US" w:eastAsia="zh-CN"/>
        </w:rPr>
        <w:t>10.</w:t>
      </w:r>
      <w:r>
        <w:rPr>
          <w:rFonts w:hint="eastAsia" w:ascii="宋体" w:hAnsi="宋体" w:eastAsia="宋体" w:cs="宋体"/>
          <w:sz w:val="21"/>
          <w:szCs w:val="21"/>
        </w:rPr>
        <w:t>售后服务</w:t>
      </w:r>
    </w:p>
    <w:p>
      <w:pPr>
        <w:pStyle w:val="18"/>
        <w:numPr>
          <w:ilvl w:val="0"/>
          <w:numId w:val="5"/>
        </w:numPr>
        <w:tabs>
          <w:tab w:val="left" w:pos="1172"/>
        </w:tabs>
        <w:spacing w:before="140" w:after="0" w:line="240" w:lineRule="auto"/>
        <w:ind w:left="1171" w:right="0" w:hanging="506"/>
        <w:jc w:val="left"/>
        <w:rPr>
          <w:rFonts w:hint="eastAsia" w:ascii="宋体" w:hAnsi="宋体" w:eastAsia="宋体" w:cs="宋体"/>
          <w:sz w:val="21"/>
          <w:szCs w:val="21"/>
        </w:rPr>
      </w:pPr>
      <w:r>
        <w:rPr>
          <w:rFonts w:hint="eastAsia" w:ascii="宋体" w:hAnsi="宋体" w:eastAsia="宋体" w:cs="宋体"/>
          <w:sz w:val="21"/>
          <w:szCs w:val="21"/>
        </w:rPr>
        <w:t>乙方应按磋商文件、响应文件及乙方在磋商过程中做出的书面说明或承诺提供及时、快速、优质的售后服务。</w:t>
      </w:r>
    </w:p>
    <w:p>
      <w:pPr>
        <w:pStyle w:val="18"/>
        <w:numPr>
          <w:ilvl w:val="0"/>
          <w:numId w:val="5"/>
        </w:numPr>
        <w:tabs>
          <w:tab w:val="left" w:pos="1232"/>
          <w:tab w:val="left" w:pos="3498"/>
        </w:tabs>
        <w:spacing w:before="141" w:after="0" w:line="240" w:lineRule="auto"/>
        <w:ind w:left="1231" w:right="0" w:hanging="506"/>
        <w:jc w:val="left"/>
        <w:rPr>
          <w:rFonts w:hint="eastAsia" w:ascii="宋体" w:hAnsi="宋体" w:eastAsia="宋体" w:cs="宋体"/>
          <w:sz w:val="21"/>
          <w:szCs w:val="21"/>
        </w:rPr>
      </w:pPr>
      <w:r>
        <w:rPr>
          <w:rFonts w:hint="eastAsia" w:ascii="宋体" w:hAnsi="宋体" w:eastAsia="宋体" w:cs="宋体"/>
          <w:sz w:val="21"/>
          <w:szCs w:val="21"/>
        </w:rPr>
        <w:t>其他售后服务内容：</w:t>
      </w:r>
      <w:r>
        <w:rPr>
          <w:rFonts w:hint="eastAsia" w:ascii="宋体" w:hAnsi="宋体" w:eastAsia="宋体" w:cs="宋体"/>
          <w:sz w:val="21"/>
          <w:szCs w:val="21"/>
        </w:rPr>
        <w:tab/>
      </w:r>
      <w:r>
        <w:rPr>
          <w:rFonts w:hint="eastAsia" w:ascii="宋体" w:hAnsi="宋体" w:eastAsia="宋体" w:cs="宋体"/>
          <w:sz w:val="21"/>
          <w:szCs w:val="21"/>
        </w:rPr>
        <w:t>（响应文件售后承诺等）</w:t>
      </w:r>
    </w:p>
    <w:p>
      <w:pPr>
        <w:pStyle w:val="18"/>
        <w:numPr>
          <w:ilvl w:val="0"/>
          <w:numId w:val="0"/>
        </w:numPr>
        <w:tabs>
          <w:tab w:val="left" w:pos="909"/>
        </w:tabs>
        <w:spacing w:before="141" w:after="0" w:line="240" w:lineRule="auto"/>
        <w:ind w:left="600" w:leftChars="0" w:right="0" w:rightChars="0"/>
        <w:jc w:val="left"/>
        <w:rPr>
          <w:rFonts w:hint="eastAsia" w:ascii="宋体" w:hAnsi="宋体" w:eastAsia="宋体" w:cs="宋体"/>
          <w:sz w:val="21"/>
          <w:szCs w:val="21"/>
        </w:rPr>
      </w:pPr>
      <w:r>
        <w:rPr>
          <w:rFonts w:hint="eastAsia" w:ascii="宋体" w:hAnsi="宋体" w:eastAsia="宋体" w:cs="宋体"/>
          <w:sz w:val="21"/>
          <w:szCs w:val="21"/>
          <w:lang w:val="en-US" w:eastAsia="zh-CN"/>
        </w:rPr>
        <w:t>11.</w:t>
      </w:r>
      <w:r>
        <w:rPr>
          <w:rFonts w:hint="eastAsia" w:ascii="宋体" w:hAnsi="宋体" w:eastAsia="宋体" w:cs="宋体"/>
          <w:sz w:val="21"/>
          <w:szCs w:val="21"/>
        </w:rPr>
        <w:t>违约条款</w:t>
      </w:r>
    </w:p>
    <w:p>
      <w:pPr>
        <w:pStyle w:val="18"/>
        <w:numPr>
          <w:ilvl w:val="0"/>
          <w:numId w:val="6"/>
        </w:numPr>
        <w:tabs>
          <w:tab w:val="left" w:pos="1172"/>
        </w:tabs>
        <w:spacing w:before="140" w:after="0" w:line="240" w:lineRule="auto"/>
        <w:ind w:left="1171" w:right="0" w:hanging="506"/>
        <w:jc w:val="left"/>
        <w:rPr>
          <w:rFonts w:hint="eastAsia" w:ascii="宋体" w:hAnsi="宋体" w:eastAsia="宋体" w:cs="宋体"/>
          <w:sz w:val="21"/>
          <w:szCs w:val="21"/>
          <w:lang w:val="zh-CN" w:eastAsia="zh-CN" w:bidi="zh-CN"/>
        </w:rPr>
      </w:pPr>
      <w:r>
        <w:rPr>
          <w:rFonts w:hint="eastAsia" w:ascii="宋体" w:hAnsi="宋体" w:eastAsia="宋体" w:cs="宋体"/>
          <w:sz w:val="21"/>
          <w:szCs w:val="21"/>
        </w:rPr>
        <w:t>乙方逾期交付标的物、甲方逾期付款，按日承担违约部分合同金额的违约金。</w:t>
      </w:r>
    </w:p>
    <w:p>
      <w:pPr>
        <w:pStyle w:val="18"/>
        <w:numPr>
          <w:ilvl w:val="0"/>
          <w:numId w:val="6"/>
        </w:numPr>
        <w:tabs>
          <w:tab w:val="left" w:pos="1172"/>
        </w:tabs>
        <w:spacing w:before="140" w:after="0" w:line="240" w:lineRule="auto"/>
        <w:ind w:left="1171" w:right="0" w:hanging="506"/>
        <w:jc w:val="left"/>
        <w:rPr>
          <w:rFonts w:hint="eastAsia" w:ascii="宋体" w:hAnsi="宋体" w:eastAsia="宋体" w:cs="宋体"/>
          <w:sz w:val="21"/>
          <w:szCs w:val="21"/>
        </w:rPr>
      </w:pPr>
      <w:r>
        <w:rPr>
          <w:rFonts w:hint="eastAsia" w:ascii="宋体" w:hAnsi="宋体" w:eastAsia="宋体" w:cs="宋体"/>
          <w:sz w:val="21"/>
          <w:szCs w:val="21"/>
          <w:lang w:val="zh-CN" w:eastAsia="zh-CN"/>
        </w:rPr>
        <w:t>其他违约责任以相关法律</w:t>
      </w:r>
      <w:r>
        <w:rPr>
          <w:rFonts w:hint="eastAsia" w:ascii="宋体" w:hAnsi="宋体" w:eastAsia="宋体" w:cs="宋体"/>
          <w:sz w:val="21"/>
          <w:szCs w:val="21"/>
        </w:rPr>
        <w:t>法规规定为准，无相关规定的，双方协商解决。</w:t>
      </w:r>
    </w:p>
    <w:p>
      <w:pPr>
        <w:pStyle w:val="18"/>
        <w:numPr>
          <w:ilvl w:val="0"/>
          <w:numId w:val="0"/>
        </w:numPr>
        <w:tabs>
          <w:tab w:val="left" w:pos="969"/>
        </w:tabs>
        <w:spacing w:before="140" w:after="0" w:line="240" w:lineRule="auto"/>
        <w:ind w:left="660" w:leftChars="0" w:right="0" w:rightChars="0"/>
        <w:jc w:val="left"/>
        <w:rPr>
          <w:rFonts w:hint="eastAsia" w:ascii="宋体" w:hAnsi="宋体" w:eastAsia="宋体" w:cs="宋体"/>
          <w:sz w:val="21"/>
          <w:szCs w:val="21"/>
        </w:rPr>
      </w:pPr>
      <w:r>
        <w:rPr>
          <w:rFonts w:hint="eastAsia" w:ascii="宋体" w:hAnsi="宋体" w:eastAsia="宋体" w:cs="宋体"/>
          <w:sz w:val="21"/>
          <w:szCs w:val="21"/>
          <w:lang w:val="en-US" w:eastAsia="zh-CN"/>
        </w:rPr>
        <w:t>12.</w:t>
      </w:r>
      <w:r>
        <w:rPr>
          <w:rFonts w:hint="eastAsia" w:ascii="宋体" w:hAnsi="宋体" w:eastAsia="宋体" w:cs="宋体"/>
          <w:sz w:val="21"/>
          <w:szCs w:val="21"/>
        </w:rPr>
        <w:t>不可抗力条款</w:t>
      </w:r>
    </w:p>
    <w:p>
      <w:pPr>
        <w:pStyle w:val="9"/>
        <w:tabs>
          <w:tab w:val="left" w:pos="9152"/>
        </w:tabs>
        <w:spacing w:before="141" w:line="379" w:lineRule="auto"/>
        <w:ind w:left="126" w:right="109" w:firstLine="480"/>
        <w:rPr>
          <w:rFonts w:hint="eastAsia" w:ascii="宋体" w:hAnsi="宋体" w:eastAsia="宋体" w:cs="宋体"/>
          <w:sz w:val="21"/>
          <w:szCs w:val="21"/>
        </w:rPr>
      </w:pPr>
      <w:r>
        <w:rPr>
          <w:rFonts w:hint="eastAsia" w:ascii="宋体" w:hAnsi="宋体" w:eastAsia="宋体" w:cs="宋体"/>
          <w:sz w:val="21"/>
          <w:szCs w:val="21"/>
        </w:rPr>
        <w:t>因不可抗力致使一方不能及时或完全履行合同的，应及时通知另一方，双方互不承担责任，并在</w:t>
      </w:r>
      <w:r>
        <w:rPr>
          <w:rFonts w:hint="eastAsia" w:ascii="宋体" w:hAnsi="宋体" w:eastAsia="宋体" w:cs="宋体"/>
          <w:sz w:val="21"/>
          <w:szCs w:val="21"/>
        </w:rPr>
        <w:tab/>
      </w:r>
      <w:r>
        <w:rPr>
          <w:rFonts w:hint="eastAsia" w:ascii="宋体" w:hAnsi="宋体" w:eastAsia="宋体" w:cs="宋体"/>
          <w:sz w:val="21"/>
          <w:szCs w:val="21"/>
        </w:rPr>
        <w:t>天内提供有关不</w:t>
      </w:r>
      <w:r>
        <w:rPr>
          <w:rFonts w:hint="eastAsia" w:ascii="宋体" w:hAnsi="宋体" w:eastAsia="宋体" w:cs="宋体"/>
          <w:spacing w:val="-18"/>
          <w:sz w:val="21"/>
          <w:szCs w:val="21"/>
        </w:rPr>
        <w:t>可</w:t>
      </w:r>
      <w:r>
        <w:rPr>
          <w:rFonts w:hint="eastAsia" w:ascii="宋体" w:hAnsi="宋体" w:eastAsia="宋体" w:cs="宋体"/>
          <w:sz w:val="21"/>
          <w:szCs w:val="21"/>
        </w:rPr>
        <w:t>抗力的相关证明。合同未履行部分是否继续履行、如何履行等问题，双方协商解决。</w:t>
      </w:r>
    </w:p>
    <w:p>
      <w:pPr>
        <w:pStyle w:val="18"/>
        <w:numPr>
          <w:ilvl w:val="0"/>
          <w:numId w:val="0"/>
        </w:numPr>
        <w:tabs>
          <w:tab w:val="left" w:pos="969"/>
        </w:tabs>
        <w:spacing w:before="0" w:after="0" w:line="242" w:lineRule="exact"/>
        <w:ind w:left="660" w:leftChars="0" w:right="0" w:rightChars="0"/>
        <w:jc w:val="left"/>
        <w:rPr>
          <w:rFonts w:hint="eastAsia" w:ascii="宋体" w:hAnsi="宋体" w:eastAsia="宋体" w:cs="宋体"/>
          <w:sz w:val="21"/>
          <w:szCs w:val="21"/>
        </w:rPr>
      </w:pPr>
      <w:r>
        <w:rPr>
          <w:rFonts w:hint="eastAsia" w:ascii="宋体" w:hAnsi="宋体" w:eastAsia="宋体" w:cs="宋体"/>
          <w:sz w:val="21"/>
          <w:szCs w:val="21"/>
          <w:lang w:val="en-US" w:eastAsia="zh-CN"/>
        </w:rPr>
        <w:t>13.</w:t>
      </w:r>
      <w:r>
        <w:rPr>
          <w:rFonts w:hint="eastAsia" w:ascii="宋体" w:hAnsi="宋体" w:eastAsia="宋体" w:cs="宋体"/>
          <w:sz w:val="21"/>
          <w:szCs w:val="21"/>
        </w:rPr>
        <w:t>争议的解决方式</w:t>
      </w:r>
    </w:p>
    <w:p>
      <w:pPr>
        <w:pStyle w:val="9"/>
        <w:spacing w:before="141"/>
        <w:ind w:left="606"/>
        <w:rPr>
          <w:rFonts w:hint="eastAsia" w:ascii="宋体" w:hAnsi="宋体" w:eastAsia="宋体" w:cs="宋体"/>
          <w:sz w:val="21"/>
          <w:szCs w:val="21"/>
        </w:rPr>
      </w:pPr>
      <w:r>
        <w:rPr>
          <w:rFonts w:hint="eastAsia" w:ascii="宋体" w:hAnsi="宋体" w:eastAsia="宋体" w:cs="宋体"/>
          <w:sz w:val="21"/>
          <w:szCs w:val="21"/>
        </w:rPr>
        <w:t>合同发生纠纷时，双方应协商解决，协商不成可以采用下列方式解决：</w:t>
      </w:r>
    </w:p>
    <w:p>
      <w:pPr>
        <w:pStyle w:val="9"/>
        <w:tabs>
          <w:tab w:val="left" w:pos="2874"/>
        </w:tabs>
        <w:spacing w:before="140"/>
        <w:ind w:left="666"/>
        <w:rPr>
          <w:rFonts w:hint="eastAsia" w:ascii="宋体" w:hAnsi="宋体" w:eastAsia="宋体" w:cs="宋体"/>
          <w:sz w:val="21"/>
          <w:szCs w:val="21"/>
        </w:rPr>
      </w:pPr>
      <w:r>
        <w:rPr>
          <w:rFonts w:hint="eastAsia" w:ascii="宋体" w:hAnsi="宋体" w:eastAsia="宋体" w:cs="宋体"/>
          <w:sz w:val="21"/>
          <w:szCs w:val="21"/>
        </w:rPr>
        <w:t>（1）提交仲裁委员会仲裁。</w:t>
      </w:r>
    </w:p>
    <w:p>
      <w:pPr>
        <w:pStyle w:val="9"/>
        <w:tabs>
          <w:tab w:val="left" w:pos="2766"/>
        </w:tabs>
        <w:spacing w:before="141"/>
        <w:ind w:firstLine="630" w:firstLineChars="300"/>
        <w:rPr>
          <w:rFonts w:hint="eastAsia" w:ascii="宋体" w:hAnsi="宋体" w:eastAsia="宋体" w:cs="宋体"/>
          <w:sz w:val="21"/>
          <w:szCs w:val="21"/>
        </w:rPr>
      </w:pPr>
      <w:r>
        <w:rPr>
          <w:rFonts w:hint="eastAsia" w:ascii="宋体" w:hAnsi="宋体" w:eastAsia="宋体" w:cs="宋体"/>
          <w:sz w:val="21"/>
          <w:szCs w:val="21"/>
        </w:rPr>
        <w:t>（2）向人民法院起诉。</w:t>
      </w:r>
    </w:p>
    <w:p>
      <w:pPr>
        <w:pStyle w:val="18"/>
        <w:numPr>
          <w:ilvl w:val="0"/>
          <w:numId w:val="0"/>
        </w:numPr>
        <w:tabs>
          <w:tab w:val="left" w:pos="969"/>
        </w:tabs>
        <w:spacing w:before="141" w:after="0" w:line="240" w:lineRule="auto"/>
        <w:ind w:left="660" w:leftChars="0" w:right="0" w:rightChars="0"/>
        <w:jc w:val="left"/>
        <w:rPr>
          <w:rFonts w:hint="eastAsia" w:ascii="宋体" w:hAnsi="宋体" w:eastAsia="宋体" w:cs="宋体"/>
          <w:sz w:val="21"/>
          <w:szCs w:val="21"/>
        </w:rPr>
      </w:pPr>
      <w:r>
        <w:rPr>
          <w:rFonts w:hint="eastAsia" w:ascii="宋体" w:hAnsi="宋体" w:eastAsia="宋体" w:cs="宋体"/>
          <w:sz w:val="21"/>
          <w:szCs w:val="21"/>
          <w:lang w:val="en-US" w:eastAsia="zh-CN"/>
        </w:rPr>
        <w:t>15.</w:t>
      </w:r>
      <w:r>
        <w:rPr>
          <w:rFonts w:hint="eastAsia" w:ascii="宋体" w:hAnsi="宋体" w:eastAsia="宋体" w:cs="宋体"/>
          <w:sz w:val="21"/>
          <w:szCs w:val="21"/>
        </w:rPr>
        <w:t>合同保存</w:t>
      </w:r>
    </w:p>
    <w:p>
      <w:pPr>
        <w:pStyle w:val="9"/>
        <w:spacing w:before="140" w:line="379" w:lineRule="auto"/>
        <w:ind w:left="126" w:right="205" w:firstLine="480"/>
        <w:rPr>
          <w:rFonts w:hint="eastAsia" w:ascii="宋体" w:hAnsi="宋体" w:eastAsia="宋体" w:cs="宋体"/>
          <w:sz w:val="21"/>
          <w:szCs w:val="21"/>
        </w:rPr>
      </w:pPr>
      <w:r>
        <w:rPr>
          <w:rFonts w:hint="eastAsia" w:ascii="宋体" w:hAnsi="宋体" w:eastAsia="宋体" w:cs="宋体"/>
          <w:sz w:val="21"/>
          <w:szCs w:val="21"/>
        </w:rPr>
        <w:t>合同文本一式五份，采购单位、供应商、政府采购监管部门、采购代理机构、国库支付执行机构各一份，自双方签订之日起生效。</w:t>
      </w:r>
    </w:p>
    <w:p>
      <w:pPr>
        <w:pStyle w:val="18"/>
        <w:numPr>
          <w:ilvl w:val="0"/>
          <w:numId w:val="7"/>
        </w:numPr>
        <w:tabs>
          <w:tab w:val="left" w:pos="909"/>
          <w:tab w:val="clear" w:pos="312"/>
        </w:tabs>
        <w:spacing w:before="0" w:after="0" w:line="242" w:lineRule="exact"/>
        <w:ind w:left="1166" w:leftChars="0" w:right="0" w:rightChars="0" w:firstLineChars="0"/>
        <w:jc w:val="left"/>
        <w:rPr>
          <w:rFonts w:hint="eastAsia" w:ascii="宋体" w:hAnsi="宋体" w:eastAsia="宋体" w:cs="宋体"/>
          <w:sz w:val="21"/>
          <w:szCs w:val="21"/>
        </w:rPr>
      </w:pPr>
      <w:r>
        <w:rPr>
          <w:rFonts w:hint="eastAsia" w:ascii="宋体" w:hAnsi="宋体" w:eastAsia="宋体" w:cs="宋体"/>
          <w:sz w:val="21"/>
          <w:szCs w:val="21"/>
        </w:rPr>
        <w:t>合同未尽事宜，双方另行签订补充协议，补充协议是合同的组成部分。</w:t>
      </w:r>
    </w:p>
    <w:p>
      <w:pPr>
        <w:pStyle w:val="18"/>
        <w:numPr>
          <w:ilvl w:val="0"/>
          <w:numId w:val="0"/>
        </w:numPr>
        <w:tabs>
          <w:tab w:val="left" w:pos="909"/>
        </w:tabs>
        <w:spacing w:before="0" w:after="0" w:line="242" w:lineRule="exact"/>
        <w:ind w:left="94" w:leftChars="0" w:right="0" w:rightChars="0"/>
        <w:jc w:val="left"/>
        <w:rPr>
          <w:rFonts w:hint="eastAsia" w:ascii="宋体" w:hAnsi="宋体" w:eastAsia="宋体" w:cs="宋体"/>
          <w:sz w:val="21"/>
          <w:szCs w:val="21"/>
        </w:rPr>
      </w:pPr>
    </w:p>
    <w:p>
      <w:pPr>
        <w:pStyle w:val="9"/>
        <w:spacing w:before="12"/>
        <w:rPr>
          <w:rFonts w:hint="eastAsia" w:ascii="宋体" w:hAnsi="宋体" w:eastAsia="宋体" w:cs="宋体"/>
          <w:sz w:val="21"/>
          <w:szCs w:val="21"/>
        </w:rPr>
      </w:pPr>
    </w:p>
    <w:tbl>
      <w:tblPr>
        <w:tblStyle w:val="16"/>
        <w:tblW w:w="0" w:type="auto"/>
        <w:tblInd w:w="56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3314"/>
        <w:gridCol w:w="1430"/>
        <w:gridCol w:w="48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8" w:hRule="atLeast"/>
        </w:trPr>
        <w:tc>
          <w:tcPr>
            <w:tcW w:w="3314" w:type="dxa"/>
          </w:tcPr>
          <w:p>
            <w:pPr>
              <w:pStyle w:val="19"/>
              <w:tabs>
                <w:tab w:val="left" w:pos="1406"/>
              </w:tabs>
              <w:spacing w:line="218" w:lineRule="exact"/>
              <w:ind w:left="50"/>
              <w:rPr>
                <w:rFonts w:hint="eastAsia" w:ascii="宋体" w:hAnsi="宋体" w:eastAsia="宋体" w:cs="宋体"/>
                <w:sz w:val="21"/>
                <w:szCs w:val="21"/>
              </w:rPr>
            </w:pPr>
            <w:r>
              <w:rPr>
                <w:rFonts w:hint="eastAsia" w:ascii="宋体" w:hAnsi="宋体" w:eastAsia="宋体" w:cs="宋体"/>
                <w:sz w:val="21"/>
                <w:szCs w:val="21"/>
              </w:rPr>
              <w:t>甲方：</w:t>
            </w:r>
            <w:r>
              <w:rPr>
                <w:rFonts w:hint="eastAsia" w:ascii="宋体" w:hAnsi="宋体" w:eastAsia="宋体" w:cs="宋体"/>
                <w:sz w:val="21"/>
                <w:szCs w:val="21"/>
                <w:lang w:val="en-US" w:eastAsia="zh-CN"/>
              </w:rPr>
              <w:t>牡丹江师范学院</w:t>
            </w:r>
            <w:r>
              <w:rPr>
                <w:rFonts w:hint="eastAsia" w:ascii="宋体" w:hAnsi="宋体" w:eastAsia="宋体" w:cs="宋体"/>
                <w:sz w:val="21"/>
                <w:szCs w:val="21"/>
              </w:rPr>
              <w:t>（章）</w:t>
            </w:r>
          </w:p>
        </w:tc>
        <w:tc>
          <w:tcPr>
            <w:tcW w:w="1430" w:type="dxa"/>
          </w:tcPr>
          <w:p>
            <w:pPr>
              <w:pStyle w:val="19"/>
              <w:rPr>
                <w:rFonts w:hint="eastAsia" w:ascii="宋体" w:hAnsi="宋体" w:eastAsia="宋体" w:cs="宋体"/>
                <w:sz w:val="21"/>
                <w:szCs w:val="21"/>
              </w:rPr>
            </w:pPr>
          </w:p>
        </w:tc>
        <w:tc>
          <w:tcPr>
            <w:tcW w:w="4800" w:type="dxa"/>
          </w:tcPr>
          <w:p>
            <w:pPr>
              <w:pStyle w:val="19"/>
              <w:spacing w:line="218" w:lineRule="exact"/>
              <w:rPr>
                <w:rFonts w:hint="eastAsia" w:ascii="宋体" w:hAnsi="宋体" w:eastAsia="宋体" w:cs="宋体"/>
                <w:sz w:val="21"/>
                <w:szCs w:val="21"/>
              </w:rPr>
            </w:pPr>
            <w:r>
              <w:rPr>
                <w:rFonts w:hint="eastAsia" w:ascii="宋体" w:hAnsi="宋体" w:eastAsia="宋体" w:cs="宋体"/>
                <w:sz w:val="21"/>
                <w:szCs w:val="21"/>
              </w:rPr>
              <w:t>乙 方：明臻智慧科技（北京）有限责任公司 （章）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7" w:hRule="atLeast"/>
        </w:trPr>
        <w:tc>
          <w:tcPr>
            <w:tcW w:w="3314" w:type="dxa"/>
          </w:tcPr>
          <w:p>
            <w:pPr>
              <w:pStyle w:val="19"/>
              <w:spacing w:before="71"/>
              <w:ind w:left="50"/>
              <w:rPr>
                <w:rFonts w:hint="eastAsia" w:ascii="宋体" w:hAnsi="宋体" w:eastAsia="宋体" w:cs="宋体"/>
                <w:sz w:val="21"/>
                <w:szCs w:val="21"/>
              </w:rPr>
            </w:pPr>
            <w:r>
              <w:rPr>
                <w:rFonts w:hint="eastAsia" w:ascii="宋体" w:hAnsi="宋体" w:eastAsia="宋体" w:cs="宋体"/>
                <w:sz w:val="21"/>
                <w:szCs w:val="21"/>
              </w:rPr>
              <w:t>采购方法人代表：</w:t>
            </w:r>
          </w:p>
        </w:tc>
        <w:tc>
          <w:tcPr>
            <w:tcW w:w="1430" w:type="dxa"/>
          </w:tcPr>
          <w:p>
            <w:pPr>
              <w:pStyle w:val="19"/>
              <w:spacing w:before="71"/>
              <w:ind w:left="461"/>
              <w:rPr>
                <w:rFonts w:hint="eastAsia" w:ascii="宋体" w:hAnsi="宋体" w:eastAsia="宋体" w:cs="宋体"/>
                <w:sz w:val="21"/>
                <w:szCs w:val="21"/>
              </w:rPr>
            </w:pPr>
            <w:r>
              <w:rPr>
                <w:rFonts w:hint="eastAsia" w:ascii="宋体" w:hAnsi="宋体" w:eastAsia="宋体" w:cs="宋体"/>
                <w:sz w:val="21"/>
                <w:szCs w:val="21"/>
              </w:rPr>
              <w:t>（签字）</w:t>
            </w:r>
          </w:p>
        </w:tc>
        <w:tc>
          <w:tcPr>
            <w:tcW w:w="4800" w:type="dxa"/>
          </w:tcPr>
          <w:p>
            <w:pPr>
              <w:pStyle w:val="19"/>
              <w:spacing w:before="71"/>
              <w:rPr>
                <w:rFonts w:hint="eastAsia" w:ascii="宋体" w:hAnsi="宋体" w:eastAsia="宋体" w:cs="宋体"/>
                <w:sz w:val="21"/>
                <w:szCs w:val="21"/>
              </w:rPr>
            </w:pPr>
            <w:r>
              <w:rPr>
                <w:rFonts w:hint="eastAsia" w:ascii="宋体" w:hAnsi="宋体" w:eastAsia="宋体" w:cs="宋体"/>
                <w:sz w:val="21"/>
                <w:szCs w:val="21"/>
              </w:rPr>
              <w:t xml:space="preserve">供应商法人代表： </w:t>
            </w:r>
            <w:r>
              <w:rPr>
                <w:rFonts w:hint="eastAsia" w:cs="宋体"/>
                <w:sz w:val="21"/>
                <w:szCs w:val="21"/>
                <w:lang w:val="en-US" w:eastAsia="zh-CN"/>
              </w:rPr>
              <w:t xml:space="preserve">              </w:t>
            </w:r>
            <w:r>
              <w:rPr>
                <w:rFonts w:hint="eastAsia" w:ascii="宋体" w:hAnsi="宋体" w:eastAsia="宋体" w:cs="宋体"/>
                <w:sz w:val="21"/>
                <w:szCs w:val="21"/>
              </w:rPr>
              <w:t>（签字）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rPr>
        <w:tc>
          <w:tcPr>
            <w:tcW w:w="3314" w:type="dxa"/>
          </w:tcPr>
          <w:p>
            <w:pPr>
              <w:pStyle w:val="19"/>
              <w:spacing w:before="71"/>
              <w:ind w:left="50"/>
              <w:rPr>
                <w:rFonts w:hint="eastAsia" w:ascii="宋体" w:hAnsi="宋体" w:eastAsia="宋体" w:cs="宋体"/>
                <w:sz w:val="21"/>
                <w:szCs w:val="21"/>
              </w:rPr>
            </w:pPr>
            <w:r>
              <w:rPr>
                <w:rFonts w:hint="eastAsia" w:ascii="宋体" w:hAnsi="宋体" w:eastAsia="宋体" w:cs="宋体"/>
                <w:sz w:val="21"/>
                <w:szCs w:val="21"/>
              </w:rPr>
              <w:t>开户银行：</w:t>
            </w:r>
          </w:p>
        </w:tc>
        <w:tc>
          <w:tcPr>
            <w:tcW w:w="1430" w:type="dxa"/>
          </w:tcPr>
          <w:p>
            <w:pPr>
              <w:pStyle w:val="19"/>
              <w:rPr>
                <w:rFonts w:hint="eastAsia" w:ascii="宋体" w:hAnsi="宋体" w:eastAsia="宋体" w:cs="宋体"/>
                <w:sz w:val="21"/>
                <w:szCs w:val="21"/>
              </w:rPr>
            </w:pPr>
          </w:p>
        </w:tc>
        <w:tc>
          <w:tcPr>
            <w:tcW w:w="4800" w:type="dxa"/>
          </w:tcPr>
          <w:p>
            <w:pPr>
              <w:pStyle w:val="19"/>
              <w:spacing w:before="71"/>
              <w:ind w:right="1284"/>
              <w:jc w:val="both"/>
              <w:rPr>
                <w:rFonts w:hint="eastAsia" w:ascii="宋体" w:hAnsi="宋体" w:eastAsia="宋体" w:cs="宋体"/>
                <w:sz w:val="21"/>
                <w:szCs w:val="21"/>
              </w:rPr>
            </w:pPr>
            <w:r>
              <w:rPr>
                <w:rFonts w:hint="eastAsia" w:ascii="宋体" w:hAnsi="宋体" w:eastAsia="宋体" w:cs="宋体"/>
                <w:sz w:val="21"/>
                <w:szCs w:val="21"/>
              </w:rPr>
              <w:t>开户银行：招商银行北京分行大望路行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rPr>
        <w:tc>
          <w:tcPr>
            <w:tcW w:w="3314" w:type="dxa"/>
          </w:tcPr>
          <w:p>
            <w:pPr>
              <w:pStyle w:val="19"/>
              <w:spacing w:before="71"/>
              <w:ind w:left="50"/>
              <w:rPr>
                <w:rFonts w:hint="eastAsia" w:ascii="宋体" w:hAnsi="宋体" w:eastAsia="宋体" w:cs="宋体"/>
                <w:sz w:val="21"/>
                <w:szCs w:val="21"/>
              </w:rPr>
            </w:pPr>
            <w:r>
              <w:rPr>
                <w:rFonts w:hint="eastAsia" w:ascii="宋体" w:hAnsi="宋体" w:eastAsia="宋体" w:cs="宋体"/>
                <w:sz w:val="21"/>
                <w:szCs w:val="21"/>
              </w:rPr>
              <w:t>帐 号：</w:t>
            </w:r>
          </w:p>
        </w:tc>
        <w:tc>
          <w:tcPr>
            <w:tcW w:w="1430" w:type="dxa"/>
          </w:tcPr>
          <w:p>
            <w:pPr>
              <w:pStyle w:val="19"/>
              <w:rPr>
                <w:rFonts w:hint="eastAsia" w:ascii="宋体" w:hAnsi="宋体" w:eastAsia="宋体" w:cs="宋体"/>
                <w:sz w:val="21"/>
                <w:szCs w:val="21"/>
              </w:rPr>
            </w:pPr>
          </w:p>
        </w:tc>
        <w:tc>
          <w:tcPr>
            <w:tcW w:w="4800" w:type="dxa"/>
          </w:tcPr>
          <w:p>
            <w:pPr>
              <w:pStyle w:val="19"/>
              <w:spacing w:before="71"/>
              <w:ind w:right="1284"/>
              <w:jc w:val="both"/>
              <w:rPr>
                <w:rFonts w:hint="eastAsia" w:ascii="宋体" w:hAnsi="宋体" w:eastAsia="宋体" w:cs="宋体"/>
                <w:sz w:val="21"/>
                <w:szCs w:val="21"/>
              </w:rPr>
            </w:pPr>
            <w:r>
              <w:rPr>
                <w:rFonts w:hint="eastAsia" w:ascii="宋体" w:hAnsi="宋体" w:eastAsia="宋体" w:cs="宋体"/>
                <w:sz w:val="21"/>
                <w:szCs w:val="21"/>
              </w:rPr>
              <w:t>帐 号：110938277710802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rPr>
        <w:tc>
          <w:tcPr>
            <w:tcW w:w="3314" w:type="dxa"/>
          </w:tcPr>
          <w:p>
            <w:pPr>
              <w:pStyle w:val="19"/>
              <w:spacing w:before="71"/>
              <w:ind w:left="50"/>
              <w:rPr>
                <w:rFonts w:hint="eastAsia" w:ascii="宋体" w:hAnsi="宋体" w:eastAsia="宋体" w:cs="宋体"/>
                <w:sz w:val="21"/>
                <w:szCs w:val="21"/>
              </w:rPr>
            </w:pPr>
            <w:r>
              <w:rPr>
                <w:rFonts w:hint="eastAsia" w:ascii="宋体" w:hAnsi="宋体" w:eastAsia="宋体" w:cs="宋体"/>
                <w:sz w:val="21"/>
                <w:szCs w:val="21"/>
              </w:rPr>
              <w:t>联系电话：</w:t>
            </w:r>
          </w:p>
        </w:tc>
        <w:tc>
          <w:tcPr>
            <w:tcW w:w="1430" w:type="dxa"/>
          </w:tcPr>
          <w:p>
            <w:pPr>
              <w:pStyle w:val="19"/>
              <w:rPr>
                <w:rFonts w:hint="eastAsia" w:ascii="宋体" w:hAnsi="宋体" w:eastAsia="宋体" w:cs="宋体"/>
                <w:sz w:val="21"/>
                <w:szCs w:val="21"/>
              </w:rPr>
            </w:pPr>
          </w:p>
        </w:tc>
        <w:tc>
          <w:tcPr>
            <w:tcW w:w="4800" w:type="dxa"/>
          </w:tcPr>
          <w:p>
            <w:pPr>
              <w:pStyle w:val="19"/>
              <w:spacing w:before="71"/>
              <w:rPr>
                <w:rFonts w:hint="default" w:ascii="宋体" w:hAnsi="宋体" w:eastAsia="宋体" w:cs="宋体"/>
                <w:sz w:val="21"/>
                <w:szCs w:val="21"/>
                <w:lang w:val="en-US" w:eastAsia="zh-CN"/>
              </w:rPr>
            </w:pPr>
            <w:r>
              <w:rPr>
                <w:rFonts w:hint="eastAsia" w:ascii="宋体" w:hAnsi="宋体" w:eastAsia="宋体" w:cs="宋体"/>
                <w:sz w:val="21"/>
                <w:szCs w:val="21"/>
              </w:rPr>
              <w:t>联系电话：</w:t>
            </w:r>
            <w:r>
              <w:rPr>
                <w:rFonts w:hint="eastAsia" w:cs="宋体"/>
                <w:sz w:val="21"/>
                <w:szCs w:val="21"/>
                <w:lang w:val="en-US" w:eastAsia="zh-CN"/>
              </w:rPr>
              <w:t>17679520666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8" w:hRule="atLeast"/>
        </w:trPr>
        <w:tc>
          <w:tcPr>
            <w:tcW w:w="3314" w:type="dxa"/>
          </w:tcPr>
          <w:p>
            <w:pPr>
              <w:pStyle w:val="19"/>
              <w:rPr>
                <w:rFonts w:hint="eastAsia" w:ascii="宋体" w:hAnsi="宋体" w:eastAsia="宋体" w:cs="宋体"/>
                <w:sz w:val="21"/>
                <w:szCs w:val="21"/>
              </w:rPr>
            </w:pPr>
          </w:p>
        </w:tc>
        <w:tc>
          <w:tcPr>
            <w:tcW w:w="1430" w:type="dxa"/>
          </w:tcPr>
          <w:p>
            <w:pPr>
              <w:pStyle w:val="19"/>
              <w:rPr>
                <w:rFonts w:hint="eastAsia" w:ascii="宋体" w:hAnsi="宋体" w:eastAsia="宋体" w:cs="宋体"/>
                <w:sz w:val="21"/>
                <w:szCs w:val="21"/>
              </w:rPr>
            </w:pPr>
          </w:p>
        </w:tc>
        <w:tc>
          <w:tcPr>
            <w:tcW w:w="4800" w:type="dxa"/>
          </w:tcPr>
          <w:p>
            <w:pPr>
              <w:pStyle w:val="19"/>
              <w:tabs>
                <w:tab w:val="left" w:pos="2015"/>
                <w:tab w:val="left" w:pos="2507"/>
                <w:tab w:val="left" w:pos="2939"/>
              </w:tabs>
              <w:spacing w:before="71" w:line="197" w:lineRule="exact"/>
              <w:rPr>
                <w:rFonts w:hint="eastAsia" w:ascii="宋体" w:hAnsi="宋体" w:eastAsia="宋体" w:cs="宋体"/>
                <w:sz w:val="21"/>
                <w:szCs w:val="21"/>
              </w:rPr>
            </w:pPr>
            <w:r>
              <w:rPr>
                <w:rFonts w:hint="eastAsia" w:ascii="宋体" w:hAnsi="宋体" w:eastAsia="宋体" w:cs="宋体"/>
                <w:sz w:val="21"/>
                <w:szCs w:val="21"/>
              </w:rPr>
              <w:t>签订时间</w:t>
            </w:r>
            <w:r>
              <w:rPr>
                <w:rFonts w:hint="eastAsia" w:ascii="宋体" w:hAnsi="宋体" w:eastAsia="宋体" w:cs="宋体"/>
                <w:sz w:val="21"/>
                <w:szCs w:val="21"/>
              </w:rPr>
              <w:tab/>
            </w:r>
            <w:r>
              <w:rPr>
                <w:rFonts w:hint="eastAsia" w:ascii="宋体" w:hAnsi="宋体" w:eastAsia="宋体" w:cs="宋体"/>
                <w:sz w:val="21"/>
                <w:szCs w:val="21"/>
              </w:rPr>
              <w:t>年</w:t>
            </w:r>
            <w:r>
              <w:rPr>
                <w:rFonts w:hint="eastAsia" w:ascii="宋体" w:hAnsi="宋体" w:eastAsia="宋体" w:cs="宋体"/>
                <w:sz w:val="21"/>
                <w:szCs w:val="21"/>
              </w:rPr>
              <w:tab/>
            </w:r>
            <w:r>
              <w:rPr>
                <w:rFonts w:hint="eastAsia" w:ascii="宋体" w:hAnsi="宋体" w:eastAsia="宋体" w:cs="宋体"/>
                <w:sz w:val="21"/>
                <w:szCs w:val="21"/>
              </w:rPr>
              <w:t>月</w:t>
            </w:r>
            <w:r>
              <w:rPr>
                <w:rFonts w:hint="eastAsia" w:ascii="宋体" w:hAnsi="宋体" w:eastAsia="宋体" w:cs="宋体"/>
                <w:sz w:val="21"/>
                <w:szCs w:val="21"/>
              </w:rPr>
              <w:tab/>
            </w:r>
            <w:r>
              <w:rPr>
                <w:rFonts w:hint="eastAsia" w:ascii="宋体" w:hAnsi="宋体" w:eastAsia="宋体" w:cs="宋体"/>
                <w:sz w:val="21"/>
                <w:szCs w:val="21"/>
              </w:rPr>
              <w:t>日</w:t>
            </w:r>
          </w:p>
        </w:tc>
      </w:tr>
    </w:tbl>
    <w:p>
      <w:pPr>
        <w:pStyle w:val="9"/>
        <w:rPr>
          <w:rFonts w:hint="eastAsia" w:ascii="宋体" w:hAnsi="宋体" w:eastAsia="宋体" w:cs="宋体"/>
          <w:sz w:val="21"/>
          <w:szCs w:val="21"/>
        </w:rPr>
      </w:pPr>
    </w:p>
    <w:p>
      <w:pPr>
        <w:pStyle w:val="9"/>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p>
    <w:p>
      <w:pPr>
        <w:pStyle w:val="18"/>
        <w:numPr>
          <w:ilvl w:val="0"/>
          <w:numId w:val="0"/>
        </w:numPr>
        <w:tabs>
          <w:tab w:val="left" w:pos="789"/>
        </w:tabs>
        <w:spacing w:before="68" w:after="0" w:line="240" w:lineRule="auto"/>
        <w:ind w:left="605" w:leftChars="0" w:right="0" w:rightChars="0"/>
        <w:jc w:val="left"/>
        <w:rPr>
          <w:rFonts w:hint="eastAsia" w:ascii="宋体" w:hAnsi="宋体" w:eastAsia="宋体" w:cs="宋体"/>
          <w:sz w:val="21"/>
          <w:szCs w:val="21"/>
        </w:rPr>
      </w:pPr>
      <w:r>
        <w:rPr>
          <w:rFonts w:hint="eastAsia" w:ascii="宋体" w:hAnsi="宋体" w:eastAsia="宋体" w:cs="宋体"/>
          <w:sz w:val="21"/>
          <w:szCs w:val="21"/>
        </w:rPr>
        <w:t>附表：本合同所附下列文件是构成本合同不可分割的部分：</w:t>
      </w:r>
    </w:p>
    <w:p>
      <w:pPr>
        <w:pStyle w:val="18"/>
        <w:numPr>
          <w:ilvl w:val="0"/>
          <w:numId w:val="0"/>
        </w:numPr>
        <w:tabs>
          <w:tab w:val="left" w:pos="935"/>
        </w:tabs>
        <w:spacing w:before="141" w:after="0" w:line="240" w:lineRule="auto"/>
        <w:ind w:left="665" w:leftChars="0" w:right="0" w:rightChars="0"/>
        <w:jc w:val="left"/>
        <w:rPr>
          <w:rFonts w:hint="eastAsia" w:ascii="宋体" w:hAnsi="宋体" w:eastAsia="宋体" w:cs="宋体"/>
          <w:w w:val="110"/>
          <w:sz w:val="21"/>
          <w:szCs w:val="21"/>
          <w:lang w:val="en-US" w:eastAsia="zh-CN"/>
        </w:rPr>
      </w:pPr>
      <w:r>
        <w:rPr>
          <w:rFonts w:hint="eastAsia" w:ascii="宋体" w:hAnsi="宋体" w:eastAsia="宋体" w:cs="宋体"/>
          <w:sz w:val="21"/>
          <w:szCs w:val="21"/>
        </w:rPr>
        <w:t>标的物清单</w:t>
      </w:r>
      <w:r>
        <w:rPr>
          <w:rFonts w:hint="eastAsia" w:ascii="宋体" w:hAnsi="宋体" w:eastAsia="宋体" w:cs="宋体"/>
          <w:sz w:val="21"/>
          <w:szCs w:val="21"/>
          <w:lang w:eastAsia="zh-CN"/>
        </w:rPr>
        <w:t>、</w:t>
      </w:r>
      <w:r>
        <w:rPr>
          <w:rFonts w:hint="eastAsia" w:ascii="宋体" w:hAnsi="宋体" w:eastAsia="宋体" w:cs="宋体"/>
          <w:spacing w:val="-2"/>
          <w:sz w:val="21"/>
          <w:szCs w:val="21"/>
        </w:rPr>
        <w:t>中标结果公告及中标通知书</w:t>
      </w:r>
      <w:r>
        <w:rPr>
          <w:rFonts w:hint="eastAsia" w:ascii="宋体" w:hAnsi="宋体" w:eastAsia="宋体" w:cs="宋体"/>
          <w:spacing w:val="-2"/>
          <w:sz w:val="21"/>
          <w:szCs w:val="21"/>
          <w:lang w:val="en-US" w:eastAsia="zh-CN"/>
        </w:rPr>
        <w:t xml:space="preserve"> 、</w:t>
      </w:r>
      <w:r>
        <w:rPr>
          <w:rFonts w:hint="eastAsia" w:ascii="宋体" w:hAnsi="宋体" w:eastAsia="宋体" w:cs="宋体"/>
          <w:w w:val="110"/>
          <w:sz w:val="21"/>
          <w:szCs w:val="21"/>
        </w:rPr>
        <w:t>磋商文件</w:t>
      </w:r>
      <w:r>
        <w:rPr>
          <w:rFonts w:hint="eastAsia" w:ascii="宋体" w:hAnsi="宋体" w:eastAsia="宋体" w:cs="宋体"/>
          <w:w w:val="110"/>
          <w:sz w:val="21"/>
          <w:szCs w:val="21"/>
          <w:lang w:eastAsia="zh-CN"/>
        </w:rPr>
        <w:t>、</w:t>
      </w:r>
      <w:r>
        <w:rPr>
          <w:rFonts w:hint="eastAsia" w:ascii="宋体" w:hAnsi="宋体" w:eastAsia="宋体" w:cs="宋体"/>
          <w:w w:val="110"/>
          <w:sz w:val="21"/>
          <w:szCs w:val="21"/>
          <w:lang w:val="en-US" w:eastAsia="zh-CN"/>
        </w:rPr>
        <w:t>响应文件</w:t>
      </w:r>
    </w:p>
    <w:p>
      <w:pPr>
        <w:pStyle w:val="18"/>
        <w:numPr>
          <w:ilvl w:val="0"/>
          <w:numId w:val="0"/>
        </w:numPr>
        <w:tabs>
          <w:tab w:val="left" w:pos="935"/>
        </w:tabs>
        <w:spacing w:before="141" w:after="0" w:line="240" w:lineRule="auto"/>
        <w:ind w:left="665" w:leftChars="0" w:right="0" w:rightChars="0"/>
        <w:jc w:val="left"/>
        <w:rPr>
          <w:rFonts w:hint="eastAsia" w:ascii="宋体" w:hAnsi="宋体" w:eastAsia="宋体" w:cs="宋体"/>
          <w:w w:val="110"/>
          <w:sz w:val="21"/>
          <w:szCs w:val="21"/>
          <w:lang w:val="en-US" w:eastAsia="zh-CN"/>
        </w:rPr>
      </w:pPr>
      <w:r>
        <w:rPr>
          <w:rFonts w:hint="eastAsia" w:ascii="宋体" w:hAnsi="宋体" w:eastAsia="宋体" w:cs="宋体"/>
          <w:w w:val="110"/>
          <w:sz w:val="21"/>
          <w:szCs w:val="21"/>
          <w:lang w:val="en-US" w:eastAsia="zh-CN"/>
        </w:rPr>
        <w:t>标的物品清单</w:t>
      </w:r>
    </w:p>
    <w:tbl>
      <w:tblPr>
        <w:tblStyle w:val="16"/>
        <w:tblW w:w="928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619"/>
        <w:gridCol w:w="987"/>
        <w:gridCol w:w="1588"/>
        <w:gridCol w:w="1587"/>
        <w:gridCol w:w="1175"/>
        <w:gridCol w:w="738"/>
        <w:gridCol w:w="612"/>
        <w:gridCol w:w="988"/>
        <w:gridCol w:w="994"/>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b/>
                <w:bCs/>
                <w:color w:val="000000"/>
                <w:sz w:val="18"/>
                <w:szCs w:val="18"/>
              </w:rPr>
            </w:pPr>
            <w:r>
              <w:rPr>
                <w:rFonts w:hint="eastAsia" w:ascii="宋体" w:hAnsi="宋体" w:eastAsia="宋体" w:cs="宋体"/>
                <w:b/>
                <w:bCs/>
                <w:color w:val="000000"/>
                <w:kern w:val="0"/>
                <w:sz w:val="18"/>
                <w:szCs w:val="18"/>
              </w:rPr>
              <w:t>序号</w:t>
            </w:r>
          </w:p>
        </w:tc>
        <w:tc>
          <w:tcPr>
            <w:tcW w:w="987"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b/>
                <w:bCs/>
                <w:color w:val="000000"/>
                <w:sz w:val="18"/>
                <w:szCs w:val="18"/>
              </w:rPr>
            </w:pPr>
            <w:r>
              <w:rPr>
                <w:rFonts w:hint="eastAsia" w:ascii="宋体" w:hAnsi="宋体" w:eastAsia="宋体" w:cs="宋体"/>
                <w:b/>
                <w:bCs/>
                <w:color w:val="000000"/>
                <w:kern w:val="0"/>
                <w:sz w:val="18"/>
                <w:szCs w:val="18"/>
              </w:rPr>
              <w:t>标的名称</w:t>
            </w:r>
          </w:p>
        </w:tc>
        <w:tc>
          <w:tcPr>
            <w:tcW w:w="1588"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b/>
                <w:bCs/>
                <w:color w:val="000000"/>
                <w:sz w:val="18"/>
                <w:szCs w:val="18"/>
              </w:rPr>
            </w:pPr>
            <w:r>
              <w:rPr>
                <w:rFonts w:hint="eastAsia" w:ascii="宋体" w:hAnsi="宋体" w:eastAsia="宋体" w:cs="宋体"/>
                <w:b/>
                <w:bCs/>
                <w:color w:val="000000"/>
                <w:kern w:val="0"/>
                <w:sz w:val="18"/>
                <w:szCs w:val="18"/>
              </w:rPr>
              <w:t>品牌、规格型号/主要服务内容</w:t>
            </w:r>
          </w:p>
        </w:tc>
        <w:tc>
          <w:tcPr>
            <w:tcW w:w="1587"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b/>
                <w:bCs/>
                <w:color w:val="000000"/>
                <w:sz w:val="18"/>
                <w:szCs w:val="18"/>
              </w:rPr>
            </w:pPr>
            <w:r>
              <w:rPr>
                <w:rFonts w:hint="eastAsia" w:ascii="宋体" w:hAnsi="宋体" w:eastAsia="宋体" w:cs="宋体"/>
                <w:b/>
                <w:bCs/>
                <w:color w:val="000000"/>
                <w:kern w:val="0"/>
                <w:sz w:val="18"/>
                <w:szCs w:val="18"/>
              </w:rPr>
              <w:t>制造商名称</w:t>
            </w:r>
          </w:p>
        </w:tc>
        <w:tc>
          <w:tcPr>
            <w:tcW w:w="1175"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b/>
                <w:bCs/>
                <w:color w:val="000000"/>
                <w:sz w:val="18"/>
                <w:szCs w:val="18"/>
              </w:rPr>
            </w:pPr>
            <w:r>
              <w:rPr>
                <w:rFonts w:hint="eastAsia" w:ascii="宋体" w:hAnsi="宋体" w:eastAsia="宋体" w:cs="宋体"/>
                <w:b/>
                <w:bCs/>
                <w:color w:val="000000"/>
                <w:kern w:val="0"/>
                <w:sz w:val="18"/>
                <w:szCs w:val="18"/>
              </w:rPr>
              <w:t>产地</w:t>
            </w:r>
          </w:p>
        </w:tc>
        <w:tc>
          <w:tcPr>
            <w:tcW w:w="738"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b/>
                <w:bCs/>
                <w:color w:val="000000"/>
                <w:sz w:val="18"/>
                <w:szCs w:val="18"/>
              </w:rPr>
            </w:pPr>
            <w:r>
              <w:rPr>
                <w:rFonts w:hint="eastAsia" w:ascii="宋体" w:hAnsi="宋体" w:eastAsia="宋体" w:cs="宋体"/>
                <w:b/>
                <w:bCs/>
                <w:color w:val="000000"/>
                <w:kern w:val="0"/>
                <w:sz w:val="18"/>
                <w:szCs w:val="18"/>
              </w:rPr>
              <w:t>数量</w:t>
            </w:r>
          </w:p>
        </w:tc>
        <w:tc>
          <w:tcPr>
            <w:tcW w:w="612"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b/>
                <w:bCs/>
                <w:color w:val="000000"/>
                <w:sz w:val="18"/>
                <w:szCs w:val="18"/>
              </w:rPr>
            </w:pPr>
            <w:r>
              <w:rPr>
                <w:rFonts w:hint="eastAsia" w:ascii="宋体" w:hAnsi="宋体" w:eastAsia="宋体" w:cs="宋体"/>
                <w:b/>
                <w:bCs/>
                <w:color w:val="000000"/>
                <w:kern w:val="0"/>
                <w:sz w:val="18"/>
                <w:szCs w:val="18"/>
              </w:rPr>
              <w:t>单位</w:t>
            </w:r>
          </w:p>
        </w:tc>
        <w:tc>
          <w:tcPr>
            <w:tcW w:w="988"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b/>
                <w:bCs/>
                <w:color w:val="000000"/>
                <w:sz w:val="18"/>
                <w:szCs w:val="18"/>
              </w:rPr>
            </w:pPr>
            <w:r>
              <w:rPr>
                <w:rFonts w:hint="eastAsia" w:ascii="宋体" w:hAnsi="宋体" w:eastAsia="宋体" w:cs="宋体"/>
                <w:b/>
                <w:bCs/>
                <w:color w:val="000000"/>
                <w:kern w:val="0"/>
                <w:sz w:val="18"/>
                <w:szCs w:val="18"/>
              </w:rPr>
              <w:t>单价（元）</w:t>
            </w:r>
          </w:p>
        </w:tc>
        <w:tc>
          <w:tcPr>
            <w:tcW w:w="994" w:type="dxa"/>
            <w:tcBorders>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b/>
                <w:bCs/>
                <w:color w:val="000000"/>
                <w:sz w:val="18"/>
                <w:szCs w:val="18"/>
              </w:rPr>
            </w:pPr>
            <w:r>
              <w:rPr>
                <w:rFonts w:hint="eastAsia" w:ascii="宋体" w:hAnsi="宋体" w:eastAsia="宋体" w:cs="宋体"/>
                <w:b/>
                <w:bCs/>
                <w:color w:val="000000"/>
                <w:kern w:val="0"/>
                <w:sz w:val="18"/>
                <w:szCs w:val="18"/>
              </w:rPr>
              <w:t>合计（元）</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LED显示屏幕</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SDPY/P1.86</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北京盛达屏业科技有限公司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14.34</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￥21,500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￥308,310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视频处理器</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NovaStar/V2460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西安诺瓦星云科技股份有限公司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中国陕西省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￥22,500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￥22,500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屏幕结构及包边</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SDPY/定制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北京盛达屏业科技有限公司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项</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￥14,500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￥14,500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立体眼镜发射器</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幻视/HMT-5000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深圳市幻视科技有限公司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￥2,800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￥2,800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5</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立体眼镜</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幻视/HMT-5000H19C</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深圳市幻视科技有限公司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50.00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付</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￥12,500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6</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图形工作站</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HP/Z6G4</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中国惠普有限公司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￥23,500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￥23,500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7</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虚拟现实桥接软件</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道航</w:t>
            </w:r>
            <w:r>
              <w:rPr>
                <w:rStyle w:val="21"/>
                <w:rFonts w:hint="eastAsia" w:ascii="宋体" w:hAnsi="宋体" w:eastAsia="宋体" w:cs="宋体"/>
              </w:rPr>
              <w:t>寰宇/MSVR V1.0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北京道航寰宇科技有限公司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套</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￥48,500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￥48,500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8</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3D眼镜充电柜</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英创思/EN10032-VR</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深圳英创思技术有限公司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￥7,450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￥7,450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9</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服务器机柜</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华安通达/42U</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北京华安通达科技有限公司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架</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￥9,000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主扩音箱</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SPDPA/SPA-F4504</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支</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￥1,950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￥3,900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11</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音箱支架</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SPDPA/SPA-F4504ZJ</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个</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￥1,850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￥3,700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12</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主扩功放</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SPDPA/SPA-L2350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13</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环绕音箱</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SPDPA/SPA-M206</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支</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￥5,000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14</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环绕功放</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SPDPA/SPA-L2350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￥1,850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￥1,850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15</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调音台</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SPDPA/SPA-M08</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￥1,850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￥1,850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16</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无线麦克</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SPDPA/SPR-8902S</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套</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￥1,850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￥1,850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17</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电源管理器</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SPDPA/SPR-08PW</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￥950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￥950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18</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行为捕捉相机</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度量/</w:t>
            </w:r>
            <w:r>
              <w:rPr>
                <w:rStyle w:val="22"/>
                <w:rFonts w:hint="eastAsia" w:ascii="宋体" w:hAnsi="宋体" w:eastAsia="宋体" w:cs="宋体"/>
                <w:sz w:val="18"/>
                <w:szCs w:val="18"/>
              </w:rPr>
              <w:t>Mars1.3HW</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北京度量科技有限公司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个</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￥27,500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￥110,000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19</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行为捕捉软件</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Style w:val="21"/>
                <w:rFonts w:hint="eastAsia" w:ascii="宋体" w:hAnsi="宋体" w:eastAsia="宋体" w:cs="宋体"/>
              </w:rPr>
              <w:t>度量/</w:t>
            </w:r>
            <w:r>
              <w:rPr>
                <w:rStyle w:val="22"/>
                <w:rFonts w:hint="eastAsia" w:ascii="宋体" w:hAnsi="宋体" w:eastAsia="宋体" w:cs="宋体"/>
                <w:sz w:val="18"/>
                <w:szCs w:val="18"/>
              </w:rPr>
              <w:t>Xingying</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北京度量科技有限公司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套</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￥40000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￥40,000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教学工作站</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HP/EliteTower880G9/P24VG5</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中国惠普有限公司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￥23,500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￥23,500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21</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实训工作站</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HP/EliteTower880G9/P24VG5</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中国惠普有限公司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lang w:val="en-US" w:eastAsia="zh-CN"/>
              </w:rPr>
            </w:pPr>
            <w:r>
              <w:rPr>
                <w:rFonts w:hint="eastAsia" w:ascii="宋体" w:hAnsi="宋体" w:eastAsia="宋体" w:cs="宋体"/>
                <w:color w:val="000000"/>
                <w:kern w:val="0"/>
                <w:sz w:val="18"/>
                <w:szCs w:val="18"/>
              </w:rPr>
              <w:t>￥1,000</w:t>
            </w:r>
            <w:r>
              <w:rPr>
                <w:rFonts w:hint="eastAsia" w:ascii="宋体" w:hAnsi="宋体" w:eastAsia="宋体" w:cs="宋体"/>
                <w:color w:val="000000"/>
                <w:kern w:val="0"/>
                <w:sz w:val="18"/>
                <w:szCs w:val="18"/>
                <w:lang w:val="en-US" w:eastAsia="zh-CN"/>
              </w:rPr>
              <w:t>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￥400,000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22</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研发工作站</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HP/EliteTower880G9/P24VG5</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中国惠普有限公司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￥24,500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￥245,000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23</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路由器</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华为/AX6</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华为技术有限公司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￥980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￥1,960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24</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交换机</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华为/S1730S-S48T4S-A1</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华为技术有限公司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￥1,950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￥3,900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25</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多媒体讲台</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奥锶/定制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广州奥锶机械科技有限公司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位</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￥3,350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￥6,700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26</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教训操作台</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奥锶/定制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广州奥锶机械科技有限公司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位</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￥1,450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￥58,000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27</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多功能座椅</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奥锶/定制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广州奥锶机械科技有限公司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位</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￥8,400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28</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综合布线</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明臻/定制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明臻智慧科技（北京）有限责任公司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kern w:val="2"/>
                <w:sz w:val="18"/>
                <w:szCs w:val="18"/>
                <w:lang w:val="en-US" w:eastAsia="zh-CN" w:bidi="ar-SA"/>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160.00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￥48,000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910"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29</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环境布置</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明臻/定制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明臻智慧科技（北京）有限责任公司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160.00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￥2,000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￥320,000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30</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虚拟仿真教研管理平台</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中视典/虚拟仿真教研管理平台V1.0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深圳市中视典数字科技有限公司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color w:val="000000"/>
                <w:kern w:val="0"/>
                <w:sz w:val="18"/>
                <w:szCs w:val="18"/>
              </w:rPr>
              <w:t>套</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lang w:val="en-US" w:eastAsia="zh-CN"/>
              </w:rPr>
            </w:pPr>
            <w:r>
              <w:rPr>
                <w:rFonts w:hint="eastAsia" w:ascii="宋体" w:hAnsi="宋体" w:eastAsia="宋体" w:cs="宋体"/>
                <w:color w:val="000000"/>
                <w:kern w:val="0"/>
                <w:sz w:val="18"/>
                <w:szCs w:val="18"/>
              </w:rPr>
              <w:t>￥10,000</w:t>
            </w:r>
            <w:r>
              <w:rPr>
                <w:rFonts w:hint="eastAsia" w:ascii="宋体" w:hAnsi="宋体" w:eastAsia="宋体" w:cs="宋体"/>
                <w:color w:val="000000"/>
                <w:kern w:val="0"/>
                <w:sz w:val="18"/>
                <w:szCs w:val="18"/>
                <w:lang w:val="en-US" w:eastAsia="zh-CN"/>
              </w:rPr>
              <w:t>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lang w:val="en-US" w:eastAsia="zh-CN"/>
              </w:rPr>
            </w:pPr>
            <w:r>
              <w:rPr>
                <w:rFonts w:hint="eastAsia" w:ascii="宋体" w:hAnsi="宋体" w:eastAsia="宋体" w:cs="宋体"/>
                <w:color w:val="000000"/>
                <w:kern w:val="0"/>
                <w:sz w:val="18"/>
                <w:szCs w:val="18"/>
              </w:rPr>
              <w:t>￥10,000</w:t>
            </w:r>
            <w:r>
              <w:rPr>
                <w:rFonts w:hint="eastAsia" w:ascii="宋体" w:hAnsi="宋体" w:eastAsia="宋体" w:cs="宋体"/>
                <w:color w:val="000000"/>
                <w:kern w:val="0"/>
                <w:sz w:val="18"/>
                <w:szCs w:val="18"/>
                <w:lang w:val="en-US" w:eastAsia="zh-CN"/>
              </w:rPr>
              <w:t>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9288" w:type="dxa"/>
            <w:gridSpan w:val="9"/>
            <w:tcBorders>
              <w:top w:val="single" w:color="000000" w:sz="4" w:space="0"/>
            </w:tcBorders>
            <w:vAlign w:val="center"/>
          </w:tcPr>
          <w:p>
            <w:pPr>
              <w:widowControl/>
              <w:adjustRightInd w:val="0"/>
              <w:snapToGrid w:val="0"/>
              <w:spacing w:line="240" w:lineRule="auto"/>
              <w:ind w:firstLine="0" w:firstLineChars="0"/>
              <w:jc w:val="center"/>
              <w:textAlignment w:val="center"/>
              <w:rPr>
                <w:rFonts w:hint="eastAsia" w:ascii="宋体" w:hAnsi="宋体" w:eastAsia="宋体" w:cs="宋体"/>
                <w:color w:val="000000"/>
                <w:sz w:val="18"/>
                <w:szCs w:val="18"/>
              </w:rPr>
            </w:pPr>
            <w:r>
              <w:rPr>
                <w:rFonts w:hint="eastAsia" w:ascii="宋体" w:hAnsi="宋体" w:eastAsia="宋体" w:cs="宋体"/>
                <w:b/>
                <w:bCs/>
                <w:color w:val="000000"/>
                <w:kern w:val="0"/>
                <w:sz w:val="18"/>
                <w:szCs w:val="18"/>
                <w:lang w:val="en-US" w:eastAsia="zh-CN"/>
              </w:rPr>
              <w:t xml:space="preserve">                                                                                  </w:t>
            </w:r>
            <w:r>
              <w:rPr>
                <w:rFonts w:hint="eastAsia" w:ascii="宋体" w:hAnsi="宋体" w:eastAsia="宋体" w:cs="宋体"/>
                <w:b/>
                <w:bCs/>
                <w:color w:val="000000"/>
                <w:kern w:val="0"/>
                <w:sz w:val="18"/>
                <w:szCs w:val="18"/>
              </w:rPr>
              <w:t>￥1,833,820（小写）</w:t>
            </w:r>
          </w:p>
        </w:tc>
      </w:tr>
    </w:tbl>
    <w:p>
      <w:pPr>
        <w:pStyle w:val="18"/>
        <w:numPr>
          <w:ilvl w:val="0"/>
          <w:numId w:val="0"/>
        </w:numPr>
        <w:tabs>
          <w:tab w:val="left" w:pos="935"/>
        </w:tabs>
        <w:spacing w:before="140" w:after="0" w:line="379" w:lineRule="auto"/>
        <w:ind w:left="666" w:leftChars="0" w:right="7563" w:rightChars="0"/>
        <w:jc w:val="left"/>
        <w:rPr>
          <w:rFonts w:hint="eastAsia" w:ascii="宋体" w:hAnsi="宋体" w:eastAsia="宋体" w:cs="宋体"/>
          <w:sz w:val="19"/>
        </w:rPr>
      </w:pPr>
    </w:p>
    <w:p>
      <w:pPr>
        <w:pStyle w:val="9"/>
        <w:rPr>
          <w:rFonts w:hint="eastAsia" w:ascii="宋体" w:hAnsi="宋体" w:eastAsia="宋体" w:cs="宋体"/>
          <w:sz w:val="21"/>
          <w:szCs w:val="21"/>
        </w:rPr>
      </w:pPr>
    </w:p>
    <w:p>
      <w:pPr>
        <w:pStyle w:val="9"/>
        <w:rPr>
          <w:rFonts w:hint="eastAsia" w:ascii="宋体" w:hAnsi="宋体" w:eastAsia="宋体" w:cs="宋体"/>
          <w:sz w:val="21"/>
          <w:szCs w:val="21"/>
        </w:rPr>
      </w:pPr>
    </w:p>
    <w:p>
      <w:pPr>
        <w:pStyle w:val="9"/>
        <w:spacing w:before="6"/>
        <w:rPr>
          <w:rFonts w:hint="eastAsia" w:ascii="宋体" w:hAnsi="宋体" w:eastAsia="宋体" w:cs="宋体"/>
          <w:sz w:val="21"/>
          <w:szCs w:val="21"/>
        </w:rPr>
      </w:pPr>
    </w:p>
    <w:p>
      <w:pPr>
        <w:spacing w:after="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结果工告</w:t>
      </w:r>
    </w:p>
    <w:p>
      <w:pPr>
        <w:pStyle w:val="2"/>
        <w:rPr>
          <w:rFonts w:hint="eastAsia" w:ascii="宋体" w:hAnsi="宋体" w:eastAsia="宋体" w:cs="宋体"/>
          <w:lang w:val="en-US" w:eastAsia="zh-CN"/>
        </w:rPr>
      </w:pPr>
    </w:p>
    <w:p>
      <w:pPr>
        <w:pStyle w:val="2"/>
        <w:rPr>
          <w:rFonts w:hint="eastAsia" w:ascii="宋体" w:hAnsi="宋体" w:eastAsia="宋体" w:cs="宋体"/>
        </w:rPr>
      </w:pPr>
      <w:r>
        <w:rPr>
          <w:rFonts w:hint="eastAsia" w:ascii="宋体" w:hAnsi="宋体" w:eastAsia="宋体" w:cs="宋体"/>
        </w:rPr>
        <w:drawing>
          <wp:inline distT="0" distB="0" distL="114300" distR="114300">
            <wp:extent cx="6852920" cy="3529965"/>
            <wp:effectExtent l="0" t="0" r="5080" b="1333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9"/>
                    <a:stretch>
                      <a:fillRect/>
                    </a:stretch>
                  </pic:blipFill>
                  <pic:spPr>
                    <a:xfrm>
                      <a:off x="0" y="0"/>
                      <a:ext cx="6852920" cy="3529965"/>
                    </a:xfrm>
                    <a:prstGeom prst="rect">
                      <a:avLst/>
                    </a:prstGeom>
                    <a:noFill/>
                    <a:ln>
                      <a:noFill/>
                    </a:ln>
                  </pic:spPr>
                </pic:pic>
              </a:graphicData>
            </a:graphic>
          </wp:inline>
        </w:drawing>
      </w: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p>
    <w:p>
      <w:pPr>
        <w:pStyle w:val="2"/>
        <w:rPr>
          <w:rFonts w:hint="eastAsia" w:ascii="宋体" w:hAnsi="宋体" w:eastAsia="宋体" w:cs="宋体"/>
          <w:lang w:val="en-US" w:eastAsia="zh-CN"/>
        </w:rPr>
      </w:pPr>
      <w:r>
        <w:rPr>
          <w:rFonts w:hint="eastAsia" w:ascii="宋体" w:hAnsi="宋体" w:eastAsia="宋体" w:cs="宋体"/>
          <w:lang w:val="en-US" w:eastAsia="zh-CN"/>
        </w:rPr>
        <w:t>中标通知书</w:t>
      </w:r>
    </w:p>
    <w:p>
      <w:pPr>
        <w:pStyle w:val="2"/>
        <w:rPr>
          <w:rFonts w:hint="eastAsia" w:ascii="宋体" w:hAnsi="宋体" w:eastAsia="宋体" w:cs="宋体"/>
          <w:lang w:val="en-US" w:eastAsia="zh-CN"/>
        </w:rPr>
      </w:pPr>
    </w:p>
    <w:p>
      <w:pPr>
        <w:pStyle w:val="2"/>
        <w:ind w:left="0" w:leftChars="0" w:firstLine="0" w:firstLineChars="0"/>
        <w:rPr>
          <w:rFonts w:hint="eastAsia" w:ascii="宋体" w:hAnsi="宋体" w:eastAsia="宋体" w:cs="宋体"/>
          <w:lang w:val="en-US" w:eastAsia="zh-CN"/>
        </w:rPr>
        <w:sectPr>
          <w:footerReference r:id="rId5" w:type="default"/>
          <w:pgSz w:w="11900" w:h="16840"/>
          <w:pgMar w:top="500" w:right="560" w:bottom="280" w:left="540" w:header="0" w:footer="13" w:gutter="0"/>
          <w:cols w:space="720" w:num="1"/>
        </w:sectPr>
      </w:pPr>
      <w:r>
        <w:rPr>
          <w:rFonts w:hint="eastAsia" w:ascii="宋体" w:hAnsi="宋体" w:eastAsia="宋体" w:cs="宋体"/>
        </w:rPr>
        <w:drawing>
          <wp:inline distT="0" distB="0" distL="114300" distR="114300">
            <wp:extent cx="5268595" cy="7383780"/>
            <wp:effectExtent l="0" t="0" r="8255" b="762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0"/>
                    <a:stretch>
                      <a:fillRect/>
                    </a:stretch>
                  </pic:blipFill>
                  <pic:spPr>
                    <a:xfrm>
                      <a:off x="0" y="0"/>
                      <a:ext cx="5268595" cy="738378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69865" cy="7367270"/>
            <wp:effectExtent l="0" t="0" r="6985" b="508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1"/>
                    <a:stretch>
                      <a:fillRect/>
                    </a:stretch>
                  </pic:blipFill>
                  <pic:spPr>
                    <a:xfrm>
                      <a:off x="0" y="0"/>
                      <a:ext cx="5269865" cy="736727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66690" cy="7474585"/>
            <wp:effectExtent l="0" t="0" r="10160" b="1206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2"/>
                    <a:stretch>
                      <a:fillRect/>
                    </a:stretch>
                  </pic:blipFill>
                  <pic:spPr>
                    <a:xfrm>
                      <a:off x="0" y="0"/>
                      <a:ext cx="5266690" cy="747458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66690" cy="7585710"/>
            <wp:effectExtent l="0" t="0" r="10160" b="1524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3"/>
                    <a:stretch>
                      <a:fillRect/>
                    </a:stretch>
                  </pic:blipFill>
                  <pic:spPr>
                    <a:xfrm>
                      <a:off x="0" y="0"/>
                      <a:ext cx="5266690" cy="758571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69230" cy="7625715"/>
            <wp:effectExtent l="0" t="0" r="7620" b="1333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4"/>
                    <a:stretch>
                      <a:fillRect/>
                    </a:stretch>
                  </pic:blipFill>
                  <pic:spPr>
                    <a:xfrm>
                      <a:off x="0" y="0"/>
                      <a:ext cx="5269230" cy="7625715"/>
                    </a:xfrm>
                    <a:prstGeom prst="rect">
                      <a:avLst/>
                    </a:prstGeom>
                    <a:noFill/>
                    <a:ln>
                      <a:noFill/>
                    </a:ln>
                  </pic:spPr>
                </pic:pic>
              </a:graphicData>
            </a:graphic>
          </wp:inline>
        </w:drawing>
      </w:r>
    </w:p>
    <w:p>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磋商文件</w:t>
      </w:r>
    </w:p>
    <w:p>
      <w:pPr>
        <w:spacing w:before="34"/>
        <w:ind w:left="2368" w:right="2381" w:firstLine="0"/>
        <w:jc w:val="center"/>
        <w:rPr>
          <w:rFonts w:hint="eastAsia" w:ascii="宋体" w:hAnsi="宋体" w:eastAsia="宋体" w:cs="宋体"/>
          <w:b/>
          <w:sz w:val="38"/>
        </w:rPr>
      </w:pPr>
      <w:r>
        <w:rPr>
          <w:rFonts w:hint="eastAsia" w:ascii="宋体" w:hAnsi="宋体" w:eastAsia="宋体" w:cs="宋体"/>
          <w:b/>
          <w:sz w:val="38"/>
        </w:rPr>
        <w:t>黑龙江省政府采购中心</w:t>
      </w:r>
    </w:p>
    <w:p>
      <w:pPr>
        <w:pStyle w:val="9"/>
        <w:rPr>
          <w:rFonts w:hint="eastAsia" w:ascii="宋体" w:hAnsi="宋体" w:eastAsia="宋体" w:cs="宋体"/>
          <w:b/>
          <w:sz w:val="38"/>
        </w:rPr>
      </w:pPr>
    </w:p>
    <w:p>
      <w:pPr>
        <w:pStyle w:val="9"/>
        <w:spacing w:before="10"/>
        <w:rPr>
          <w:rFonts w:hint="eastAsia" w:ascii="宋体" w:hAnsi="宋体" w:eastAsia="宋体" w:cs="宋体"/>
          <w:b/>
          <w:sz w:val="45"/>
        </w:rPr>
      </w:pPr>
    </w:p>
    <w:p>
      <w:pPr>
        <w:spacing w:before="0"/>
        <w:ind w:left="2368" w:right="2381" w:firstLine="0"/>
        <w:jc w:val="center"/>
        <w:rPr>
          <w:rFonts w:hint="eastAsia" w:ascii="宋体" w:hAnsi="宋体" w:eastAsia="宋体" w:cs="宋体"/>
          <w:b/>
          <w:sz w:val="38"/>
        </w:rPr>
      </w:pPr>
      <w:r>
        <w:rPr>
          <w:rFonts w:hint="eastAsia" w:ascii="宋体" w:hAnsi="宋体" w:eastAsia="宋体" w:cs="宋体"/>
          <w:b/>
          <w:sz w:val="38"/>
        </w:rPr>
        <w:t>竞争性磋商文件</w:t>
      </w:r>
    </w:p>
    <w:p>
      <w:pPr>
        <w:pStyle w:val="9"/>
        <w:rPr>
          <w:rFonts w:hint="eastAsia" w:ascii="宋体" w:hAnsi="宋体" w:eastAsia="宋体" w:cs="宋体"/>
          <w:b/>
          <w:sz w:val="38"/>
        </w:rPr>
      </w:pPr>
    </w:p>
    <w:p>
      <w:pPr>
        <w:pStyle w:val="9"/>
        <w:rPr>
          <w:rFonts w:hint="eastAsia" w:ascii="宋体" w:hAnsi="宋体" w:eastAsia="宋体" w:cs="宋体"/>
          <w:b/>
          <w:sz w:val="38"/>
        </w:rPr>
      </w:pPr>
    </w:p>
    <w:p>
      <w:pPr>
        <w:pStyle w:val="9"/>
        <w:rPr>
          <w:rFonts w:hint="eastAsia" w:ascii="宋体" w:hAnsi="宋体" w:eastAsia="宋体" w:cs="宋体"/>
          <w:b/>
          <w:sz w:val="38"/>
        </w:rPr>
      </w:pPr>
    </w:p>
    <w:p>
      <w:pPr>
        <w:pStyle w:val="9"/>
        <w:rPr>
          <w:rFonts w:hint="eastAsia" w:ascii="宋体" w:hAnsi="宋体" w:eastAsia="宋体" w:cs="宋体"/>
          <w:b/>
          <w:sz w:val="38"/>
        </w:rPr>
      </w:pPr>
    </w:p>
    <w:p>
      <w:pPr>
        <w:pStyle w:val="9"/>
        <w:rPr>
          <w:rFonts w:hint="eastAsia" w:ascii="宋体" w:hAnsi="宋体" w:eastAsia="宋体" w:cs="宋体"/>
          <w:b/>
          <w:sz w:val="38"/>
        </w:rPr>
      </w:pPr>
    </w:p>
    <w:p>
      <w:pPr>
        <w:pStyle w:val="9"/>
        <w:rPr>
          <w:rFonts w:hint="eastAsia" w:ascii="宋体" w:hAnsi="宋体" w:eastAsia="宋体" w:cs="宋体"/>
          <w:b/>
          <w:sz w:val="38"/>
        </w:rPr>
      </w:pPr>
    </w:p>
    <w:p>
      <w:pPr>
        <w:pStyle w:val="9"/>
        <w:rPr>
          <w:rFonts w:hint="eastAsia" w:ascii="宋体" w:hAnsi="宋体" w:eastAsia="宋体" w:cs="宋体"/>
          <w:b/>
          <w:sz w:val="38"/>
        </w:rPr>
      </w:pPr>
    </w:p>
    <w:p>
      <w:pPr>
        <w:pStyle w:val="9"/>
        <w:rPr>
          <w:rFonts w:hint="eastAsia" w:ascii="宋体" w:hAnsi="宋体" w:eastAsia="宋体" w:cs="宋体"/>
          <w:b/>
          <w:sz w:val="38"/>
        </w:rPr>
      </w:pPr>
    </w:p>
    <w:p>
      <w:pPr>
        <w:pStyle w:val="9"/>
        <w:rPr>
          <w:rFonts w:hint="eastAsia" w:ascii="宋体" w:hAnsi="宋体" w:eastAsia="宋体" w:cs="宋体"/>
          <w:b/>
          <w:sz w:val="38"/>
        </w:rPr>
      </w:pPr>
    </w:p>
    <w:p>
      <w:pPr>
        <w:pStyle w:val="9"/>
        <w:spacing w:before="5"/>
        <w:rPr>
          <w:rFonts w:hint="eastAsia" w:ascii="宋体" w:hAnsi="宋体" w:eastAsia="宋体" w:cs="宋体"/>
          <w:b/>
          <w:sz w:val="33"/>
        </w:rPr>
      </w:pPr>
    </w:p>
    <w:p>
      <w:pPr>
        <w:spacing w:before="0" w:line="273" w:lineRule="auto"/>
        <w:ind w:left="2394" w:right="2381" w:firstLine="0"/>
        <w:jc w:val="center"/>
        <w:rPr>
          <w:rFonts w:hint="eastAsia" w:ascii="宋体" w:hAnsi="宋体" w:eastAsia="宋体" w:cs="宋体"/>
          <w:b/>
          <w:sz w:val="24"/>
        </w:rPr>
      </w:pPr>
      <w:r>
        <w:rPr>
          <w:rFonts w:hint="eastAsia" w:ascii="宋体" w:hAnsi="宋体" w:eastAsia="宋体" w:cs="宋体"/>
          <w:b/>
          <w:sz w:val="24"/>
        </w:rPr>
        <w:t>项目名称：教师教育实训楼心理实训室采购项目(二次) 项目编号：[230001]SC[CS]20230219-1</w:t>
      </w:r>
    </w:p>
    <w:p>
      <w:pPr>
        <w:spacing w:after="0" w:line="273" w:lineRule="auto"/>
        <w:jc w:val="center"/>
        <w:rPr>
          <w:rFonts w:hint="eastAsia" w:ascii="宋体" w:hAnsi="宋体" w:eastAsia="宋体" w:cs="宋体"/>
          <w:sz w:val="24"/>
        </w:rPr>
        <w:sectPr>
          <w:footerReference r:id="rId6" w:type="default"/>
          <w:pgSz w:w="11900" w:h="16840"/>
          <w:pgMar w:top="1020" w:right="560" w:bottom="200" w:left="540" w:header="720" w:footer="13" w:gutter="0"/>
          <w:pgNumType w:start="1"/>
          <w:cols w:space="720" w:num="1"/>
        </w:sectPr>
      </w:pPr>
    </w:p>
    <w:p>
      <w:pPr>
        <w:pStyle w:val="3"/>
        <w:rPr>
          <w:rFonts w:hint="eastAsia" w:ascii="宋体" w:hAnsi="宋体" w:eastAsia="宋体" w:cs="宋体"/>
        </w:rPr>
      </w:pPr>
      <w:r>
        <w:rPr>
          <w:rFonts w:hint="eastAsia" w:ascii="宋体" w:hAnsi="宋体" w:eastAsia="宋体" w:cs="宋体"/>
        </w:rPr>
        <w:t>第一章磋商邀请</w:t>
      </w:r>
    </w:p>
    <w:p>
      <w:pPr>
        <w:pStyle w:val="9"/>
        <w:rPr>
          <w:rFonts w:hint="eastAsia" w:ascii="宋体" w:hAnsi="宋体" w:eastAsia="宋体" w:cs="宋体"/>
          <w:b/>
          <w:sz w:val="22"/>
        </w:rPr>
      </w:pPr>
    </w:p>
    <w:p>
      <w:pPr>
        <w:pStyle w:val="9"/>
        <w:spacing w:before="153" w:line="379" w:lineRule="auto"/>
        <w:ind w:left="126" w:right="229" w:firstLine="384"/>
        <w:rPr>
          <w:rFonts w:hint="eastAsia" w:ascii="宋体" w:hAnsi="宋体" w:eastAsia="宋体" w:cs="宋体"/>
        </w:rPr>
      </w:pPr>
      <w:r>
        <w:rPr>
          <w:rFonts w:hint="eastAsia" w:ascii="宋体" w:hAnsi="宋体" w:eastAsia="宋体" w:cs="宋体"/>
        </w:rPr>
        <w:t>黑龙江省政府采购中心受牡丹江师范学院的委托，采用竞争性磋商方式组织采购教师教育实训楼心理实训室采购项目(二</w:t>
      </w:r>
      <w:r>
        <w:rPr>
          <w:rFonts w:hint="eastAsia" w:ascii="宋体" w:hAnsi="宋体" w:eastAsia="宋体" w:cs="宋体"/>
          <w:w w:val="110"/>
        </w:rPr>
        <w:t>次)。欢迎符合资格条件的国内供应商参加投标。</w:t>
      </w:r>
    </w:p>
    <w:p>
      <w:pPr>
        <w:pStyle w:val="4"/>
        <w:spacing w:before="105"/>
        <w:rPr>
          <w:rFonts w:hint="eastAsia" w:ascii="宋体" w:hAnsi="宋体" w:eastAsia="宋体" w:cs="宋体"/>
        </w:rPr>
      </w:pPr>
      <w:r>
        <w:rPr>
          <w:rFonts w:hint="eastAsia" w:ascii="宋体" w:hAnsi="宋体" w:eastAsia="宋体" w:cs="宋体"/>
          <w:w w:val="105"/>
        </w:rPr>
        <w:t>一</w:t>
      </w:r>
      <w:r>
        <w:rPr>
          <w:rFonts w:hint="eastAsia" w:ascii="宋体" w:hAnsi="宋体" w:eastAsia="宋体" w:cs="宋体"/>
          <w:w w:val="115"/>
        </w:rPr>
        <w:t>.</w:t>
      </w:r>
      <w:r>
        <w:rPr>
          <w:rFonts w:hint="eastAsia" w:ascii="宋体" w:hAnsi="宋体" w:eastAsia="宋体" w:cs="宋体"/>
          <w:w w:val="105"/>
        </w:rPr>
        <w:t>项目概述</w:t>
      </w:r>
    </w:p>
    <w:p>
      <w:pPr>
        <w:pStyle w:val="5"/>
        <w:numPr>
          <w:ilvl w:val="0"/>
          <w:numId w:val="8"/>
        </w:numPr>
        <w:tabs>
          <w:tab w:val="left" w:pos="333"/>
        </w:tabs>
        <w:spacing w:before="125" w:after="0" w:line="240" w:lineRule="auto"/>
        <w:ind w:left="332" w:right="0" w:hanging="207"/>
        <w:jc w:val="left"/>
        <w:rPr>
          <w:rFonts w:hint="eastAsia" w:ascii="宋体" w:hAnsi="宋体" w:eastAsia="宋体" w:cs="宋体"/>
        </w:rPr>
      </w:pPr>
      <w:r>
        <w:rPr>
          <w:rFonts w:hint="eastAsia" w:ascii="宋体" w:hAnsi="宋体" w:eastAsia="宋体" w:cs="宋体"/>
          <w:spacing w:val="9"/>
        </w:rPr>
        <w:t>名称与编号</w:t>
      </w:r>
    </w:p>
    <w:p>
      <w:pPr>
        <w:pStyle w:val="9"/>
        <w:spacing w:before="70" w:line="379" w:lineRule="auto"/>
        <w:ind w:left="510" w:right="5723"/>
        <w:rPr>
          <w:rFonts w:hint="eastAsia" w:ascii="宋体" w:hAnsi="宋体" w:eastAsia="宋体" w:cs="宋体"/>
        </w:rPr>
      </w:pPr>
      <w:r>
        <w:rPr>
          <w:rFonts w:hint="eastAsia" w:ascii="宋体" w:hAnsi="宋体" w:eastAsia="宋体" w:cs="宋体"/>
        </w:rPr>
        <w:t xml:space="preserve">项目名称：教师教育实训楼心理实训室采购项目(二次) </w:t>
      </w:r>
      <w:r>
        <w:rPr>
          <w:rFonts w:hint="eastAsia" w:ascii="宋体" w:hAnsi="宋体" w:eastAsia="宋体" w:cs="宋体"/>
          <w:w w:val="110"/>
        </w:rPr>
        <w:t>批准文件编号：黑财购核字[2023]07054号</w:t>
      </w:r>
    </w:p>
    <w:p>
      <w:pPr>
        <w:pStyle w:val="9"/>
        <w:spacing w:line="242" w:lineRule="exact"/>
        <w:ind w:left="510"/>
        <w:rPr>
          <w:rFonts w:hint="eastAsia" w:ascii="宋体" w:hAnsi="宋体" w:eastAsia="宋体" w:cs="宋体"/>
        </w:rPr>
      </w:pPr>
      <w:r>
        <w:rPr>
          <w:rFonts w:hint="eastAsia" w:ascii="宋体" w:hAnsi="宋体" w:eastAsia="宋体" w:cs="宋体"/>
          <w:spacing w:val="-3"/>
          <w:w w:val="105"/>
        </w:rPr>
        <w:t>采购文件编号：[230001]SC[CS]20230219-1</w:t>
      </w:r>
    </w:p>
    <w:p>
      <w:pPr>
        <w:pStyle w:val="9"/>
        <w:spacing w:before="8"/>
        <w:rPr>
          <w:rFonts w:hint="eastAsia" w:ascii="宋体" w:hAnsi="宋体" w:eastAsia="宋体" w:cs="宋体"/>
          <w:sz w:val="15"/>
        </w:rPr>
      </w:pPr>
    </w:p>
    <w:p>
      <w:pPr>
        <w:pStyle w:val="5"/>
        <w:numPr>
          <w:ilvl w:val="0"/>
          <w:numId w:val="8"/>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12"/>
        </w:rPr>
        <w:t>内容及分包情况（技术规格、参数及要求</w:t>
      </w:r>
      <w:r>
        <w:rPr>
          <w:rFonts w:hint="eastAsia" w:ascii="宋体" w:hAnsi="宋体" w:eastAsia="宋体" w:cs="宋体"/>
        </w:rPr>
        <w:t>）</w:t>
      </w:r>
    </w:p>
    <w:p>
      <w:pPr>
        <w:pStyle w:val="9"/>
        <w:spacing w:before="1"/>
        <w:rPr>
          <w:rFonts w:hint="eastAsia" w:ascii="宋体" w:hAnsi="宋体" w:eastAsia="宋体" w:cs="宋体"/>
          <w:b/>
          <w:sz w:val="10"/>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16"/>
        <w:gridCol w:w="4093"/>
        <w:gridCol w:w="1116"/>
        <w:gridCol w:w="1956"/>
        <w:gridCol w:w="226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81" w:hRule="atLeast"/>
        </w:trPr>
        <w:tc>
          <w:tcPr>
            <w:tcW w:w="1116" w:type="dxa"/>
            <w:shd w:val="clear" w:color="auto" w:fill="F4F4F4"/>
          </w:tcPr>
          <w:p>
            <w:pPr>
              <w:pStyle w:val="19"/>
              <w:spacing w:before="60"/>
              <w:ind w:left="538"/>
              <w:rPr>
                <w:rFonts w:hint="eastAsia" w:ascii="宋体" w:hAnsi="宋体" w:eastAsia="宋体" w:cs="宋体"/>
                <w:b/>
                <w:sz w:val="19"/>
              </w:rPr>
            </w:pPr>
            <w:r>
              <w:rPr>
                <w:rFonts w:hint="eastAsia" w:ascii="宋体" w:hAnsi="宋体" w:eastAsia="宋体" w:cs="宋体"/>
                <w:b/>
                <w:sz w:val="19"/>
              </w:rPr>
              <w:t>包号</w:t>
            </w:r>
          </w:p>
        </w:tc>
        <w:tc>
          <w:tcPr>
            <w:tcW w:w="4093" w:type="dxa"/>
            <w:shd w:val="clear" w:color="auto" w:fill="F4F4F4"/>
          </w:tcPr>
          <w:p>
            <w:pPr>
              <w:pStyle w:val="19"/>
              <w:spacing w:before="60"/>
              <w:ind w:left="1211"/>
              <w:rPr>
                <w:rFonts w:hint="eastAsia" w:ascii="宋体" w:hAnsi="宋体" w:eastAsia="宋体" w:cs="宋体"/>
                <w:b/>
                <w:sz w:val="19"/>
              </w:rPr>
            </w:pPr>
            <w:r>
              <w:rPr>
                <w:rFonts w:hint="eastAsia" w:ascii="宋体" w:hAnsi="宋体" w:eastAsia="宋体" w:cs="宋体"/>
                <w:b/>
                <w:sz w:val="19"/>
              </w:rPr>
              <w:t>货物、服务和工程名称</w:t>
            </w:r>
          </w:p>
        </w:tc>
        <w:tc>
          <w:tcPr>
            <w:tcW w:w="1116" w:type="dxa"/>
            <w:shd w:val="clear" w:color="auto" w:fill="F4F4F4"/>
          </w:tcPr>
          <w:p>
            <w:pPr>
              <w:pStyle w:val="19"/>
              <w:spacing w:before="60"/>
              <w:ind w:left="539"/>
              <w:rPr>
                <w:rFonts w:hint="eastAsia" w:ascii="宋体" w:hAnsi="宋体" w:eastAsia="宋体" w:cs="宋体"/>
                <w:b/>
                <w:sz w:val="19"/>
              </w:rPr>
            </w:pPr>
            <w:r>
              <w:rPr>
                <w:rFonts w:hint="eastAsia" w:ascii="宋体" w:hAnsi="宋体" w:eastAsia="宋体" w:cs="宋体"/>
                <w:b/>
                <w:sz w:val="19"/>
              </w:rPr>
              <w:t>数量</w:t>
            </w:r>
          </w:p>
        </w:tc>
        <w:tc>
          <w:tcPr>
            <w:tcW w:w="1956" w:type="dxa"/>
            <w:shd w:val="clear" w:color="auto" w:fill="F4F4F4"/>
          </w:tcPr>
          <w:p>
            <w:pPr>
              <w:pStyle w:val="19"/>
              <w:spacing w:before="60"/>
              <w:ind w:right="379"/>
              <w:jc w:val="right"/>
              <w:rPr>
                <w:rFonts w:hint="eastAsia" w:ascii="宋体" w:hAnsi="宋体" w:eastAsia="宋体" w:cs="宋体"/>
                <w:b/>
                <w:sz w:val="19"/>
              </w:rPr>
            </w:pPr>
            <w:r>
              <w:rPr>
                <w:rFonts w:hint="eastAsia" w:ascii="宋体" w:hAnsi="宋体" w:eastAsia="宋体" w:cs="宋体"/>
                <w:b/>
                <w:sz w:val="19"/>
              </w:rPr>
              <w:t>采购需求</w:t>
            </w:r>
          </w:p>
        </w:tc>
        <w:tc>
          <w:tcPr>
            <w:tcW w:w="2268" w:type="dxa"/>
            <w:shd w:val="clear" w:color="auto" w:fill="F4F4F4"/>
          </w:tcPr>
          <w:p>
            <w:pPr>
              <w:pStyle w:val="19"/>
              <w:spacing w:before="60"/>
              <w:ind w:left="605"/>
              <w:rPr>
                <w:rFonts w:hint="eastAsia" w:ascii="宋体" w:hAnsi="宋体" w:eastAsia="宋体" w:cs="宋体"/>
                <w:b/>
                <w:sz w:val="19"/>
              </w:rPr>
            </w:pPr>
            <w:r>
              <w:rPr>
                <w:rFonts w:hint="eastAsia" w:ascii="宋体" w:hAnsi="宋体" w:eastAsia="宋体" w:cs="宋体"/>
                <w:b/>
                <w:sz w:val="19"/>
              </w:rPr>
              <w:t>预算金额（元）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116" w:type="dxa"/>
          </w:tcPr>
          <w:p>
            <w:pPr>
              <w:pStyle w:val="19"/>
              <w:spacing w:before="60"/>
              <w:ind w:right="7"/>
              <w:jc w:val="center"/>
              <w:rPr>
                <w:rFonts w:hint="eastAsia" w:ascii="宋体" w:hAnsi="宋体" w:eastAsia="宋体" w:cs="宋体"/>
                <w:sz w:val="19"/>
              </w:rPr>
            </w:pPr>
            <w:r>
              <w:rPr>
                <w:rFonts w:hint="eastAsia" w:ascii="宋体" w:hAnsi="宋体" w:eastAsia="宋体" w:cs="宋体"/>
                <w:w w:val="128"/>
                <w:sz w:val="19"/>
              </w:rPr>
              <w:t>1</w:t>
            </w:r>
          </w:p>
        </w:tc>
        <w:tc>
          <w:tcPr>
            <w:tcW w:w="4093" w:type="dxa"/>
          </w:tcPr>
          <w:p>
            <w:pPr>
              <w:pStyle w:val="19"/>
              <w:spacing w:before="60"/>
              <w:ind w:left="484"/>
              <w:rPr>
                <w:rFonts w:hint="eastAsia" w:ascii="宋体" w:hAnsi="宋体" w:eastAsia="宋体" w:cs="宋体"/>
                <w:sz w:val="19"/>
              </w:rPr>
            </w:pPr>
            <w:r>
              <w:rPr>
                <w:rFonts w:hint="eastAsia" w:ascii="宋体" w:hAnsi="宋体" w:eastAsia="宋体" w:cs="宋体"/>
                <w:sz w:val="19"/>
              </w:rPr>
              <w:t>教师教育实训楼心理实训室教学设备</w:t>
            </w:r>
          </w:p>
        </w:tc>
        <w:tc>
          <w:tcPr>
            <w:tcW w:w="1116" w:type="dxa"/>
          </w:tcPr>
          <w:p>
            <w:pPr>
              <w:pStyle w:val="19"/>
              <w:spacing w:before="60"/>
              <w:ind w:left="485"/>
              <w:rPr>
                <w:rFonts w:hint="eastAsia" w:ascii="宋体" w:hAnsi="宋体" w:eastAsia="宋体" w:cs="宋体"/>
                <w:sz w:val="19"/>
              </w:rPr>
            </w:pPr>
            <w:r>
              <w:rPr>
                <w:rFonts w:hint="eastAsia" w:ascii="宋体" w:hAnsi="宋体" w:eastAsia="宋体" w:cs="宋体"/>
                <w:w w:val="128"/>
                <w:sz w:val="19"/>
              </w:rPr>
              <w:t>1</w:t>
            </w:r>
          </w:p>
        </w:tc>
        <w:tc>
          <w:tcPr>
            <w:tcW w:w="1956" w:type="dxa"/>
          </w:tcPr>
          <w:p>
            <w:pPr>
              <w:pStyle w:val="19"/>
              <w:spacing w:before="60"/>
              <w:ind w:right="301"/>
              <w:jc w:val="right"/>
              <w:rPr>
                <w:rFonts w:hint="eastAsia" w:ascii="宋体" w:hAnsi="宋体" w:eastAsia="宋体" w:cs="宋体"/>
                <w:sz w:val="19"/>
              </w:rPr>
            </w:pPr>
            <w:r>
              <w:rPr>
                <w:rFonts w:hint="eastAsia" w:ascii="宋体" w:hAnsi="宋体" w:eastAsia="宋体" w:cs="宋体"/>
                <w:sz w:val="19"/>
              </w:rPr>
              <w:t>详见采购文件</w:t>
            </w:r>
          </w:p>
        </w:tc>
        <w:tc>
          <w:tcPr>
            <w:tcW w:w="2268" w:type="dxa"/>
          </w:tcPr>
          <w:p>
            <w:pPr>
              <w:pStyle w:val="19"/>
              <w:spacing w:before="60"/>
              <w:ind w:left="485"/>
              <w:rPr>
                <w:rFonts w:hint="eastAsia" w:ascii="宋体" w:hAnsi="宋体" w:eastAsia="宋体" w:cs="宋体"/>
                <w:sz w:val="19"/>
              </w:rPr>
            </w:pPr>
            <w:r>
              <w:rPr>
                <w:rFonts w:hint="eastAsia" w:ascii="宋体" w:hAnsi="宋体" w:eastAsia="宋体" w:cs="宋体"/>
                <w:w w:val="135"/>
                <w:sz w:val="19"/>
              </w:rPr>
              <w:t>1,871,580.00</w:t>
            </w:r>
          </w:p>
        </w:tc>
      </w:tr>
    </w:tbl>
    <w:p>
      <w:pPr>
        <w:pStyle w:val="9"/>
        <w:spacing w:before="10"/>
        <w:rPr>
          <w:rFonts w:hint="eastAsia" w:ascii="宋体" w:hAnsi="宋体" w:eastAsia="宋体" w:cs="宋体"/>
          <w:b/>
          <w:sz w:val="17"/>
        </w:rPr>
      </w:pPr>
    </w:p>
    <w:p>
      <w:pPr>
        <w:spacing w:before="0"/>
        <w:ind w:left="120" w:right="0" w:firstLine="0"/>
        <w:jc w:val="left"/>
        <w:rPr>
          <w:rFonts w:hint="eastAsia" w:ascii="宋体" w:hAnsi="宋体" w:eastAsia="宋体" w:cs="宋体"/>
          <w:b/>
          <w:sz w:val="20"/>
        </w:rPr>
      </w:pPr>
      <w:r>
        <w:rPr>
          <w:rFonts w:hint="eastAsia" w:ascii="宋体" w:hAnsi="宋体" w:eastAsia="宋体" w:cs="宋体"/>
          <w:b/>
          <w:w w:val="105"/>
          <w:sz w:val="20"/>
        </w:rPr>
        <w:t>二</w:t>
      </w:r>
      <w:r>
        <w:rPr>
          <w:rFonts w:hint="eastAsia" w:ascii="宋体" w:hAnsi="宋体" w:eastAsia="宋体" w:cs="宋体"/>
          <w:b/>
          <w:w w:val="115"/>
          <w:sz w:val="20"/>
        </w:rPr>
        <w:t>.</w:t>
      </w:r>
      <w:r>
        <w:rPr>
          <w:rFonts w:hint="eastAsia" w:ascii="宋体" w:hAnsi="宋体" w:eastAsia="宋体" w:cs="宋体"/>
          <w:b/>
          <w:w w:val="105"/>
          <w:sz w:val="20"/>
        </w:rPr>
        <w:t>供应商的资格要求</w:t>
      </w:r>
    </w:p>
    <w:p>
      <w:pPr>
        <w:pStyle w:val="18"/>
        <w:numPr>
          <w:ilvl w:val="1"/>
          <w:numId w:val="8"/>
        </w:numPr>
        <w:tabs>
          <w:tab w:val="left" w:pos="693"/>
        </w:tabs>
        <w:spacing w:before="65" w:after="0" w:line="240" w:lineRule="auto"/>
        <w:ind w:left="692" w:right="0" w:hanging="183"/>
        <w:jc w:val="left"/>
        <w:rPr>
          <w:rFonts w:hint="eastAsia" w:ascii="宋体" w:hAnsi="宋体" w:eastAsia="宋体" w:cs="宋体"/>
          <w:sz w:val="19"/>
        </w:rPr>
      </w:pPr>
      <w:r>
        <w:rPr>
          <w:rFonts w:hint="eastAsia" w:ascii="宋体" w:hAnsi="宋体" w:eastAsia="宋体" w:cs="宋体"/>
          <w:sz w:val="19"/>
        </w:rPr>
        <w:t>供应商应符合《中华人民共和国政府采购法》第二十二条规定的条件。</w:t>
      </w:r>
    </w:p>
    <w:p>
      <w:pPr>
        <w:pStyle w:val="18"/>
        <w:numPr>
          <w:ilvl w:val="1"/>
          <w:numId w:val="8"/>
        </w:numPr>
        <w:tabs>
          <w:tab w:val="left" w:pos="693"/>
        </w:tabs>
        <w:spacing w:before="141" w:after="0" w:line="379" w:lineRule="auto"/>
        <w:ind w:left="126" w:right="121" w:firstLine="384"/>
        <w:jc w:val="left"/>
        <w:rPr>
          <w:rFonts w:hint="eastAsia" w:ascii="宋体" w:hAnsi="宋体" w:eastAsia="宋体" w:cs="宋体"/>
          <w:sz w:val="19"/>
        </w:rPr>
      </w:pPr>
      <w:r>
        <w:rPr>
          <w:rFonts w:hint="eastAsia" w:ascii="宋体" w:hAnsi="宋体" w:eastAsia="宋体" w:cs="宋体"/>
          <w:spacing w:val="-1"/>
          <w:sz w:val="19"/>
        </w:rPr>
        <w:t>到提交响应文件的截止时间，供应商未被列入失信被执行人、重大税收违法案件当事人名单、政府采购严重违法失信行</w:t>
      </w:r>
      <w:r>
        <w:rPr>
          <w:rFonts w:hint="eastAsia" w:ascii="宋体" w:hAnsi="宋体" w:eastAsia="宋体" w:cs="宋体"/>
          <w:sz w:val="19"/>
        </w:rPr>
        <w:t>为记录名单。（以通过查询</w:t>
      </w:r>
      <w:r>
        <w:rPr>
          <w:rFonts w:hint="eastAsia" w:ascii="宋体" w:hAnsi="宋体" w:eastAsia="宋体" w:cs="宋体"/>
          <w:spacing w:val="-4"/>
          <w:sz w:val="19"/>
        </w:rPr>
        <w:t>“</w:t>
      </w:r>
      <w:r>
        <w:rPr>
          <w:rFonts w:hint="eastAsia" w:ascii="宋体" w:hAnsi="宋体" w:eastAsia="宋体" w:cs="宋体"/>
          <w:sz w:val="19"/>
        </w:rPr>
        <w:t>信用中国</w:t>
      </w:r>
      <w:r>
        <w:rPr>
          <w:rFonts w:hint="eastAsia" w:ascii="宋体" w:hAnsi="宋体" w:eastAsia="宋体" w:cs="宋体"/>
          <w:spacing w:val="-4"/>
          <w:sz w:val="19"/>
        </w:rPr>
        <w:t>”</w:t>
      </w:r>
      <w:r>
        <w:rPr>
          <w:rFonts w:hint="eastAsia" w:ascii="宋体" w:hAnsi="宋体" w:eastAsia="宋体" w:cs="宋体"/>
          <w:sz w:val="19"/>
        </w:rPr>
        <w:t>网站和</w:t>
      </w:r>
      <w:r>
        <w:rPr>
          <w:rFonts w:hint="eastAsia" w:ascii="宋体" w:hAnsi="宋体" w:eastAsia="宋体" w:cs="宋体"/>
          <w:spacing w:val="-4"/>
          <w:sz w:val="19"/>
        </w:rPr>
        <w:t>“</w:t>
      </w:r>
      <w:r>
        <w:rPr>
          <w:rFonts w:hint="eastAsia" w:ascii="宋体" w:hAnsi="宋体" w:eastAsia="宋体" w:cs="宋体"/>
          <w:sz w:val="19"/>
        </w:rPr>
        <w:t>中国政府采购网</w:t>
      </w:r>
      <w:r>
        <w:rPr>
          <w:rFonts w:hint="eastAsia" w:ascii="宋体" w:hAnsi="宋体" w:eastAsia="宋体" w:cs="宋体"/>
          <w:spacing w:val="-4"/>
          <w:sz w:val="19"/>
        </w:rPr>
        <w:t>”</w:t>
      </w:r>
      <w:r>
        <w:rPr>
          <w:rFonts w:hint="eastAsia" w:ascii="宋体" w:hAnsi="宋体" w:eastAsia="宋体" w:cs="宋体"/>
          <w:sz w:val="19"/>
        </w:rPr>
        <w:t>网站的信用记录内容为准。）</w:t>
      </w:r>
    </w:p>
    <w:p>
      <w:pPr>
        <w:pStyle w:val="18"/>
        <w:numPr>
          <w:ilvl w:val="1"/>
          <w:numId w:val="8"/>
        </w:numPr>
        <w:tabs>
          <w:tab w:val="left" w:pos="693"/>
        </w:tabs>
        <w:spacing w:before="0" w:after="0" w:line="242" w:lineRule="exact"/>
        <w:ind w:left="692" w:right="0" w:hanging="183"/>
        <w:jc w:val="left"/>
        <w:rPr>
          <w:rFonts w:hint="eastAsia" w:ascii="宋体" w:hAnsi="宋体" w:eastAsia="宋体" w:cs="宋体"/>
          <w:sz w:val="19"/>
        </w:rPr>
      </w:pPr>
      <w:r>
        <w:rPr>
          <w:rFonts w:hint="eastAsia" w:ascii="宋体" w:hAnsi="宋体" w:eastAsia="宋体" w:cs="宋体"/>
          <w:sz w:val="19"/>
        </w:rPr>
        <w:t>其他资质要求：</w:t>
      </w:r>
    </w:p>
    <w:p>
      <w:pPr>
        <w:pStyle w:val="9"/>
        <w:spacing w:before="141"/>
        <w:ind w:left="510"/>
        <w:rPr>
          <w:rFonts w:hint="eastAsia" w:ascii="宋体" w:hAnsi="宋体" w:eastAsia="宋体" w:cs="宋体"/>
        </w:rPr>
      </w:pPr>
      <w:r>
        <w:rPr>
          <w:rFonts w:hint="eastAsia" w:ascii="宋体" w:hAnsi="宋体" w:eastAsia="宋体" w:cs="宋体"/>
        </w:rPr>
        <w:t>合同包1（教师教育实训楼心理实训室教学设备）：无</w:t>
      </w:r>
    </w:p>
    <w:p>
      <w:pPr>
        <w:pStyle w:val="9"/>
        <w:spacing w:before="3"/>
        <w:rPr>
          <w:rFonts w:hint="eastAsia" w:ascii="宋体" w:hAnsi="宋体" w:eastAsia="宋体" w:cs="宋体"/>
        </w:rPr>
      </w:pPr>
    </w:p>
    <w:p>
      <w:pPr>
        <w:pStyle w:val="4"/>
        <w:rPr>
          <w:rFonts w:hint="eastAsia" w:ascii="宋体" w:hAnsi="宋体" w:eastAsia="宋体" w:cs="宋体"/>
        </w:rPr>
      </w:pPr>
      <w:r>
        <w:rPr>
          <w:rFonts w:hint="eastAsia" w:ascii="宋体" w:hAnsi="宋体" w:eastAsia="宋体" w:cs="宋体"/>
        </w:rPr>
        <w:t>三</w:t>
      </w:r>
      <w:r>
        <w:rPr>
          <w:rFonts w:hint="eastAsia" w:ascii="宋体" w:hAnsi="宋体" w:eastAsia="宋体" w:cs="宋体"/>
          <w:w w:val="115"/>
        </w:rPr>
        <w:t>.</w:t>
      </w:r>
      <w:r>
        <w:rPr>
          <w:rFonts w:hint="eastAsia" w:ascii="宋体" w:hAnsi="宋体" w:eastAsia="宋体" w:cs="宋体"/>
        </w:rPr>
        <w:t>获取磋商文件的时间、地点、方式</w:t>
      </w:r>
    </w:p>
    <w:p>
      <w:pPr>
        <w:pStyle w:val="9"/>
        <w:spacing w:before="66" w:line="379" w:lineRule="auto"/>
        <w:ind w:left="510" w:right="6446"/>
        <w:rPr>
          <w:rFonts w:hint="eastAsia" w:ascii="宋体" w:hAnsi="宋体" w:eastAsia="宋体" w:cs="宋体"/>
        </w:rPr>
      </w:pPr>
      <w:r>
        <w:rPr>
          <w:rFonts w:hint="eastAsia" w:ascii="宋体" w:hAnsi="宋体" w:eastAsia="宋体" w:cs="宋体"/>
        </w:rPr>
        <w:t>获取磋商文件的期限：详见竞争性磋商公告； 获取磋商文件的地点：详见竞争性磋商公告；</w:t>
      </w:r>
    </w:p>
    <w:p>
      <w:pPr>
        <w:pStyle w:val="9"/>
        <w:spacing w:line="379" w:lineRule="auto"/>
        <w:ind w:left="126" w:right="445" w:firstLine="384"/>
        <w:rPr>
          <w:rFonts w:hint="eastAsia" w:ascii="宋体" w:hAnsi="宋体" w:eastAsia="宋体" w:cs="宋体"/>
        </w:rPr>
      </w:pPr>
      <w:r>
        <w:rPr>
          <w:rFonts w:hint="eastAsia" w:ascii="宋体" w:hAnsi="宋体" w:eastAsia="宋体" w:cs="宋体"/>
        </w:rPr>
        <w:t>获取磋商文件的方式：供应商须在公告期内凭用户名和密码，登录黑龙江省政府采购网，选择“交易执行-应标-项目投标”，在“未参与项目”列表中选择需要参与的项目，确认参与后即可获取磋商文件。</w:t>
      </w:r>
    </w:p>
    <w:p>
      <w:pPr>
        <w:pStyle w:val="4"/>
        <w:spacing w:before="167"/>
        <w:rPr>
          <w:rFonts w:hint="eastAsia" w:ascii="宋体" w:hAnsi="宋体" w:eastAsia="宋体" w:cs="宋体"/>
        </w:rPr>
      </w:pPr>
      <w:r>
        <w:rPr>
          <w:rFonts w:hint="eastAsia" w:ascii="宋体" w:hAnsi="宋体" w:eastAsia="宋体" w:cs="宋体"/>
        </w:rPr>
        <w:t>其他要求</w:t>
      </w:r>
    </w:p>
    <w:p>
      <w:pPr>
        <w:pStyle w:val="18"/>
        <w:numPr>
          <w:ilvl w:val="0"/>
          <w:numId w:val="9"/>
        </w:numPr>
        <w:tabs>
          <w:tab w:val="left" w:pos="693"/>
        </w:tabs>
        <w:spacing w:before="114" w:after="0" w:line="379" w:lineRule="auto"/>
        <w:ind w:left="126" w:right="157" w:firstLine="384"/>
        <w:jc w:val="left"/>
        <w:rPr>
          <w:rFonts w:hint="eastAsia" w:ascii="宋体" w:hAnsi="宋体" w:eastAsia="宋体" w:cs="宋体"/>
          <w:sz w:val="19"/>
        </w:rPr>
      </w:pPr>
      <w:r>
        <w:rPr>
          <w:rFonts w:hint="eastAsia" w:ascii="宋体" w:hAnsi="宋体" w:eastAsia="宋体" w:cs="宋体"/>
          <w:sz w:val="19"/>
        </w:rPr>
        <w:t>本项目采用</w:t>
      </w:r>
      <w:r>
        <w:rPr>
          <w:rFonts w:hint="eastAsia" w:ascii="宋体" w:hAnsi="宋体" w:eastAsia="宋体" w:cs="宋体"/>
          <w:spacing w:val="-4"/>
          <w:sz w:val="19"/>
        </w:rPr>
        <w:t>“</w:t>
      </w:r>
      <w:r>
        <w:rPr>
          <w:rFonts w:hint="eastAsia" w:ascii="宋体" w:hAnsi="宋体" w:eastAsia="宋体" w:cs="宋体"/>
          <w:sz w:val="19"/>
        </w:rPr>
        <w:t>远程</w:t>
      </w:r>
      <w:r>
        <w:rPr>
          <w:rFonts w:hint="eastAsia" w:ascii="宋体" w:hAnsi="宋体" w:eastAsia="宋体" w:cs="宋体"/>
          <w:spacing w:val="-4"/>
          <w:sz w:val="19"/>
        </w:rPr>
        <w:t>”</w:t>
      </w:r>
      <w:r>
        <w:rPr>
          <w:rFonts w:hint="eastAsia" w:ascii="宋体" w:hAnsi="宋体" w:eastAsia="宋体" w:cs="宋体"/>
          <w:sz w:val="19"/>
        </w:rPr>
        <w:t>模式进行开标，投标人无需到达开标现场，开标当日在投标截止时间前</w:t>
      </w:r>
      <w:r>
        <w:rPr>
          <w:rFonts w:hint="eastAsia" w:ascii="宋体" w:hAnsi="宋体" w:eastAsia="宋体" w:cs="宋体"/>
          <w:spacing w:val="-3"/>
          <w:sz w:val="19"/>
        </w:rPr>
        <w:t>30</w:t>
      </w:r>
      <w:r>
        <w:rPr>
          <w:rFonts w:hint="eastAsia" w:ascii="宋体" w:hAnsi="宋体" w:eastAsia="宋体" w:cs="宋体"/>
          <w:sz w:val="19"/>
        </w:rPr>
        <w:t>分钟登录黑龙江省政府采 购网进行签到，选择</w:t>
      </w:r>
      <w:r>
        <w:rPr>
          <w:rFonts w:hint="eastAsia" w:ascii="宋体" w:hAnsi="宋体" w:eastAsia="宋体" w:cs="宋体"/>
          <w:spacing w:val="-4"/>
          <w:sz w:val="19"/>
        </w:rPr>
        <w:t>“</w:t>
      </w:r>
      <w:r>
        <w:rPr>
          <w:rFonts w:hint="eastAsia" w:ascii="宋体" w:hAnsi="宋体" w:eastAsia="宋体" w:cs="宋体"/>
          <w:sz w:val="19"/>
        </w:rPr>
        <w:t>交易执行-开标-供应商开标大厅</w:t>
      </w:r>
      <w:r>
        <w:rPr>
          <w:rFonts w:hint="eastAsia" w:ascii="宋体" w:hAnsi="宋体" w:eastAsia="宋体" w:cs="宋体"/>
          <w:spacing w:val="-4"/>
          <w:sz w:val="19"/>
        </w:rPr>
        <w:t>”</w:t>
      </w:r>
      <w:r>
        <w:rPr>
          <w:rFonts w:hint="eastAsia" w:ascii="宋体" w:hAnsi="宋体" w:eastAsia="宋体" w:cs="宋体"/>
          <w:spacing w:val="-1"/>
          <w:sz w:val="19"/>
        </w:rPr>
        <w:t>参加远程开标。请投标人使用投标客户端严格按照招标文件的相关要求</w:t>
      </w:r>
      <w:r>
        <w:rPr>
          <w:rFonts w:hint="eastAsia" w:ascii="宋体" w:hAnsi="宋体" w:eastAsia="宋体" w:cs="宋体"/>
          <w:sz w:val="19"/>
        </w:rPr>
        <w:t>制作和上传电子投标文件，并按照相关要求参加开标。</w:t>
      </w:r>
      <w:r>
        <w:rPr>
          <w:rFonts w:hint="eastAsia" w:ascii="宋体" w:hAnsi="宋体" w:eastAsia="宋体" w:cs="宋体"/>
          <w:spacing w:val="-4"/>
          <w:sz w:val="19"/>
        </w:rPr>
        <w:t>“</w:t>
      </w:r>
      <w:r>
        <w:rPr>
          <w:rFonts w:hint="eastAsia" w:ascii="宋体" w:hAnsi="宋体" w:eastAsia="宋体" w:cs="宋体"/>
          <w:sz w:val="19"/>
        </w:rPr>
        <w:t>若出现供应商因在投标客户端中对应答点标记错误，导致评审专家无</w:t>
      </w:r>
      <w:r>
        <w:rPr>
          <w:rFonts w:hint="eastAsia" w:ascii="宋体" w:hAnsi="宋体" w:eastAsia="宋体" w:cs="宋体"/>
          <w:w w:val="110"/>
          <w:sz w:val="19"/>
        </w:rPr>
        <w:t>法进行正常查阅而否决供应商投标的情况发生时，由投标人自行承担责任。”</w:t>
      </w:r>
    </w:p>
    <w:p>
      <w:pPr>
        <w:pStyle w:val="18"/>
        <w:numPr>
          <w:ilvl w:val="0"/>
          <w:numId w:val="9"/>
        </w:numPr>
        <w:tabs>
          <w:tab w:val="left" w:pos="693"/>
        </w:tabs>
        <w:spacing w:before="0" w:after="0" w:line="379" w:lineRule="auto"/>
        <w:ind w:left="126" w:right="193" w:firstLine="384"/>
        <w:jc w:val="left"/>
        <w:rPr>
          <w:rFonts w:hint="eastAsia" w:ascii="宋体" w:hAnsi="宋体" w:eastAsia="宋体" w:cs="宋体"/>
          <w:sz w:val="19"/>
        </w:rPr>
      </w:pPr>
      <w:r>
        <w:rPr>
          <w:rFonts w:hint="eastAsia" w:ascii="宋体" w:hAnsi="宋体" w:eastAsia="宋体" w:cs="宋体"/>
          <w:sz w:val="19"/>
        </w:rPr>
        <w:t>将采用电子评标的方式，为避免意外情况的发生处理不及时导致投标失败，建议投标人需在开标时间前</w:t>
      </w:r>
      <w:r>
        <w:rPr>
          <w:rFonts w:hint="eastAsia" w:ascii="宋体" w:hAnsi="宋体" w:eastAsia="宋体" w:cs="宋体"/>
          <w:spacing w:val="-3"/>
          <w:w w:val="110"/>
          <w:sz w:val="19"/>
        </w:rPr>
        <w:t>1</w:t>
      </w:r>
      <w:r>
        <w:rPr>
          <w:rFonts w:hint="eastAsia" w:ascii="宋体" w:hAnsi="宋体" w:eastAsia="宋体" w:cs="宋体"/>
          <w:spacing w:val="-3"/>
          <w:sz w:val="19"/>
        </w:rPr>
        <w:t>小时完成投标</w:t>
      </w:r>
      <w:r>
        <w:rPr>
          <w:rFonts w:hint="eastAsia" w:ascii="宋体" w:hAnsi="宋体" w:eastAsia="宋体" w:cs="宋体"/>
          <w:sz w:val="19"/>
        </w:rPr>
        <w:t>文件上传，否则产生的一系列问题将由投标人自行承担。</w:t>
      </w:r>
    </w:p>
    <w:p>
      <w:pPr>
        <w:pStyle w:val="9"/>
        <w:spacing w:line="242" w:lineRule="exact"/>
        <w:ind w:left="510"/>
        <w:rPr>
          <w:rFonts w:hint="eastAsia" w:ascii="宋体" w:hAnsi="宋体" w:eastAsia="宋体" w:cs="宋体"/>
        </w:rPr>
      </w:pPr>
      <w:r>
        <w:rPr>
          <w:rFonts w:hint="eastAsia" w:ascii="宋体" w:hAnsi="宋体" w:eastAsia="宋体" w:cs="宋体"/>
        </w:rPr>
        <w:t>注：开标模式详见供应商须知-开标方式</w:t>
      </w:r>
    </w:p>
    <w:p>
      <w:pPr>
        <w:pStyle w:val="9"/>
        <w:spacing w:before="1"/>
        <w:rPr>
          <w:rFonts w:hint="eastAsia" w:ascii="宋体" w:hAnsi="宋体" w:eastAsia="宋体" w:cs="宋体"/>
        </w:rPr>
      </w:pPr>
    </w:p>
    <w:p>
      <w:pPr>
        <w:pStyle w:val="4"/>
        <w:spacing w:before="1"/>
        <w:rPr>
          <w:rFonts w:hint="eastAsia" w:ascii="宋体" w:hAnsi="宋体" w:eastAsia="宋体" w:cs="宋体"/>
        </w:rPr>
      </w:pPr>
      <w:r>
        <w:rPr>
          <w:rFonts w:hint="eastAsia" w:ascii="宋体" w:hAnsi="宋体" w:eastAsia="宋体" w:cs="宋体"/>
          <w:w w:val="105"/>
        </w:rPr>
        <w:t>四</w:t>
      </w:r>
      <w:r>
        <w:rPr>
          <w:rFonts w:hint="eastAsia" w:ascii="宋体" w:hAnsi="宋体" w:eastAsia="宋体" w:cs="宋体"/>
          <w:w w:val="115"/>
        </w:rPr>
        <w:t>.</w:t>
      </w:r>
      <w:r>
        <w:rPr>
          <w:rFonts w:hint="eastAsia" w:ascii="宋体" w:hAnsi="宋体" w:eastAsia="宋体" w:cs="宋体"/>
          <w:w w:val="105"/>
        </w:rPr>
        <w:t>磋商文件售价</w:t>
      </w:r>
    </w:p>
    <w:p>
      <w:pPr>
        <w:pStyle w:val="9"/>
        <w:spacing w:before="65"/>
        <w:ind w:left="510"/>
        <w:rPr>
          <w:rFonts w:hint="eastAsia" w:ascii="宋体" w:hAnsi="宋体" w:eastAsia="宋体" w:cs="宋体"/>
        </w:rPr>
      </w:pPr>
      <w:r>
        <w:rPr>
          <w:rFonts w:hint="eastAsia" w:ascii="宋体" w:hAnsi="宋体" w:eastAsia="宋体" w:cs="宋体"/>
        </w:rPr>
        <w:t>本次磋商文件的售价为 无 元人民币。</w:t>
      </w:r>
    </w:p>
    <w:p>
      <w:pPr>
        <w:pStyle w:val="9"/>
        <w:spacing w:before="3"/>
        <w:rPr>
          <w:rFonts w:hint="eastAsia" w:ascii="宋体" w:hAnsi="宋体" w:eastAsia="宋体" w:cs="宋体"/>
        </w:rPr>
      </w:pPr>
    </w:p>
    <w:p>
      <w:pPr>
        <w:pStyle w:val="4"/>
        <w:rPr>
          <w:rFonts w:hint="eastAsia" w:ascii="宋体" w:hAnsi="宋体" w:eastAsia="宋体" w:cs="宋体"/>
        </w:rPr>
      </w:pPr>
      <w:r>
        <w:rPr>
          <w:rFonts w:hint="eastAsia" w:ascii="宋体" w:hAnsi="宋体" w:eastAsia="宋体" w:cs="宋体"/>
        </w:rPr>
        <w:t>五</w:t>
      </w:r>
      <w:r>
        <w:rPr>
          <w:rFonts w:hint="eastAsia" w:ascii="宋体" w:hAnsi="宋体" w:eastAsia="宋体" w:cs="宋体"/>
          <w:w w:val="115"/>
        </w:rPr>
        <w:t>.</w:t>
      </w:r>
      <w:r>
        <w:rPr>
          <w:rFonts w:hint="eastAsia" w:ascii="宋体" w:hAnsi="宋体" w:eastAsia="宋体" w:cs="宋体"/>
        </w:rPr>
        <w:t>递交响应文件截止时间、开标时间及地点：</w:t>
      </w:r>
    </w:p>
    <w:p>
      <w:pPr>
        <w:pStyle w:val="9"/>
        <w:spacing w:before="66" w:line="379" w:lineRule="auto"/>
        <w:ind w:left="510" w:right="6446"/>
        <w:rPr>
          <w:rFonts w:hint="eastAsia" w:ascii="宋体" w:hAnsi="宋体" w:eastAsia="宋体" w:cs="宋体"/>
        </w:rPr>
      </w:pPr>
      <w:r>
        <w:rPr>
          <w:rFonts w:hint="eastAsia" w:ascii="宋体" w:hAnsi="宋体" w:eastAsia="宋体" w:cs="宋体"/>
        </w:rPr>
        <w:t>递交响应文件截止时间：详见竞争性磋商公告评审地点：详见竞争性磋商公告</w:t>
      </w:r>
    </w:p>
    <w:p>
      <w:pPr>
        <w:spacing w:after="0" w:line="379" w:lineRule="auto"/>
        <w:rPr>
          <w:rFonts w:hint="eastAsia" w:ascii="宋体" w:hAnsi="宋体" w:eastAsia="宋体" w:cs="宋体"/>
        </w:rPr>
        <w:sectPr>
          <w:pgSz w:w="11900" w:h="16840"/>
          <w:pgMar w:top="900" w:right="560" w:bottom="280" w:left="540" w:header="0" w:footer="13" w:gutter="0"/>
          <w:cols w:space="720" w:num="1"/>
        </w:sectPr>
      </w:pPr>
    </w:p>
    <w:p>
      <w:pPr>
        <w:pStyle w:val="9"/>
        <w:spacing w:before="52" w:line="379" w:lineRule="auto"/>
        <w:ind w:left="510" w:right="7599"/>
        <w:rPr>
          <w:rFonts w:hint="eastAsia" w:ascii="宋体" w:hAnsi="宋体" w:eastAsia="宋体" w:cs="宋体"/>
        </w:rPr>
      </w:pPr>
      <w:r>
        <w:rPr>
          <w:rFonts w:hint="eastAsia" w:ascii="宋体" w:hAnsi="宋体" w:eastAsia="宋体" w:cs="宋体"/>
        </w:rPr>
        <w:t>开标时间：详见竞争性磋商公告开标地点：详见竞争性磋商公告</w:t>
      </w:r>
    </w:p>
    <w:p>
      <w:pPr>
        <w:pStyle w:val="4"/>
        <w:spacing w:before="105"/>
        <w:rPr>
          <w:rFonts w:hint="eastAsia" w:ascii="宋体" w:hAnsi="宋体" w:eastAsia="宋体" w:cs="宋体"/>
        </w:rPr>
      </w:pPr>
      <w:r>
        <w:rPr>
          <w:rFonts w:hint="eastAsia" w:ascii="宋体" w:hAnsi="宋体" w:eastAsia="宋体" w:cs="宋体"/>
          <w:w w:val="105"/>
        </w:rPr>
        <w:t>六</w:t>
      </w:r>
      <w:r>
        <w:rPr>
          <w:rFonts w:hint="eastAsia" w:ascii="宋体" w:hAnsi="宋体" w:eastAsia="宋体" w:cs="宋体"/>
          <w:w w:val="115"/>
        </w:rPr>
        <w:t>.</w:t>
      </w:r>
      <w:r>
        <w:rPr>
          <w:rFonts w:hint="eastAsia" w:ascii="宋体" w:hAnsi="宋体" w:eastAsia="宋体" w:cs="宋体"/>
          <w:w w:val="105"/>
        </w:rPr>
        <w:t>询问提起与受理：</w:t>
      </w:r>
    </w:p>
    <w:p>
      <w:pPr>
        <w:pStyle w:val="9"/>
        <w:spacing w:before="65"/>
        <w:ind w:left="510"/>
        <w:rPr>
          <w:rFonts w:hint="eastAsia" w:ascii="宋体" w:hAnsi="宋体" w:eastAsia="宋体" w:cs="宋体"/>
        </w:rPr>
      </w:pPr>
      <w:r>
        <w:rPr>
          <w:rFonts w:hint="eastAsia" w:ascii="宋体" w:hAnsi="宋体" w:eastAsia="宋体" w:cs="宋体"/>
          <w:w w:val="105"/>
        </w:rPr>
        <w:t>项目经办人： 肖楠 联系方式： 0451-85975686</w:t>
      </w:r>
    </w:p>
    <w:p>
      <w:pPr>
        <w:pStyle w:val="9"/>
        <w:spacing w:before="3"/>
        <w:rPr>
          <w:rFonts w:hint="eastAsia" w:ascii="宋体" w:hAnsi="宋体" w:eastAsia="宋体" w:cs="宋体"/>
        </w:rPr>
      </w:pPr>
    </w:p>
    <w:p>
      <w:pPr>
        <w:pStyle w:val="4"/>
        <w:spacing w:before="1"/>
        <w:rPr>
          <w:rFonts w:hint="eastAsia" w:ascii="宋体" w:hAnsi="宋体" w:eastAsia="宋体" w:cs="宋体"/>
        </w:rPr>
      </w:pPr>
      <w:r>
        <w:rPr>
          <w:rFonts w:hint="eastAsia" w:ascii="宋体" w:hAnsi="宋体" w:eastAsia="宋体" w:cs="宋体"/>
          <w:w w:val="105"/>
        </w:rPr>
        <w:t>七</w:t>
      </w:r>
      <w:r>
        <w:rPr>
          <w:rFonts w:hint="eastAsia" w:ascii="宋体" w:hAnsi="宋体" w:eastAsia="宋体" w:cs="宋体"/>
          <w:w w:val="115"/>
        </w:rPr>
        <w:t>.</w:t>
      </w:r>
      <w:r>
        <w:rPr>
          <w:rFonts w:hint="eastAsia" w:ascii="宋体" w:hAnsi="宋体" w:eastAsia="宋体" w:cs="宋体"/>
          <w:w w:val="105"/>
        </w:rPr>
        <w:t>质疑提起与受理：</w:t>
      </w:r>
    </w:p>
    <w:p>
      <w:pPr>
        <w:pStyle w:val="18"/>
        <w:numPr>
          <w:ilvl w:val="0"/>
          <w:numId w:val="10"/>
        </w:numPr>
        <w:tabs>
          <w:tab w:val="left" w:pos="693"/>
        </w:tabs>
        <w:spacing w:before="65" w:after="0" w:line="379" w:lineRule="auto"/>
        <w:ind w:left="510" w:right="5690" w:firstLine="0"/>
        <w:jc w:val="left"/>
        <w:rPr>
          <w:rFonts w:hint="eastAsia" w:ascii="宋体" w:hAnsi="宋体" w:eastAsia="宋体" w:cs="宋体"/>
          <w:sz w:val="19"/>
        </w:rPr>
      </w:pPr>
      <w:r>
        <w:rPr>
          <w:rFonts w:hint="eastAsia" w:ascii="宋体" w:hAnsi="宋体" w:eastAsia="宋体" w:cs="宋体"/>
          <w:spacing w:val="-1"/>
          <w:sz w:val="19"/>
        </w:rPr>
        <w:t xml:space="preserve">对采购文件的质疑按要求以书面形式提供纸质材料： </w:t>
      </w:r>
      <w:r>
        <w:rPr>
          <w:rFonts w:hint="eastAsia" w:ascii="宋体" w:hAnsi="宋体" w:eastAsia="宋体" w:cs="宋体"/>
          <w:spacing w:val="-10"/>
          <w:w w:val="105"/>
          <w:sz w:val="19"/>
        </w:rPr>
        <w:t xml:space="preserve">质疑联系人： 肖楠 电话： </w:t>
      </w:r>
      <w:r>
        <w:rPr>
          <w:rFonts w:hint="eastAsia" w:ascii="宋体" w:hAnsi="宋体" w:eastAsia="宋体" w:cs="宋体"/>
          <w:spacing w:val="-3"/>
          <w:w w:val="105"/>
          <w:sz w:val="19"/>
        </w:rPr>
        <w:t>0451-85975686</w:t>
      </w:r>
    </w:p>
    <w:p>
      <w:pPr>
        <w:pStyle w:val="18"/>
        <w:numPr>
          <w:ilvl w:val="0"/>
          <w:numId w:val="10"/>
        </w:numPr>
        <w:tabs>
          <w:tab w:val="left" w:pos="693"/>
        </w:tabs>
        <w:spacing w:before="0" w:after="0" w:line="379" w:lineRule="auto"/>
        <w:ind w:left="510" w:right="5114" w:firstLine="0"/>
        <w:jc w:val="left"/>
        <w:rPr>
          <w:rFonts w:hint="eastAsia" w:ascii="宋体" w:hAnsi="宋体" w:eastAsia="宋体" w:cs="宋体"/>
          <w:sz w:val="19"/>
        </w:rPr>
      </w:pPr>
      <w:r>
        <w:rPr>
          <w:rFonts w:hint="eastAsia" w:ascii="宋体" w:hAnsi="宋体" w:eastAsia="宋体" w:cs="宋体"/>
          <w:spacing w:val="-1"/>
          <w:sz w:val="19"/>
        </w:rPr>
        <w:t xml:space="preserve">对评审过程和结果的质疑按要求以书面形式提供纸质材料： </w:t>
      </w:r>
      <w:r>
        <w:rPr>
          <w:rFonts w:hint="eastAsia" w:ascii="宋体" w:hAnsi="宋体" w:eastAsia="宋体" w:cs="宋体"/>
          <w:spacing w:val="-1"/>
          <w:w w:val="105"/>
          <w:sz w:val="19"/>
        </w:rPr>
        <w:t>质疑经办人：李古丽电话：</w:t>
      </w:r>
      <w:r>
        <w:rPr>
          <w:rFonts w:hint="eastAsia" w:ascii="宋体" w:hAnsi="宋体" w:eastAsia="宋体" w:cs="宋体"/>
          <w:spacing w:val="-3"/>
          <w:w w:val="105"/>
          <w:sz w:val="19"/>
        </w:rPr>
        <w:t>0451-85975726</w:t>
      </w:r>
    </w:p>
    <w:p>
      <w:pPr>
        <w:pStyle w:val="4"/>
        <w:spacing w:before="104"/>
        <w:rPr>
          <w:rFonts w:hint="eastAsia" w:ascii="宋体" w:hAnsi="宋体" w:eastAsia="宋体" w:cs="宋体"/>
        </w:rPr>
      </w:pPr>
      <w:r>
        <w:rPr>
          <w:rFonts w:hint="eastAsia" w:ascii="宋体" w:hAnsi="宋体" w:eastAsia="宋体" w:cs="宋体"/>
          <w:w w:val="105"/>
        </w:rPr>
        <w:t>八</w:t>
      </w:r>
      <w:r>
        <w:rPr>
          <w:rFonts w:hint="eastAsia" w:ascii="宋体" w:hAnsi="宋体" w:eastAsia="宋体" w:cs="宋体"/>
          <w:w w:val="115"/>
        </w:rPr>
        <w:t>.</w:t>
      </w:r>
      <w:r>
        <w:rPr>
          <w:rFonts w:hint="eastAsia" w:ascii="宋体" w:hAnsi="宋体" w:eastAsia="宋体" w:cs="宋体"/>
          <w:w w:val="105"/>
        </w:rPr>
        <w:t>联系方式：</w:t>
      </w:r>
    </w:p>
    <w:p>
      <w:pPr>
        <w:pStyle w:val="18"/>
        <w:numPr>
          <w:ilvl w:val="0"/>
          <w:numId w:val="11"/>
        </w:numPr>
        <w:tabs>
          <w:tab w:val="left" w:pos="824"/>
        </w:tabs>
        <w:spacing w:before="65" w:after="0" w:line="240" w:lineRule="auto"/>
        <w:ind w:left="823" w:right="0" w:hanging="314"/>
        <w:jc w:val="left"/>
        <w:rPr>
          <w:rFonts w:hint="eastAsia" w:ascii="宋体" w:hAnsi="宋体" w:eastAsia="宋体" w:cs="宋体"/>
          <w:sz w:val="19"/>
        </w:rPr>
      </w:pPr>
      <w:r>
        <w:rPr>
          <w:rFonts w:hint="eastAsia" w:ascii="宋体" w:hAnsi="宋体" w:eastAsia="宋体" w:cs="宋体"/>
          <w:sz w:val="19"/>
        </w:rPr>
        <w:t>采购代理机构</w:t>
      </w:r>
    </w:p>
    <w:p>
      <w:pPr>
        <w:pStyle w:val="9"/>
        <w:spacing w:before="141" w:line="379" w:lineRule="auto"/>
        <w:ind w:left="510" w:right="6410"/>
        <w:rPr>
          <w:rFonts w:hint="eastAsia" w:ascii="宋体" w:hAnsi="宋体" w:eastAsia="宋体" w:cs="宋体"/>
        </w:rPr>
      </w:pPr>
      <w:r>
        <w:rPr>
          <w:rFonts w:hint="eastAsia" w:ascii="宋体" w:hAnsi="宋体" w:eastAsia="宋体" w:cs="宋体"/>
          <w:w w:val="105"/>
        </w:rPr>
        <w:t>采购代理机构名称：黑龙江省政府采购中心</w:t>
      </w:r>
      <w:r>
        <w:rPr>
          <w:rFonts w:hint="eastAsia" w:ascii="宋体" w:hAnsi="宋体" w:eastAsia="宋体" w:cs="宋体"/>
        </w:rPr>
        <w:t>地址： 黑龙江省哈尔滨市南岗区长江路130号</w:t>
      </w:r>
      <w:r>
        <w:rPr>
          <w:rFonts w:hint="eastAsia" w:ascii="宋体" w:hAnsi="宋体" w:eastAsia="宋体" w:cs="宋体"/>
          <w:w w:val="110"/>
        </w:rPr>
        <w:t>联系人： 肖楠</w:t>
      </w:r>
    </w:p>
    <w:p>
      <w:pPr>
        <w:pStyle w:val="9"/>
        <w:spacing w:line="242" w:lineRule="exact"/>
        <w:ind w:left="510"/>
        <w:rPr>
          <w:rFonts w:hint="eastAsia" w:ascii="宋体" w:hAnsi="宋体" w:eastAsia="宋体" w:cs="宋体"/>
        </w:rPr>
      </w:pPr>
      <w:r>
        <w:rPr>
          <w:rFonts w:hint="eastAsia" w:ascii="宋体" w:hAnsi="宋体" w:eastAsia="宋体" w:cs="宋体"/>
          <w:w w:val="110"/>
        </w:rPr>
        <w:t>联系电话： 0451-85975686</w:t>
      </w:r>
    </w:p>
    <w:p>
      <w:pPr>
        <w:pStyle w:val="9"/>
        <w:spacing w:before="141" w:line="379" w:lineRule="auto"/>
        <w:ind w:left="510" w:right="6830"/>
        <w:rPr>
          <w:rFonts w:hint="eastAsia" w:ascii="宋体" w:hAnsi="宋体" w:eastAsia="宋体" w:cs="宋体"/>
        </w:rPr>
      </w:pPr>
      <w:r>
        <w:rPr>
          <w:rFonts w:hint="eastAsia" w:ascii="宋体" w:hAnsi="宋体" w:eastAsia="宋体" w:cs="宋体"/>
        </w:rPr>
        <w:t>账户名称：系统自动生成的缴交账户名称开户行：详见供应商须知</w:t>
      </w:r>
    </w:p>
    <w:p>
      <w:pPr>
        <w:pStyle w:val="9"/>
        <w:spacing w:line="242" w:lineRule="exact"/>
        <w:ind w:left="510"/>
        <w:rPr>
          <w:rFonts w:hint="eastAsia" w:ascii="宋体" w:hAnsi="宋体" w:eastAsia="宋体" w:cs="宋体"/>
        </w:rPr>
      </w:pPr>
      <w:r>
        <w:rPr>
          <w:rFonts w:hint="eastAsia" w:ascii="宋体" w:hAnsi="宋体" w:eastAsia="宋体" w:cs="宋体"/>
        </w:rPr>
        <w:t>账号：详见供应商须知</w:t>
      </w:r>
    </w:p>
    <w:p>
      <w:pPr>
        <w:pStyle w:val="18"/>
        <w:numPr>
          <w:ilvl w:val="0"/>
          <w:numId w:val="11"/>
        </w:numPr>
        <w:tabs>
          <w:tab w:val="left" w:pos="824"/>
        </w:tabs>
        <w:spacing w:before="140" w:after="0" w:line="240" w:lineRule="auto"/>
        <w:ind w:left="823" w:right="0" w:hanging="314"/>
        <w:jc w:val="left"/>
        <w:rPr>
          <w:rFonts w:hint="eastAsia" w:ascii="宋体" w:hAnsi="宋体" w:eastAsia="宋体" w:cs="宋体"/>
          <w:sz w:val="19"/>
        </w:rPr>
      </w:pPr>
      <w:r>
        <w:rPr>
          <w:rFonts w:hint="eastAsia" w:ascii="宋体" w:hAnsi="宋体" w:eastAsia="宋体" w:cs="宋体"/>
          <w:sz w:val="19"/>
        </w:rPr>
        <w:t>采购人信息</w:t>
      </w:r>
    </w:p>
    <w:p>
      <w:pPr>
        <w:pStyle w:val="9"/>
        <w:spacing w:before="141"/>
        <w:ind w:left="510"/>
        <w:rPr>
          <w:rFonts w:hint="eastAsia" w:ascii="宋体" w:hAnsi="宋体" w:eastAsia="宋体" w:cs="宋体"/>
        </w:rPr>
      </w:pPr>
      <w:r>
        <w:rPr>
          <w:rFonts w:hint="eastAsia" w:ascii="宋体" w:hAnsi="宋体" w:eastAsia="宋体" w:cs="宋体"/>
        </w:rPr>
        <w:t>采购单位名称：牡丹江师范学院</w:t>
      </w:r>
    </w:p>
    <w:p>
      <w:pPr>
        <w:pStyle w:val="9"/>
        <w:spacing w:before="141" w:line="379" w:lineRule="auto"/>
        <w:ind w:left="510" w:right="7068"/>
        <w:rPr>
          <w:rFonts w:hint="eastAsia" w:ascii="宋体" w:hAnsi="宋体" w:eastAsia="宋体" w:cs="宋体"/>
        </w:rPr>
      </w:pPr>
      <w:r>
        <w:rPr>
          <w:rFonts w:hint="eastAsia" w:ascii="宋体" w:hAnsi="宋体" w:eastAsia="宋体" w:cs="宋体"/>
          <w:w w:val="105"/>
        </w:rPr>
        <w:t>地址： 牡丹江市爱民区文化街191号</w:t>
      </w:r>
      <w:r>
        <w:rPr>
          <w:rFonts w:hint="eastAsia" w:ascii="宋体" w:hAnsi="宋体" w:eastAsia="宋体" w:cs="宋体"/>
          <w:w w:val="110"/>
        </w:rPr>
        <w:t>联系人： 韩驰</w:t>
      </w:r>
    </w:p>
    <w:p>
      <w:pPr>
        <w:pStyle w:val="9"/>
        <w:spacing w:line="242" w:lineRule="exact"/>
        <w:ind w:left="510"/>
        <w:rPr>
          <w:rFonts w:hint="eastAsia" w:ascii="宋体" w:hAnsi="宋体" w:eastAsia="宋体" w:cs="宋体"/>
        </w:rPr>
      </w:pPr>
      <w:r>
        <w:rPr>
          <w:rFonts w:hint="eastAsia" w:ascii="宋体" w:hAnsi="宋体" w:eastAsia="宋体" w:cs="宋体"/>
          <w:w w:val="110"/>
        </w:rPr>
        <w:t>联系电话： 13836301045</w:t>
      </w:r>
    </w:p>
    <w:p>
      <w:pPr>
        <w:pStyle w:val="9"/>
        <w:spacing w:before="140"/>
        <w:ind w:left="510"/>
        <w:rPr>
          <w:rFonts w:hint="eastAsia" w:ascii="宋体" w:hAnsi="宋体" w:eastAsia="宋体" w:cs="宋体"/>
        </w:rPr>
      </w:pPr>
      <w:r>
        <w:rPr>
          <w:rFonts w:hint="eastAsia" w:ascii="宋体" w:hAnsi="宋体" w:eastAsia="宋体" w:cs="宋体"/>
        </w:rPr>
        <w:t>黑龙江省政府采购中心</w:t>
      </w:r>
    </w:p>
    <w:p>
      <w:pPr>
        <w:spacing w:after="0"/>
        <w:rPr>
          <w:rFonts w:hint="eastAsia" w:ascii="宋体" w:hAnsi="宋体" w:eastAsia="宋体" w:cs="宋体"/>
        </w:rPr>
        <w:sectPr>
          <w:pgSz w:w="11900" w:h="16840"/>
          <w:pgMar w:top="580" w:right="560" w:bottom="280" w:left="540" w:header="0" w:footer="13" w:gutter="0"/>
          <w:cols w:space="720" w:num="1"/>
        </w:sectPr>
      </w:pPr>
    </w:p>
    <w:p>
      <w:pPr>
        <w:pStyle w:val="3"/>
        <w:rPr>
          <w:rFonts w:hint="eastAsia" w:ascii="宋体" w:hAnsi="宋体" w:eastAsia="宋体" w:cs="宋体"/>
        </w:rPr>
      </w:pPr>
      <w:r>
        <w:rPr>
          <w:rFonts w:hint="eastAsia" w:ascii="宋体" w:hAnsi="宋体" w:eastAsia="宋体" w:cs="宋体"/>
        </w:rPr>
        <w:t>第二章 供应商须知</w:t>
      </w:r>
    </w:p>
    <w:p>
      <w:pPr>
        <w:pStyle w:val="9"/>
        <w:rPr>
          <w:rFonts w:hint="eastAsia" w:ascii="宋体" w:hAnsi="宋体" w:eastAsia="宋体" w:cs="宋体"/>
          <w:b/>
          <w:sz w:val="20"/>
        </w:rPr>
      </w:pPr>
    </w:p>
    <w:p>
      <w:pPr>
        <w:pStyle w:val="9"/>
        <w:spacing w:before="4"/>
        <w:rPr>
          <w:rFonts w:hint="eastAsia" w:ascii="宋体" w:hAnsi="宋体" w:eastAsia="宋体" w:cs="宋体"/>
          <w:b/>
          <w:sz w:val="21"/>
        </w:rPr>
      </w:pPr>
    </w:p>
    <w:p>
      <w:pPr>
        <w:pStyle w:val="4"/>
        <w:spacing w:before="76"/>
        <w:rPr>
          <w:rFonts w:hint="eastAsia" w:ascii="宋体" w:hAnsi="宋体" w:eastAsia="宋体" w:cs="宋体"/>
        </w:rPr>
      </w:pPr>
      <w:r>
        <w:rPr>
          <w:rFonts w:hint="eastAsia" w:ascii="宋体" w:hAnsi="宋体" w:eastAsia="宋体" w:cs="宋体"/>
        </w:rPr>
        <w:t>一、前附表：</w:t>
      </w:r>
    </w:p>
    <w:p>
      <w:pPr>
        <w:pStyle w:val="9"/>
        <w:spacing w:before="5"/>
        <w:rPr>
          <w:rFonts w:hint="eastAsia" w:ascii="宋体" w:hAnsi="宋体" w:eastAsia="宋体" w:cs="宋体"/>
          <w:b/>
          <w:sz w:val="13"/>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44"/>
        <w:gridCol w:w="984"/>
        <w:gridCol w:w="912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49" w:hRule="atLeast"/>
        </w:trPr>
        <w:tc>
          <w:tcPr>
            <w:tcW w:w="444" w:type="dxa"/>
            <w:shd w:val="clear" w:color="auto" w:fill="F4F4F4"/>
          </w:tcPr>
          <w:p>
            <w:pPr>
              <w:pStyle w:val="19"/>
              <w:spacing w:before="60" w:line="379" w:lineRule="auto"/>
              <w:ind w:left="112" w:right="122"/>
              <w:rPr>
                <w:rFonts w:hint="eastAsia" w:ascii="宋体" w:hAnsi="宋体" w:eastAsia="宋体" w:cs="宋体"/>
                <w:b/>
                <w:sz w:val="19"/>
              </w:rPr>
            </w:pPr>
            <w:r>
              <w:rPr>
                <w:rFonts w:hint="eastAsia" w:ascii="宋体" w:hAnsi="宋体" w:eastAsia="宋体" w:cs="宋体"/>
                <w:b/>
                <w:sz w:val="19"/>
              </w:rPr>
              <w:t>序号</w:t>
            </w:r>
          </w:p>
        </w:tc>
        <w:tc>
          <w:tcPr>
            <w:tcW w:w="984" w:type="dxa"/>
            <w:shd w:val="clear" w:color="auto" w:fill="F4F4F4"/>
          </w:tcPr>
          <w:p>
            <w:pPr>
              <w:pStyle w:val="19"/>
              <w:spacing w:before="9"/>
              <w:rPr>
                <w:rFonts w:hint="eastAsia" w:ascii="宋体" w:hAnsi="宋体" w:eastAsia="宋体" w:cs="宋体"/>
                <w:b/>
                <w:sz w:val="19"/>
              </w:rPr>
            </w:pPr>
          </w:p>
          <w:p>
            <w:pPr>
              <w:pStyle w:val="19"/>
              <w:spacing w:line="379" w:lineRule="auto"/>
              <w:ind w:left="346" w:right="188" w:hanging="169"/>
              <w:rPr>
                <w:rFonts w:hint="eastAsia" w:ascii="宋体" w:hAnsi="宋体" w:eastAsia="宋体" w:cs="宋体"/>
                <w:b/>
                <w:sz w:val="19"/>
              </w:rPr>
            </w:pPr>
            <w:r>
              <w:rPr>
                <w:rFonts w:hint="eastAsia" w:ascii="宋体" w:hAnsi="宋体" w:eastAsia="宋体" w:cs="宋体"/>
                <w:b/>
                <w:sz w:val="19"/>
              </w:rPr>
              <w:t>条款名称</w:t>
            </w:r>
          </w:p>
        </w:tc>
        <w:tc>
          <w:tcPr>
            <w:tcW w:w="9122" w:type="dxa"/>
            <w:shd w:val="clear" w:color="auto" w:fill="F4F4F4"/>
          </w:tcPr>
          <w:p>
            <w:pPr>
              <w:pStyle w:val="19"/>
              <w:rPr>
                <w:rFonts w:hint="eastAsia" w:ascii="宋体" w:hAnsi="宋体" w:eastAsia="宋体" w:cs="宋体"/>
                <w:b/>
                <w:sz w:val="18"/>
              </w:rPr>
            </w:pPr>
          </w:p>
          <w:p>
            <w:pPr>
              <w:pStyle w:val="19"/>
              <w:spacing w:before="9"/>
              <w:rPr>
                <w:rFonts w:hint="eastAsia" w:ascii="宋体" w:hAnsi="宋体" w:eastAsia="宋体" w:cs="宋体"/>
                <w:b/>
                <w:sz w:val="16"/>
              </w:rPr>
            </w:pPr>
          </w:p>
          <w:p>
            <w:pPr>
              <w:pStyle w:val="19"/>
              <w:ind w:left="166"/>
              <w:rPr>
                <w:rFonts w:hint="eastAsia" w:ascii="宋体" w:hAnsi="宋体" w:eastAsia="宋体" w:cs="宋体"/>
                <w:b/>
                <w:sz w:val="19"/>
              </w:rPr>
            </w:pPr>
            <w:r>
              <w:rPr>
                <w:rFonts w:hint="eastAsia" w:ascii="宋体" w:hAnsi="宋体" w:eastAsia="宋体" w:cs="宋体"/>
                <w:b/>
                <w:sz w:val="19"/>
              </w:rPr>
              <w:t>内容及要求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444" w:type="dxa"/>
          </w:tcPr>
          <w:p>
            <w:pPr>
              <w:pStyle w:val="19"/>
              <w:spacing w:before="60"/>
              <w:ind w:left="100"/>
              <w:rPr>
                <w:rFonts w:hint="eastAsia" w:ascii="宋体" w:hAnsi="宋体" w:eastAsia="宋体" w:cs="宋体"/>
                <w:sz w:val="19"/>
              </w:rPr>
            </w:pPr>
            <w:r>
              <w:rPr>
                <w:rFonts w:hint="eastAsia" w:ascii="宋体" w:hAnsi="宋体" w:eastAsia="宋体" w:cs="宋体"/>
                <w:w w:val="128"/>
                <w:sz w:val="19"/>
              </w:rPr>
              <w:t>1</w:t>
            </w:r>
          </w:p>
        </w:tc>
        <w:tc>
          <w:tcPr>
            <w:tcW w:w="984" w:type="dxa"/>
          </w:tcPr>
          <w:p>
            <w:pPr>
              <w:pStyle w:val="19"/>
              <w:spacing w:before="60"/>
              <w:ind w:left="84" w:right="84"/>
              <w:jc w:val="center"/>
              <w:rPr>
                <w:rFonts w:hint="eastAsia" w:ascii="宋体" w:hAnsi="宋体" w:eastAsia="宋体" w:cs="宋体"/>
                <w:sz w:val="19"/>
              </w:rPr>
            </w:pPr>
            <w:r>
              <w:rPr>
                <w:rFonts w:hint="eastAsia" w:ascii="宋体" w:hAnsi="宋体" w:eastAsia="宋体" w:cs="宋体"/>
                <w:sz w:val="19"/>
              </w:rPr>
              <w:t>分包情况</w:t>
            </w:r>
          </w:p>
        </w:tc>
        <w:tc>
          <w:tcPr>
            <w:tcW w:w="9122" w:type="dxa"/>
          </w:tcPr>
          <w:p>
            <w:pPr>
              <w:pStyle w:val="19"/>
              <w:spacing w:before="60"/>
              <w:ind w:left="100"/>
              <w:rPr>
                <w:rFonts w:hint="eastAsia" w:ascii="宋体" w:hAnsi="宋体" w:eastAsia="宋体" w:cs="宋体"/>
                <w:sz w:val="19"/>
              </w:rPr>
            </w:pPr>
            <w:r>
              <w:rPr>
                <w:rFonts w:hint="eastAsia" w:ascii="宋体" w:hAnsi="宋体" w:eastAsia="宋体" w:cs="宋体"/>
                <w:w w:val="110"/>
                <w:sz w:val="19"/>
              </w:rPr>
              <w:t>共1包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444" w:type="dxa"/>
          </w:tcPr>
          <w:p>
            <w:pPr>
              <w:pStyle w:val="19"/>
              <w:spacing w:before="60"/>
              <w:ind w:left="100"/>
              <w:rPr>
                <w:rFonts w:hint="eastAsia" w:ascii="宋体" w:hAnsi="宋体" w:eastAsia="宋体" w:cs="宋体"/>
                <w:sz w:val="19"/>
              </w:rPr>
            </w:pPr>
            <w:r>
              <w:rPr>
                <w:rFonts w:hint="eastAsia" w:ascii="宋体" w:hAnsi="宋体" w:eastAsia="宋体" w:cs="宋体"/>
                <w:w w:val="128"/>
                <w:sz w:val="19"/>
              </w:rPr>
              <w:t>2</w:t>
            </w:r>
          </w:p>
        </w:tc>
        <w:tc>
          <w:tcPr>
            <w:tcW w:w="984" w:type="dxa"/>
          </w:tcPr>
          <w:p>
            <w:pPr>
              <w:pStyle w:val="19"/>
              <w:spacing w:before="60"/>
              <w:ind w:left="84" w:right="84"/>
              <w:jc w:val="center"/>
              <w:rPr>
                <w:rFonts w:hint="eastAsia" w:ascii="宋体" w:hAnsi="宋体" w:eastAsia="宋体" w:cs="宋体"/>
                <w:sz w:val="19"/>
              </w:rPr>
            </w:pPr>
            <w:r>
              <w:rPr>
                <w:rFonts w:hint="eastAsia" w:ascii="宋体" w:hAnsi="宋体" w:eastAsia="宋体" w:cs="宋体"/>
                <w:sz w:val="19"/>
              </w:rPr>
              <w:t>采购方式</w:t>
            </w:r>
          </w:p>
        </w:tc>
        <w:tc>
          <w:tcPr>
            <w:tcW w:w="9122" w:type="dxa"/>
          </w:tcPr>
          <w:p>
            <w:pPr>
              <w:pStyle w:val="19"/>
              <w:spacing w:before="60"/>
              <w:ind w:left="100"/>
              <w:rPr>
                <w:rFonts w:hint="eastAsia" w:ascii="宋体" w:hAnsi="宋体" w:eastAsia="宋体" w:cs="宋体"/>
                <w:sz w:val="19"/>
              </w:rPr>
            </w:pPr>
            <w:r>
              <w:rPr>
                <w:rFonts w:hint="eastAsia" w:ascii="宋体" w:hAnsi="宋体" w:eastAsia="宋体" w:cs="宋体"/>
                <w:sz w:val="19"/>
              </w:rPr>
              <w:t>竞争性磋商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444" w:type="dxa"/>
          </w:tcPr>
          <w:p>
            <w:pPr>
              <w:pStyle w:val="19"/>
              <w:spacing w:before="60"/>
              <w:ind w:left="100"/>
              <w:rPr>
                <w:rFonts w:hint="eastAsia" w:ascii="宋体" w:hAnsi="宋体" w:eastAsia="宋体" w:cs="宋体"/>
                <w:sz w:val="19"/>
              </w:rPr>
            </w:pPr>
            <w:r>
              <w:rPr>
                <w:rFonts w:hint="eastAsia" w:ascii="宋体" w:hAnsi="宋体" w:eastAsia="宋体" w:cs="宋体"/>
                <w:w w:val="128"/>
                <w:sz w:val="19"/>
              </w:rPr>
              <w:t>3</w:t>
            </w:r>
          </w:p>
        </w:tc>
        <w:tc>
          <w:tcPr>
            <w:tcW w:w="984" w:type="dxa"/>
          </w:tcPr>
          <w:p>
            <w:pPr>
              <w:pStyle w:val="19"/>
              <w:spacing w:before="60"/>
              <w:ind w:left="84" w:right="84"/>
              <w:jc w:val="center"/>
              <w:rPr>
                <w:rFonts w:hint="eastAsia" w:ascii="宋体" w:hAnsi="宋体" w:eastAsia="宋体" w:cs="宋体"/>
                <w:sz w:val="19"/>
              </w:rPr>
            </w:pPr>
            <w:r>
              <w:rPr>
                <w:rFonts w:hint="eastAsia" w:ascii="宋体" w:hAnsi="宋体" w:eastAsia="宋体" w:cs="宋体"/>
                <w:sz w:val="19"/>
              </w:rPr>
              <w:t>开标方式</w:t>
            </w:r>
          </w:p>
        </w:tc>
        <w:tc>
          <w:tcPr>
            <w:tcW w:w="9122" w:type="dxa"/>
          </w:tcPr>
          <w:p>
            <w:pPr>
              <w:pStyle w:val="19"/>
              <w:spacing w:before="60"/>
              <w:ind w:left="100"/>
              <w:rPr>
                <w:rFonts w:hint="eastAsia" w:ascii="宋体" w:hAnsi="宋体" w:eastAsia="宋体" w:cs="宋体"/>
                <w:sz w:val="19"/>
              </w:rPr>
            </w:pPr>
            <w:r>
              <w:rPr>
                <w:rFonts w:hint="eastAsia" w:ascii="宋体" w:hAnsi="宋体" w:eastAsia="宋体" w:cs="宋体"/>
                <w:sz w:val="19"/>
              </w:rPr>
              <w:t>不见面开标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444" w:type="dxa"/>
          </w:tcPr>
          <w:p>
            <w:pPr>
              <w:pStyle w:val="19"/>
              <w:spacing w:before="60"/>
              <w:ind w:left="100"/>
              <w:rPr>
                <w:rFonts w:hint="eastAsia" w:ascii="宋体" w:hAnsi="宋体" w:eastAsia="宋体" w:cs="宋体"/>
                <w:sz w:val="19"/>
              </w:rPr>
            </w:pPr>
            <w:r>
              <w:rPr>
                <w:rFonts w:hint="eastAsia" w:ascii="宋体" w:hAnsi="宋体" w:eastAsia="宋体" w:cs="宋体"/>
                <w:w w:val="128"/>
                <w:sz w:val="19"/>
              </w:rPr>
              <w:t>4</w:t>
            </w:r>
          </w:p>
        </w:tc>
        <w:tc>
          <w:tcPr>
            <w:tcW w:w="984" w:type="dxa"/>
          </w:tcPr>
          <w:p>
            <w:pPr>
              <w:pStyle w:val="19"/>
              <w:spacing w:before="60"/>
              <w:ind w:left="84" w:right="84"/>
              <w:jc w:val="center"/>
              <w:rPr>
                <w:rFonts w:hint="eastAsia" w:ascii="宋体" w:hAnsi="宋体" w:eastAsia="宋体" w:cs="宋体"/>
                <w:sz w:val="19"/>
              </w:rPr>
            </w:pPr>
            <w:r>
              <w:rPr>
                <w:rFonts w:hint="eastAsia" w:ascii="宋体" w:hAnsi="宋体" w:eastAsia="宋体" w:cs="宋体"/>
                <w:sz w:val="19"/>
              </w:rPr>
              <w:t>评标方式</w:t>
            </w:r>
          </w:p>
        </w:tc>
        <w:tc>
          <w:tcPr>
            <w:tcW w:w="9122" w:type="dxa"/>
          </w:tcPr>
          <w:p>
            <w:pPr>
              <w:pStyle w:val="19"/>
              <w:spacing w:before="60"/>
              <w:ind w:left="100"/>
              <w:rPr>
                <w:rFonts w:hint="eastAsia" w:ascii="宋体" w:hAnsi="宋体" w:eastAsia="宋体" w:cs="宋体"/>
                <w:sz w:val="19"/>
              </w:rPr>
            </w:pPr>
            <w:r>
              <w:rPr>
                <w:rFonts w:hint="eastAsia" w:ascii="宋体" w:hAnsi="宋体" w:eastAsia="宋体" w:cs="宋体"/>
                <w:sz w:val="19"/>
              </w:rPr>
              <w:t>现场网上评标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49" w:hRule="atLeast"/>
        </w:trPr>
        <w:tc>
          <w:tcPr>
            <w:tcW w:w="444" w:type="dxa"/>
          </w:tcPr>
          <w:p>
            <w:pPr>
              <w:pStyle w:val="19"/>
              <w:rPr>
                <w:rFonts w:hint="eastAsia" w:ascii="宋体" w:hAnsi="宋体" w:eastAsia="宋体" w:cs="宋体"/>
                <w:b/>
                <w:sz w:val="22"/>
              </w:rPr>
            </w:pPr>
          </w:p>
          <w:p>
            <w:pPr>
              <w:pStyle w:val="19"/>
              <w:spacing w:before="163"/>
              <w:ind w:left="100"/>
              <w:rPr>
                <w:rFonts w:hint="eastAsia" w:ascii="宋体" w:hAnsi="宋体" w:eastAsia="宋体" w:cs="宋体"/>
                <w:sz w:val="19"/>
              </w:rPr>
            </w:pPr>
            <w:r>
              <w:rPr>
                <w:rFonts w:hint="eastAsia" w:ascii="宋体" w:hAnsi="宋体" w:eastAsia="宋体" w:cs="宋体"/>
                <w:w w:val="128"/>
                <w:sz w:val="19"/>
              </w:rPr>
              <w:t>5</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是否专门</w:t>
            </w:r>
          </w:p>
          <w:p>
            <w:pPr>
              <w:pStyle w:val="19"/>
              <w:spacing w:before="4" w:line="380" w:lineRule="atLeast"/>
              <w:ind w:left="100" w:right="98"/>
              <w:rPr>
                <w:rFonts w:hint="eastAsia" w:ascii="宋体" w:hAnsi="宋体" w:eastAsia="宋体" w:cs="宋体"/>
                <w:sz w:val="19"/>
              </w:rPr>
            </w:pPr>
            <w:r>
              <w:rPr>
                <w:rFonts w:hint="eastAsia" w:ascii="宋体" w:hAnsi="宋体" w:eastAsia="宋体" w:cs="宋体"/>
                <w:spacing w:val="-5"/>
                <w:sz w:val="19"/>
              </w:rPr>
              <w:t>面向中小企业采购</w:t>
            </w:r>
          </w:p>
        </w:tc>
        <w:tc>
          <w:tcPr>
            <w:tcW w:w="9122" w:type="dxa"/>
          </w:tcPr>
          <w:p>
            <w:pPr>
              <w:pStyle w:val="19"/>
              <w:rPr>
                <w:rFonts w:hint="eastAsia" w:ascii="宋体" w:hAnsi="宋体" w:eastAsia="宋体" w:cs="宋体"/>
                <w:b/>
                <w:sz w:val="22"/>
              </w:rPr>
            </w:pPr>
          </w:p>
          <w:p>
            <w:pPr>
              <w:pStyle w:val="19"/>
              <w:spacing w:before="163"/>
              <w:ind w:left="100"/>
              <w:rPr>
                <w:rFonts w:hint="eastAsia" w:ascii="宋体" w:hAnsi="宋体" w:eastAsia="宋体" w:cs="宋体"/>
                <w:sz w:val="19"/>
              </w:rPr>
            </w:pPr>
            <w:r>
              <w:rPr>
                <w:rFonts w:hint="eastAsia" w:ascii="宋体" w:hAnsi="宋体" w:eastAsia="宋体" w:cs="宋体"/>
                <w:sz w:val="19"/>
              </w:rPr>
              <w:t>采购包1：非专门面向中小企业</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444" w:type="dxa"/>
          </w:tcPr>
          <w:p>
            <w:pPr>
              <w:pStyle w:val="19"/>
              <w:spacing w:before="60"/>
              <w:ind w:left="100"/>
              <w:rPr>
                <w:rFonts w:hint="eastAsia" w:ascii="宋体" w:hAnsi="宋体" w:eastAsia="宋体" w:cs="宋体"/>
                <w:sz w:val="19"/>
              </w:rPr>
            </w:pPr>
            <w:r>
              <w:rPr>
                <w:rFonts w:hint="eastAsia" w:ascii="宋体" w:hAnsi="宋体" w:eastAsia="宋体" w:cs="宋体"/>
                <w:w w:val="128"/>
                <w:sz w:val="19"/>
              </w:rPr>
              <w:t>6</w:t>
            </w:r>
          </w:p>
        </w:tc>
        <w:tc>
          <w:tcPr>
            <w:tcW w:w="984" w:type="dxa"/>
          </w:tcPr>
          <w:p>
            <w:pPr>
              <w:pStyle w:val="19"/>
              <w:spacing w:before="60"/>
              <w:ind w:left="84" w:right="84"/>
              <w:jc w:val="center"/>
              <w:rPr>
                <w:rFonts w:hint="eastAsia" w:ascii="宋体" w:hAnsi="宋体" w:eastAsia="宋体" w:cs="宋体"/>
                <w:sz w:val="19"/>
              </w:rPr>
            </w:pPr>
            <w:r>
              <w:rPr>
                <w:rFonts w:hint="eastAsia" w:ascii="宋体" w:hAnsi="宋体" w:eastAsia="宋体" w:cs="宋体"/>
                <w:sz w:val="19"/>
              </w:rPr>
              <w:t>评标办法</w:t>
            </w:r>
          </w:p>
        </w:tc>
        <w:tc>
          <w:tcPr>
            <w:tcW w:w="9122" w:type="dxa"/>
          </w:tcPr>
          <w:p>
            <w:pPr>
              <w:pStyle w:val="19"/>
              <w:spacing w:before="60"/>
              <w:ind w:left="100"/>
              <w:rPr>
                <w:rFonts w:hint="eastAsia" w:ascii="宋体" w:hAnsi="宋体" w:eastAsia="宋体" w:cs="宋体"/>
                <w:sz w:val="19"/>
              </w:rPr>
            </w:pPr>
            <w:r>
              <w:rPr>
                <w:rFonts w:hint="eastAsia" w:ascii="宋体" w:hAnsi="宋体" w:eastAsia="宋体" w:cs="宋体"/>
                <w:sz w:val="19"/>
              </w:rPr>
              <w:t>合同包1（教师教育实训楼心理实训室教学设备）：综合评分法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17" w:hRule="atLeast"/>
        </w:trPr>
        <w:tc>
          <w:tcPr>
            <w:tcW w:w="444"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8"/>
              <w:rPr>
                <w:rFonts w:hint="eastAsia" w:ascii="宋体" w:hAnsi="宋体" w:eastAsia="宋体" w:cs="宋体"/>
                <w:b/>
                <w:sz w:val="20"/>
              </w:rPr>
            </w:pPr>
          </w:p>
          <w:p>
            <w:pPr>
              <w:pStyle w:val="19"/>
              <w:ind w:left="100"/>
              <w:rPr>
                <w:rFonts w:hint="eastAsia" w:ascii="宋体" w:hAnsi="宋体" w:eastAsia="宋体" w:cs="宋体"/>
                <w:sz w:val="19"/>
              </w:rPr>
            </w:pPr>
            <w:r>
              <w:rPr>
                <w:rFonts w:hint="eastAsia" w:ascii="宋体" w:hAnsi="宋体" w:eastAsia="宋体" w:cs="宋体"/>
                <w:w w:val="128"/>
                <w:sz w:val="19"/>
              </w:rPr>
              <w:t>7</w:t>
            </w:r>
          </w:p>
        </w:tc>
        <w:tc>
          <w:tcPr>
            <w:tcW w:w="984" w:type="dxa"/>
          </w:tcPr>
          <w:p>
            <w:pPr>
              <w:pStyle w:val="19"/>
              <w:spacing w:before="60" w:line="379" w:lineRule="auto"/>
              <w:ind w:left="100" w:right="98"/>
              <w:rPr>
                <w:rFonts w:hint="eastAsia" w:ascii="宋体" w:hAnsi="宋体" w:eastAsia="宋体" w:cs="宋体"/>
                <w:sz w:val="19"/>
              </w:rPr>
            </w:pPr>
            <w:r>
              <w:rPr>
                <w:rFonts w:hint="eastAsia" w:ascii="宋体" w:hAnsi="宋体" w:eastAsia="宋体" w:cs="宋体"/>
                <w:spacing w:val="-5"/>
                <w:sz w:val="19"/>
              </w:rPr>
              <w:t>获取磋商文件时间</w:t>
            </w:r>
          </w:p>
          <w:p>
            <w:pPr>
              <w:pStyle w:val="19"/>
              <w:spacing w:line="379" w:lineRule="auto"/>
              <w:ind w:left="100" w:right="98"/>
              <w:rPr>
                <w:rFonts w:hint="eastAsia" w:ascii="宋体" w:hAnsi="宋体" w:eastAsia="宋体" w:cs="宋体"/>
                <w:sz w:val="19"/>
              </w:rPr>
            </w:pPr>
            <w:r>
              <w:rPr>
                <w:rFonts w:hint="eastAsia" w:ascii="宋体" w:hAnsi="宋体" w:eastAsia="宋体" w:cs="宋体"/>
                <w:sz w:val="19"/>
              </w:rPr>
              <w:t>（</w:t>
            </w:r>
            <w:r>
              <w:rPr>
                <w:rFonts w:hint="eastAsia" w:ascii="宋体" w:hAnsi="宋体" w:eastAsia="宋体" w:cs="宋体"/>
                <w:spacing w:val="-7"/>
                <w:sz w:val="19"/>
              </w:rPr>
              <w:t>同磋商</w:t>
            </w:r>
            <w:r>
              <w:rPr>
                <w:rFonts w:hint="eastAsia" w:ascii="宋体" w:hAnsi="宋体" w:eastAsia="宋体" w:cs="宋体"/>
                <w:spacing w:val="-5"/>
                <w:sz w:val="19"/>
              </w:rPr>
              <w:t>文件提供</w:t>
            </w:r>
          </w:p>
          <w:p>
            <w:pPr>
              <w:pStyle w:val="19"/>
              <w:spacing w:line="242" w:lineRule="exact"/>
              <w:ind w:left="100"/>
              <w:rPr>
                <w:rFonts w:hint="eastAsia" w:ascii="宋体" w:hAnsi="宋体" w:eastAsia="宋体" w:cs="宋体"/>
                <w:sz w:val="19"/>
              </w:rPr>
            </w:pPr>
            <w:r>
              <w:rPr>
                <w:rFonts w:hint="eastAsia" w:ascii="宋体" w:hAnsi="宋体" w:eastAsia="宋体" w:cs="宋体"/>
                <w:sz w:val="19"/>
              </w:rPr>
              <w:t>期限）</w:t>
            </w:r>
          </w:p>
        </w:tc>
        <w:tc>
          <w:tcPr>
            <w:tcW w:w="9122" w:type="dxa"/>
          </w:tcPr>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spacing w:before="137"/>
              <w:ind w:left="100"/>
              <w:rPr>
                <w:rFonts w:hint="eastAsia" w:ascii="宋体" w:hAnsi="宋体" w:eastAsia="宋体" w:cs="宋体"/>
                <w:sz w:val="19"/>
              </w:rPr>
            </w:pPr>
            <w:r>
              <w:rPr>
                <w:rFonts w:hint="eastAsia" w:ascii="宋体" w:hAnsi="宋体" w:eastAsia="宋体" w:cs="宋体"/>
                <w:sz w:val="19"/>
              </w:rPr>
              <w:t>详见磋商公告</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01" w:hRule="atLeast"/>
        </w:trPr>
        <w:tc>
          <w:tcPr>
            <w:tcW w:w="444"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75"/>
              <w:ind w:left="100"/>
              <w:rPr>
                <w:rFonts w:hint="eastAsia" w:ascii="宋体" w:hAnsi="宋体" w:eastAsia="宋体" w:cs="宋体"/>
                <w:sz w:val="19"/>
              </w:rPr>
            </w:pPr>
            <w:r>
              <w:rPr>
                <w:rFonts w:hint="eastAsia" w:ascii="宋体" w:hAnsi="宋体" w:eastAsia="宋体" w:cs="宋体"/>
                <w:w w:val="128"/>
                <w:sz w:val="19"/>
              </w:rPr>
              <w:t>8</w:t>
            </w:r>
          </w:p>
        </w:tc>
        <w:tc>
          <w:tcPr>
            <w:tcW w:w="984" w:type="dxa"/>
          </w:tcPr>
          <w:p>
            <w:pPr>
              <w:pStyle w:val="19"/>
              <w:spacing w:before="60" w:line="379" w:lineRule="auto"/>
              <w:ind w:left="100" w:right="98"/>
              <w:jc w:val="both"/>
              <w:rPr>
                <w:rFonts w:hint="eastAsia" w:ascii="宋体" w:hAnsi="宋体" w:eastAsia="宋体" w:cs="宋体"/>
                <w:sz w:val="19"/>
              </w:rPr>
            </w:pPr>
            <w:r>
              <w:rPr>
                <w:rFonts w:hint="eastAsia" w:ascii="宋体" w:hAnsi="宋体" w:eastAsia="宋体" w:cs="宋体"/>
                <w:sz w:val="19"/>
              </w:rPr>
              <w:t>保证金缴纳截止时间（同递交响应文件截止时</w:t>
            </w:r>
          </w:p>
          <w:p>
            <w:pPr>
              <w:pStyle w:val="19"/>
              <w:spacing w:line="241" w:lineRule="exact"/>
              <w:ind w:left="100"/>
              <w:rPr>
                <w:rFonts w:hint="eastAsia" w:ascii="宋体" w:hAnsi="宋体" w:eastAsia="宋体" w:cs="宋体"/>
                <w:sz w:val="19"/>
              </w:rPr>
            </w:pPr>
            <w:r>
              <w:rPr>
                <w:rFonts w:hint="eastAsia" w:ascii="宋体" w:hAnsi="宋体" w:eastAsia="宋体" w:cs="宋体"/>
                <w:sz w:val="19"/>
              </w:rPr>
              <w:t>间）</w:t>
            </w:r>
          </w:p>
        </w:tc>
        <w:tc>
          <w:tcPr>
            <w:tcW w:w="9122" w:type="dxa"/>
          </w:tcPr>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spacing w:before="8"/>
              <w:rPr>
                <w:rFonts w:hint="eastAsia" w:ascii="宋体" w:hAnsi="宋体" w:eastAsia="宋体" w:cs="宋体"/>
                <w:b/>
                <w:sz w:val="25"/>
              </w:rPr>
            </w:pPr>
          </w:p>
          <w:p>
            <w:pPr>
              <w:pStyle w:val="19"/>
              <w:ind w:left="100"/>
              <w:rPr>
                <w:rFonts w:hint="eastAsia" w:ascii="宋体" w:hAnsi="宋体" w:eastAsia="宋体" w:cs="宋体"/>
                <w:sz w:val="19"/>
              </w:rPr>
            </w:pPr>
            <w:r>
              <w:rPr>
                <w:rFonts w:hint="eastAsia" w:ascii="宋体" w:hAnsi="宋体" w:eastAsia="宋体" w:cs="宋体"/>
                <w:sz w:val="19"/>
              </w:rPr>
              <w:t>详见磋商公告</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44"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28"/>
                <w:sz w:val="19"/>
              </w:rPr>
              <w:t>9</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电子响应</w:t>
            </w:r>
          </w:p>
          <w:p>
            <w:pPr>
              <w:pStyle w:val="19"/>
              <w:spacing w:before="141"/>
              <w:ind w:left="100"/>
              <w:rPr>
                <w:rFonts w:hint="eastAsia" w:ascii="宋体" w:hAnsi="宋体" w:eastAsia="宋体" w:cs="宋体"/>
                <w:sz w:val="19"/>
              </w:rPr>
            </w:pPr>
            <w:r>
              <w:rPr>
                <w:rFonts w:hint="eastAsia" w:ascii="宋体" w:hAnsi="宋体" w:eastAsia="宋体" w:cs="宋体"/>
                <w:sz w:val="19"/>
              </w:rPr>
              <w:t>文件递交</w:t>
            </w:r>
          </w:p>
        </w:tc>
        <w:tc>
          <w:tcPr>
            <w:tcW w:w="9122"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电子响应文件在投标截止时间前递交至黑龙江省政府采购网--政府采购管理平台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44"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30"/>
                <w:sz w:val="19"/>
              </w:rPr>
              <w:t>10</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投标文件</w:t>
            </w:r>
          </w:p>
          <w:p>
            <w:pPr>
              <w:pStyle w:val="19"/>
              <w:spacing w:before="141"/>
              <w:ind w:left="100"/>
              <w:rPr>
                <w:rFonts w:hint="eastAsia" w:ascii="宋体" w:hAnsi="宋体" w:eastAsia="宋体" w:cs="宋体"/>
                <w:sz w:val="19"/>
              </w:rPr>
            </w:pPr>
            <w:r>
              <w:rPr>
                <w:rFonts w:hint="eastAsia" w:ascii="宋体" w:hAnsi="宋体" w:eastAsia="宋体" w:cs="宋体"/>
                <w:sz w:val="19"/>
              </w:rPr>
              <w:t>数量</w:t>
            </w:r>
          </w:p>
        </w:tc>
        <w:tc>
          <w:tcPr>
            <w:tcW w:w="9122" w:type="dxa"/>
          </w:tcPr>
          <w:p>
            <w:pPr>
              <w:pStyle w:val="19"/>
              <w:spacing w:before="60"/>
              <w:ind w:left="100"/>
              <w:rPr>
                <w:rFonts w:hint="eastAsia" w:ascii="宋体" w:hAnsi="宋体" w:eastAsia="宋体" w:cs="宋体"/>
                <w:sz w:val="19"/>
              </w:rPr>
            </w:pPr>
            <w:r>
              <w:rPr>
                <w:rFonts w:hint="eastAsia" w:ascii="宋体" w:hAnsi="宋体" w:eastAsia="宋体" w:cs="宋体"/>
                <w:sz w:val="19"/>
              </w:rPr>
              <w:t>（1）加密的电子投标文件 1 份（需在投标截止时间前上传至“黑龙江省政府采购网--黑龙江省政府采购管</w:t>
            </w:r>
          </w:p>
          <w:p>
            <w:pPr>
              <w:pStyle w:val="19"/>
              <w:spacing w:before="141"/>
              <w:ind w:left="100"/>
              <w:rPr>
                <w:rFonts w:hint="eastAsia" w:ascii="宋体" w:hAnsi="宋体" w:eastAsia="宋体" w:cs="宋体"/>
                <w:sz w:val="19"/>
              </w:rPr>
            </w:pPr>
            <w:r>
              <w:rPr>
                <w:rFonts w:hint="eastAsia" w:ascii="宋体" w:hAnsi="宋体" w:eastAsia="宋体" w:cs="宋体"/>
                <w:sz w:val="19"/>
              </w:rPr>
              <w:t>理平台”）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44"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30"/>
                <w:sz w:val="19"/>
              </w:rPr>
              <w:t>11</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供应商确</w:t>
            </w:r>
          </w:p>
          <w:p>
            <w:pPr>
              <w:pStyle w:val="19"/>
              <w:spacing w:before="141"/>
              <w:ind w:left="100"/>
              <w:rPr>
                <w:rFonts w:hint="eastAsia" w:ascii="宋体" w:hAnsi="宋体" w:eastAsia="宋体" w:cs="宋体"/>
                <w:sz w:val="19"/>
              </w:rPr>
            </w:pPr>
            <w:r>
              <w:rPr>
                <w:rFonts w:hint="eastAsia" w:ascii="宋体" w:hAnsi="宋体" w:eastAsia="宋体" w:cs="宋体"/>
                <w:w w:val="101"/>
                <w:sz w:val="19"/>
              </w:rPr>
              <w:t>定</w:t>
            </w:r>
          </w:p>
        </w:tc>
        <w:tc>
          <w:tcPr>
            <w:tcW w:w="9122"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采购人授权磋商小组按照评审原则直接确定中标（成交）人。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444" w:type="dxa"/>
          </w:tcPr>
          <w:p>
            <w:pPr>
              <w:pStyle w:val="19"/>
              <w:spacing w:before="60"/>
              <w:ind w:left="100"/>
              <w:rPr>
                <w:rFonts w:hint="eastAsia" w:ascii="宋体" w:hAnsi="宋体" w:eastAsia="宋体" w:cs="宋体"/>
                <w:sz w:val="19"/>
              </w:rPr>
            </w:pPr>
            <w:r>
              <w:rPr>
                <w:rFonts w:hint="eastAsia" w:ascii="宋体" w:hAnsi="宋体" w:eastAsia="宋体" w:cs="宋体"/>
                <w:w w:val="130"/>
                <w:sz w:val="19"/>
              </w:rPr>
              <w:t>12</w:t>
            </w:r>
          </w:p>
        </w:tc>
        <w:tc>
          <w:tcPr>
            <w:tcW w:w="984" w:type="dxa"/>
          </w:tcPr>
          <w:p>
            <w:pPr>
              <w:pStyle w:val="19"/>
              <w:spacing w:before="60"/>
              <w:ind w:left="84" w:right="84"/>
              <w:jc w:val="center"/>
              <w:rPr>
                <w:rFonts w:hint="eastAsia" w:ascii="宋体" w:hAnsi="宋体" w:eastAsia="宋体" w:cs="宋体"/>
                <w:sz w:val="19"/>
              </w:rPr>
            </w:pPr>
            <w:r>
              <w:rPr>
                <w:rFonts w:hint="eastAsia" w:ascii="宋体" w:hAnsi="宋体" w:eastAsia="宋体" w:cs="宋体"/>
                <w:sz w:val="19"/>
              </w:rPr>
              <w:t>备选方案</w:t>
            </w:r>
          </w:p>
        </w:tc>
        <w:tc>
          <w:tcPr>
            <w:tcW w:w="9122" w:type="dxa"/>
          </w:tcPr>
          <w:p>
            <w:pPr>
              <w:pStyle w:val="19"/>
              <w:spacing w:before="60"/>
              <w:ind w:left="220"/>
              <w:rPr>
                <w:rFonts w:hint="eastAsia" w:ascii="宋体" w:hAnsi="宋体" w:eastAsia="宋体" w:cs="宋体"/>
                <w:sz w:val="19"/>
              </w:rPr>
            </w:pPr>
            <w:r>
              <w:rPr>
                <w:rFonts w:hint="eastAsia" w:ascii="宋体" w:hAnsi="宋体" w:eastAsia="宋体" w:cs="宋体"/>
                <w:sz w:val="19"/>
              </w:rPr>
              <w:t>不允许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44"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30"/>
                <w:sz w:val="19"/>
              </w:rPr>
              <w:t>13</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联合体投</w:t>
            </w:r>
          </w:p>
          <w:p>
            <w:pPr>
              <w:pStyle w:val="19"/>
              <w:spacing w:before="141"/>
              <w:ind w:left="100"/>
              <w:rPr>
                <w:rFonts w:hint="eastAsia" w:ascii="宋体" w:hAnsi="宋体" w:eastAsia="宋体" w:cs="宋体"/>
                <w:sz w:val="19"/>
              </w:rPr>
            </w:pPr>
            <w:r>
              <w:rPr>
                <w:rFonts w:hint="eastAsia" w:ascii="宋体" w:hAnsi="宋体" w:eastAsia="宋体" w:cs="宋体"/>
                <w:w w:val="101"/>
                <w:sz w:val="19"/>
              </w:rPr>
              <w:t>标</w:t>
            </w:r>
          </w:p>
        </w:tc>
        <w:tc>
          <w:tcPr>
            <w:tcW w:w="9122"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05"/>
                <w:sz w:val="19"/>
              </w:rPr>
              <w:t>包1： 不接受</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44"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30"/>
                <w:sz w:val="19"/>
              </w:rPr>
              <w:t>14</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代理费用</w:t>
            </w:r>
          </w:p>
          <w:p>
            <w:pPr>
              <w:pStyle w:val="19"/>
              <w:spacing w:before="141"/>
              <w:ind w:left="100"/>
              <w:rPr>
                <w:rFonts w:hint="eastAsia" w:ascii="宋体" w:hAnsi="宋体" w:eastAsia="宋体" w:cs="宋体"/>
                <w:sz w:val="19"/>
              </w:rPr>
            </w:pPr>
            <w:r>
              <w:rPr>
                <w:rFonts w:hint="eastAsia" w:ascii="宋体" w:hAnsi="宋体" w:eastAsia="宋体" w:cs="宋体"/>
                <w:sz w:val="19"/>
              </w:rPr>
              <w:t>收取方式</w:t>
            </w:r>
          </w:p>
        </w:tc>
        <w:tc>
          <w:tcPr>
            <w:tcW w:w="9122"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不收取。</w:t>
            </w:r>
          </w:p>
        </w:tc>
      </w:tr>
    </w:tbl>
    <w:p>
      <w:pPr>
        <w:spacing w:after="0"/>
        <w:rPr>
          <w:rFonts w:hint="eastAsia" w:ascii="宋体" w:hAnsi="宋体" w:eastAsia="宋体" w:cs="宋体"/>
          <w:sz w:val="19"/>
        </w:rPr>
        <w:sectPr>
          <w:pgSz w:w="11900" w:h="16840"/>
          <w:pgMar w:top="900" w:right="560" w:bottom="28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44"/>
        <w:gridCol w:w="984"/>
        <w:gridCol w:w="912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606" w:hRule="atLeast"/>
        </w:trPr>
        <w:tc>
          <w:tcPr>
            <w:tcW w:w="444"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7"/>
              <w:rPr>
                <w:rFonts w:hint="eastAsia" w:ascii="宋体" w:hAnsi="宋体" w:eastAsia="宋体" w:cs="宋体"/>
                <w:b/>
                <w:sz w:val="15"/>
              </w:rPr>
            </w:pPr>
          </w:p>
          <w:p>
            <w:pPr>
              <w:pStyle w:val="19"/>
              <w:spacing w:before="1"/>
              <w:ind w:left="100"/>
              <w:rPr>
                <w:rFonts w:hint="eastAsia" w:ascii="宋体" w:hAnsi="宋体" w:eastAsia="宋体" w:cs="宋体"/>
                <w:sz w:val="19"/>
              </w:rPr>
            </w:pPr>
            <w:r>
              <w:rPr>
                <w:rFonts w:hint="eastAsia" w:ascii="宋体" w:hAnsi="宋体" w:eastAsia="宋体" w:cs="宋体"/>
                <w:w w:val="130"/>
                <w:sz w:val="19"/>
              </w:rPr>
              <w:t>15</w:t>
            </w:r>
          </w:p>
        </w:tc>
        <w:tc>
          <w:tcPr>
            <w:tcW w:w="984" w:type="dxa"/>
          </w:tcPr>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spacing w:before="136" w:line="379" w:lineRule="auto"/>
              <w:ind w:left="100" w:right="98"/>
              <w:rPr>
                <w:rFonts w:hint="eastAsia" w:ascii="宋体" w:hAnsi="宋体" w:eastAsia="宋体" w:cs="宋体"/>
                <w:sz w:val="19"/>
              </w:rPr>
            </w:pPr>
            <w:r>
              <w:rPr>
                <w:rFonts w:hint="eastAsia" w:ascii="宋体" w:hAnsi="宋体" w:eastAsia="宋体" w:cs="宋体"/>
                <w:sz w:val="19"/>
              </w:rPr>
              <w:t>投标保证金</w:t>
            </w:r>
          </w:p>
        </w:tc>
        <w:tc>
          <w:tcPr>
            <w:tcW w:w="9122" w:type="dxa"/>
          </w:tcPr>
          <w:p>
            <w:pPr>
              <w:pStyle w:val="19"/>
              <w:spacing w:before="60" w:line="379" w:lineRule="auto"/>
              <w:ind w:left="100" w:right="133" w:firstLine="420"/>
              <w:rPr>
                <w:rFonts w:hint="eastAsia" w:ascii="宋体" w:hAnsi="宋体" w:eastAsia="宋体" w:cs="宋体"/>
                <w:sz w:val="19"/>
              </w:rPr>
            </w:pPr>
            <w:r>
              <w:rPr>
                <w:rFonts w:hint="eastAsia" w:ascii="宋体" w:hAnsi="宋体" w:eastAsia="宋体" w:cs="宋体"/>
                <w:sz w:val="19"/>
              </w:rPr>
              <w:t>本项目允许投标供应商按照相关法律法规自主选择以支票、汇票、本票或者金融机构、担保机构出具的保函等非现金形式缴纳保证金。</w:t>
            </w:r>
          </w:p>
          <w:p>
            <w:pPr>
              <w:pStyle w:val="19"/>
              <w:spacing w:line="379" w:lineRule="auto"/>
              <w:ind w:left="521" w:right="3038" w:hanging="61"/>
              <w:rPr>
                <w:rFonts w:hint="eastAsia" w:ascii="宋体" w:hAnsi="宋体" w:eastAsia="宋体" w:cs="宋体"/>
                <w:sz w:val="19"/>
              </w:rPr>
            </w:pPr>
            <w:r>
              <w:rPr>
                <w:rFonts w:hint="eastAsia" w:ascii="宋体" w:hAnsi="宋体" w:eastAsia="宋体" w:cs="宋体"/>
                <w:spacing w:val="-2"/>
                <w:sz w:val="19"/>
              </w:rPr>
              <w:t>教师教育实训楼心理实训室教学设备：保证金人民币：</w:t>
            </w:r>
            <w:r>
              <w:rPr>
                <w:rFonts w:hint="eastAsia" w:ascii="宋体" w:hAnsi="宋体" w:eastAsia="宋体" w:cs="宋体"/>
                <w:spacing w:val="-3"/>
                <w:sz w:val="19"/>
              </w:rPr>
              <w:t>0.00</w:t>
            </w:r>
            <w:r>
              <w:rPr>
                <w:rFonts w:hint="eastAsia" w:ascii="宋体" w:hAnsi="宋体" w:eastAsia="宋体" w:cs="宋体"/>
                <w:spacing w:val="-6"/>
                <w:sz w:val="19"/>
              </w:rPr>
              <w:t xml:space="preserve">元整。 </w:t>
            </w:r>
            <w:r>
              <w:rPr>
                <w:rFonts w:hint="eastAsia" w:ascii="宋体" w:hAnsi="宋体" w:eastAsia="宋体" w:cs="宋体"/>
                <w:spacing w:val="-7"/>
                <w:w w:val="110"/>
                <w:sz w:val="19"/>
              </w:rPr>
              <w:t>开户单位： 无</w:t>
            </w:r>
          </w:p>
          <w:p>
            <w:pPr>
              <w:pStyle w:val="19"/>
              <w:spacing w:line="379" w:lineRule="auto"/>
              <w:ind w:left="521" w:right="7371"/>
              <w:rPr>
                <w:rFonts w:hint="eastAsia" w:ascii="宋体" w:hAnsi="宋体" w:eastAsia="宋体" w:cs="宋体"/>
                <w:sz w:val="19"/>
              </w:rPr>
            </w:pPr>
            <w:r>
              <w:rPr>
                <w:rFonts w:hint="eastAsia" w:ascii="宋体" w:hAnsi="宋体" w:eastAsia="宋体" w:cs="宋体"/>
                <w:spacing w:val="-7"/>
                <w:sz w:val="19"/>
              </w:rPr>
              <w:t>开户银行： 无</w:t>
            </w:r>
            <w:r>
              <w:rPr>
                <w:rFonts w:hint="eastAsia" w:ascii="宋体" w:hAnsi="宋体" w:eastAsia="宋体" w:cs="宋体"/>
                <w:spacing w:val="-6"/>
                <w:sz w:val="19"/>
              </w:rPr>
              <w:t>银行账号： 无</w:t>
            </w:r>
          </w:p>
          <w:p>
            <w:pPr>
              <w:pStyle w:val="19"/>
              <w:spacing w:line="242" w:lineRule="exact"/>
              <w:ind w:left="100"/>
              <w:rPr>
                <w:rFonts w:hint="eastAsia" w:ascii="宋体" w:hAnsi="宋体" w:eastAsia="宋体" w:cs="宋体"/>
                <w:sz w:val="19"/>
              </w:rPr>
            </w:pPr>
            <w:r>
              <w:rPr>
                <w:rFonts w:hint="eastAsia" w:ascii="宋体" w:hAnsi="宋体" w:eastAsia="宋体" w:cs="宋体"/>
                <w:sz w:val="19"/>
              </w:rPr>
              <w:t>特别提示：</w:t>
            </w:r>
          </w:p>
          <w:p>
            <w:pPr>
              <w:pStyle w:val="19"/>
              <w:spacing w:before="139" w:line="379" w:lineRule="auto"/>
              <w:ind w:left="100" w:right="169" w:firstLine="420"/>
              <w:jc w:val="both"/>
              <w:rPr>
                <w:rFonts w:hint="eastAsia" w:ascii="宋体" w:hAnsi="宋体" w:eastAsia="宋体" w:cs="宋体"/>
                <w:sz w:val="19"/>
              </w:rPr>
            </w:pPr>
            <w:r>
              <w:rPr>
                <w:rFonts w:hint="eastAsia" w:ascii="宋体" w:hAnsi="宋体" w:eastAsia="宋体" w:cs="宋体"/>
                <w:w w:val="110"/>
                <w:sz w:val="19"/>
              </w:rPr>
              <w:t>1</w:t>
            </w:r>
            <w:r>
              <w:rPr>
                <w:rFonts w:hint="eastAsia" w:ascii="宋体" w:hAnsi="宋体" w:eastAsia="宋体" w:cs="宋体"/>
                <w:sz w:val="19"/>
              </w:rPr>
              <w:t>、投标供应商应认真核对账户信息，将投标保证金足额汇入以上账户，并自行承担因汇错投标保证金而产生的一切后果。投标保证金到账（保函提交）的截止时间与投标截止时间一致，逾期不交者，投标文件将作无效处理。</w:t>
            </w:r>
          </w:p>
          <w:p>
            <w:pPr>
              <w:pStyle w:val="19"/>
              <w:spacing w:line="242" w:lineRule="exact"/>
              <w:ind w:left="521"/>
              <w:rPr>
                <w:rFonts w:hint="eastAsia" w:ascii="宋体" w:hAnsi="宋体" w:eastAsia="宋体" w:cs="宋体"/>
                <w:sz w:val="19"/>
              </w:rPr>
            </w:pPr>
            <w:r>
              <w:rPr>
                <w:rFonts w:hint="eastAsia" w:ascii="宋体" w:hAnsi="宋体" w:eastAsia="宋体" w:cs="宋体"/>
                <w:sz w:val="19"/>
              </w:rPr>
              <w:t>2、投标供应商在转账或电汇的凭证上应按照以下格式注明，以便核对：“（项目编号：***、包组：*</w:t>
            </w:r>
          </w:p>
          <w:p>
            <w:pPr>
              <w:pStyle w:val="19"/>
              <w:spacing w:before="141"/>
              <w:ind w:left="100"/>
              <w:rPr>
                <w:rFonts w:hint="eastAsia" w:ascii="宋体" w:hAnsi="宋体" w:eastAsia="宋体" w:cs="宋体"/>
                <w:sz w:val="19"/>
              </w:rPr>
            </w:pPr>
            <w:r>
              <w:rPr>
                <w:rFonts w:hint="eastAsia" w:ascii="宋体" w:hAnsi="宋体" w:eastAsia="宋体" w:cs="宋体"/>
                <w:sz w:val="19"/>
              </w:rPr>
              <w:t>**）的投标保证金”。</w:t>
            </w:r>
          </w:p>
        </w:tc>
      </w:tr>
    </w:tbl>
    <w:p>
      <w:pPr>
        <w:spacing w:after="0"/>
        <w:rPr>
          <w:rFonts w:hint="eastAsia" w:ascii="宋体" w:hAnsi="宋体" w:eastAsia="宋体" w:cs="宋体"/>
          <w:sz w:val="19"/>
        </w:rPr>
        <w:sectPr>
          <w:pgSz w:w="11900" w:h="16840"/>
          <w:pgMar w:top="560" w:right="560" w:bottom="20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44"/>
        <w:gridCol w:w="984"/>
        <w:gridCol w:w="912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520" w:hRule="atLeast"/>
        </w:trPr>
        <w:tc>
          <w:tcPr>
            <w:tcW w:w="444"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5"/>
              <w:rPr>
                <w:rFonts w:hint="eastAsia" w:ascii="宋体" w:hAnsi="宋体" w:eastAsia="宋体" w:cs="宋体"/>
                <w:b/>
                <w:sz w:val="21"/>
              </w:rPr>
            </w:pPr>
          </w:p>
          <w:p>
            <w:pPr>
              <w:pStyle w:val="19"/>
              <w:ind w:right="84"/>
              <w:jc w:val="right"/>
              <w:rPr>
                <w:rFonts w:hint="eastAsia" w:ascii="宋体" w:hAnsi="宋体" w:eastAsia="宋体" w:cs="宋体"/>
                <w:sz w:val="19"/>
              </w:rPr>
            </w:pPr>
            <w:r>
              <w:rPr>
                <w:rFonts w:hint="eastAsia" w:ascii="宋体" w:hAnsi="宋体" w:eastAsia="宋体" w:cs="宋体"/>
                <w:w w:val="125"/>
                <w:sz w:val="19"/>
              </w:rPr>
              <w:t>16</w:t>
            </w:r>
          </w:p>
        </w:tc>
        <w:tc>
          <w:tcPr>
            <w:tcW w:w="984" w:type="dxa"/>
          </w:tcPr>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rPr>
                <w:rFonts w:hint="eastAsia" w:ascii="宋体" w:hAnsi="宋体" w:eastAsia="宋体" w:cs="宋体"/>
                <w:b/>
                <w:sz w:val="18"/>
              </w:rPr>
            </w:pPr>
          </w:p>
          <w:p>
            <w:pPr>
              <w:pStyle w:val="19"/>
              <w:spacing w:before="133" w:line="379" w:lineRule="auto"/>
              <w:ind w:left="100" w:right="98"/>
              <w:rPr>
                <w:rFonts w:hint="eastAsia" w:ascii="宋体" w:hAnsi="宋体" w:eastAsia="宋体" w:cs="宋体"/>
                <w:sz w:val="19"/>
              </w:rPr>
            </w:pPr>
            <w:r>
              <w:rPr>
                <w:rFonts w:hint="eastAsia" w:ascii="宋体" w:hAnsi="宋体" w:eastAsia="宋体" w:cs="宋体"/>
                <w:sz w:val="19"/>
              </w:rPr>
              <w:t>电子招投标</w:t>
            </w:r>
          </w:p>
        </w:tc>
        <w:tc>
          <w:tcPr>
            <w:tcW w:w="9122" w:type="dxa"/>
          </w:tcPr>
          <w:p>
            <w:pPr>
              <w:pStyle w:val="19"/>
              <w:spacing w:before="60" w:line="379" w:lineRule="auto"/>
              <w:ind w:left="100" w:right="169" w:firstLine="480"/>
              <w:rPr>
                <w:rFonts w:hint="eastAsia" w:ascii="宋体" w:hAnsi="宋体" w:eastAsia="宋体" w:cs="宋体"/>
                <w:sz w:val="19"/>
              </w:rPr>
            </w:pPr>
            <w:r>
              <w:rPr>
                <w:rFonts w:hint="eastAsia" w:ascii="宋体" w:hAnsi="宋体" w:eastAsia="宋体" w:cs="宋体"/>
                <w:sz w:val="19"/>
              </w:rPr>
              <w:t>各供应商应当在投标截止时间前上传加密的电子响应文件至</w:t>
            </w:r>
            <w:r>
              <w:rPr>
                <w:rFonts w:hint="eastAsia" w:ascii="宋体" w:hAnsi="宋体" w:eastAsia="宋体" w:cs="宋体"/>
                <w:spacing w:val="-4"/>
                <w:sz w:val="19"/>
              </w:rPr>
              <w:t>“</w:t>
            </w:r>
            <w:r>
              <w:rPr>
                <w:rFonts w:hint="eastAsia" w:ascii="宋体" w:hAnsi="宋体" w:eastAsia="宋体" w:cs="宋体"/>
                <w:sz w:val="19"/>
              </w:rPr>
              <w:t xml:space="preserve">黑龙江省政府采购网”，未在投标截止 </w:t>
            </w:r>
            <w:r>
              <w:rPr>
                <w:rFonts w:hint="eastAsia" w:ascii="宋体" w:hAnsi="宋体" w:eastAsia="宋体" w:cs="宋体"/>
                <w:spacing w:val="-1"/>
                <w:sz w:val="19"/>
              </w:rPr>
              <w:t>时间前上传电子响应文件的，视为自动放弃投标。供应商因系统或网络问题无法上传电子响应文件时，请</w:t>
            </w:r>
            <w:r>
              <w:rPr>
                <w:rFonts w:hint="eastAsia" w:ascii="宋体" w:hAnsi="宋体" w:eastAsia="宋体" w:cs="宋体"/>
                <w:w w:val="110"/>
                <w:sz w:val="19"/>
              </w:rPr>
              <w:t>在工作时间及时拨打联系电话</w:t>
            </w:r>
            <w:r>
              <w:rPr>
                <w:rFonts w:hint="eastAsia" w:ascii="宋体" w:hAnsi="宋体" w:eastAsia="宋体" w:cs="宋体"/>
                <w:spacing w:val="-3"/>
                <w:w w:val="110"/>
                <w:sz w:val="19"/>
              </w:rPr>
              <w:t>4009985566</w:t>
            </w:r>
            <w:r>
              <w:rPr>
                <w:rFonts w:hint="eastAsia" w:ascii="宋体" w:hAnsi="宋体" w:eastAsia="宋体" w:cs="宋体"/>
                <w:w w:val="110"/>
                <w:sz w:val="19"/>
              </w:rPr>
              <w:t>按</w:t>
            </w:r>
            <w:r>
              <w:rPr>
                <w:rFonts w:hint="eastAsia" w:ascii="宋体" w:hAnsi="宋体" w:eastAsia="宋体" w:cs="宋体"/>
                <w:spacing w:val="-3"/>
                <w:w w:val="110"/>
                <w:sz w:val="19"/>
              </w:rPr>
              <w:t>5</w:t>
            </w:r>
            <w:r>
              <w:rPr>
                <w:rFonts w:hint="eastAsia" w:ascii="宋体" w:hAnsi="宋体" w:eastAsia="宋体" w:cs="宋体"/>
                <w:w w:val="110"/>
                <w:sz w:val="19"/>
              </w:rPr>
              <w:t>转</w:t>
            </w:r>
            <w:r>
              <w:rPr>
                <w:rFonts w:hint="eastAsia" w:ascii="宋体" w:hAnsi="宋体" w:eastAsia="宋体" w:cs="宋体"/>
                <w:spacing w:val="-3"/>
                <w:w w:val="110"/>
                <w:sz w:val="19"/>
              </w:rPr>
              <w:t>1</w:t>
            </w:r>
            <w:r>
              <w:rPr>
                <w:rFonts w:hint="eastAsia" w:ascii="宋体" w:hAnsi="宋体" w:eastAsia="宋体" w:cs="宋体"/>
                <w:w w:val="110"/>
                <w:sz w:val="19"/>
              </w:rPr>
              <w:t>号键。</w:t>
            </w:r>
          </w:p>
          <w:p>
            <w:pPr>
              <w:pStyle w:val="19"/>
              <w:spacing w:line="242" w:lineRule="exact"/>
              <w:ind w:left="587"/>
              <w:rPr>
                <w:rFonts w:hint="eastAsia" w:ascii="宋体" w:hAnsi="宋体" w:eastAsia="宋体" w:cs="宋体"/>
                <w:sz w:val="19"/>
              </w:rPr>
            </w:pPr>
            <w:r>
              <w:rPr>
                <w:rFonts w:hint="eastAsia" w:ascii="宋体" w:hAnsi="宋体" w:eastAsia="宋体" w:cs="宋体"/>
                <w:b/>
                <w:spacing w:val="12"/>
                <w:sz w:val="19"/>
              </w:rPr>
              <w:t>不见面开标（远程开标</w:t>
            </w:r>
            <w:r>
              <w:rPr>
                <w:rFonts w:hint="eastAsia" w:ascii="宋体" w:hAnsi="宋体" w:eastAsia="宋体" w:cs="宋体"/>
                <w:b/>
                <w:sz w:val="19"/>
              </w:rPr>
              <w:t>）</w:t>
            </w:r>
            <w:r>
              <w:rPr>
                <w:rFonts w:hint="eastAsia" w:ascii="宋体" w:hAnsi="宋体" w:eastAsia="宋体" w:cs="宋体"/>
                <w:b/>
                <w:spacing w:val="-78"/>
                <w:sz w:val="19"/>
              </w:rPr>
              <w:t xml:space="preserve"> </w:t>
            </w:r>
            <w:r>
              <w:rPr>
                <w:rFonts w:hint="eastAsia" w:ascii="宋体" w:hAnsi="宋体" w:eastAsia="宋体" w:cs="宋体"/>
                <w:sz w:val="19"/>
              </w:rPr>
              <w:t>：</w:t>
            </w:r>
          </w:p>
          <w:p>
            <w:pPr>
              <w:pStyle w:val="19"/>
              <w:numPr>
                <w:ilvl w:val="0"/>
                <w:numId w:val="12"/>
              </w:numPr>
              <w:tabs>
                <w:tab w:val="left" w:pos="895"/>
              </w:tabs>
              <w:spacing w:before="141" w:after="0" w:line="240" w:lineRule="auto"/>
              <w:ind w:left="894" w:right="0" w:hanging="314"/>
              <w:jc w:val="left"/>
              <w:rPr>
                <w:rFonts w:hint="eastAsia" w:ascii="宋体" w:hAnsi="宋体" w:eastAsia="宋体" w:cs="宋体"/>
                <w:sz w:val="19"/>
              </w:rPr>
            </w:pPr>
            <w:r>
              <w:rPr>
                <w:rFonts w:hint="eastAsia" w:ascii="宋体" w:hAnsi="宋体" w:eastAsia="宋体" w:cs="宋体"/>
                <w:sz w:val="19"/>
              </w:rPr>
              <w:t>项目采用不见面开标（网上开标），如在开标过程中出现意外情况导致无法继续进行电子开标时</w:t>
            </w:r>
          </w:p>
          <w:p>
            <w:pPr>
              <w:pStyle w:val="19"/>
              <w:spacing w:before="141" w:line="379" w:lineRule="auto"/>
              <w:ind w:left="100" w:right="169"/>
              <w:rPr>
                <w:rFonts w:hint="eastAsia" w:ascii="宋体" w:hAnsi="宋体" w:eastAsia="宋体" w:cs="宋体"/>
                <w:sz w:val="19"/>
              </w:rPr>
            </w:pPr>
            <w:r>
              <w:rPr>
                <w:rFonts w:hint="eastAsia" w:ascii="宋体" w:hAnsi="宋体" w:eastAsia="宋体" w:cs="宋体"/>
                <w:sz w:val="19"/>
              </w:rPr>
              <w:t>，将会由开标负责人视情况来决定是否允许供应商导入非加密电子响应文件继续开标。本项目采用电子评标（网上评标），只对通过开标环节验证的电子响应文件进行评审。</w:t>
            </w:r>
          </w:p>
          <w:p>
            <w:pPr>
              <w:pStyle w:val="19"/>
              <w:numPr>
                <w:ilvl w:val="0"/>
                <w:numId w:val="12"/>
              </w:numPr>
              <w:tabs>
                <w:tab w:val="left" w:pos="895"/>
              </w:tabs>
              <w:spacing w:before="0" w:after="0" w:line="379" w:lineRule="auto"/>
              <w:ind w:left="100" w:right="145" w:firstLine="480"/>
              <w:jc w:val="left"/>
              <w:rPr>
                <w:rFonts w:hint="eastAsia" w:ascii="宋体" w:hAnsi="宋体" w:eastAsia="宋体" w:cs="宋体"/>
                <w:sz w:val="19"/>
              </w:rPr>
            </w:pPr>
            <w:r>
              <w:rPr>
                <w:rFonts w:hint="eastAsia" w:ascii="宋体" w:hAnsi="宋体" w:eastAsia="宋体" w:cs="宋体"/>
                <w:sz w:val="19"/>
              </w:rPr>
              <w:t>电子响应文件是指通过投标客户端编制，在电子响应文件中，涉及</w:t>
            </w:r>
            <w:r>
              <w:rPr>
                <w:rFonts w:hint="eastAsia" w:ascii="宋体" w:hAnsi="宋体" w:eastAsia="宋体" w:cs="宋体"/>
                <w:spacing w:val="-4"/>
                <w:sz w:val="19"/>
              </w:rPr>
              <w:t>“</w:t>
            </w:r>
            <w:r>
              <w:rPr>
                <w:rFonts w:hint="eastAsia" w:ascii="宋体" w:hAnsi="宋体" w:eastAsia="宋体" w:cs="宋体"/>
                <w:sz w:val="19"/>
              </w:rPr>
              <w:t>加盖公章</w:t>
            </w:r>
            <w:r>
              <w:rPr>
                <w:rFonts w:hint="eastAsia" w:ascii="宋体" w:hAnsi="宋体" w:eastAsia="宋体" w:cs="宋体"/>
                <w:spacing w:val="-4"/>
                <w:sz w:val="19"/>
              </w:rPr>
              <w:t>”</w:t>
            </w:r>
            <w:r>
              <w:rPr>
                <w:rFonts w:hint="eastAsia" w:ascii="宋体" w:hAnsi="宋体" w:eastAsia="宋体" w:cs="宋体"/>
                <w:spacing w:val="-2"/>
                <w:sz w:val="19"/>
              </w:rPr>
              <w:t>的内容应使用单位</w:t>
            </w:r>
            <w:r>
              <w:rPr>
                <w:rFonts w:hint="eastAsia" w:ascii="宋体" w:hAnsi="宋体" w:eastAsia="宋体" w:cs="宋体"/>
                <w:sz w:val="19"/>
              </w:rPr>
              <w:t>电子公章完成。加密后，成功上传至黑龙江省政府采购网的最终版指定格式电子响应文件。</w:t>
            </w:r>
          </w:p>
          <w:p>
            <w:pPr>
              <w:pStyle w:val="19"/>
              <w:numPr>
                <w:ilvl w:val="0"/>
                <w:numId w:val="12"/>
              </w:numPr>
              <w:tabs>
                <w:tab w:val="left" w:pos="895"/>
              </w:tabs>
              <w:spacing w:before="0" w:after="0" w:line="379" w:lineRule="auto"/>
              <w:ind w:left="100" w:right="145" w:firstLine="480"/>
              <w:jc w:val="left"/>
              <w:rPr>
                <w:rFonts w:hint="eastAsia" w:ascii="宋体" w:hAnsi="宋体" w:eastAsia="宋体" w:cs="宋体"/>
                <w:sz w:val="19"/>
              </w:rPr>
            </w:pPr>
            <w:r>
              <w:rPr>
                <w:rFonts w:hint="eastAsia" w:ascii="宋体" w:hAnsi="宋体" w:eastAsia="宋体" w:cs="宋体"/>
                <w:spacing w:val="-1"/>
                <w:sz w:val="19"/>
              </w:rPr>
              <w:t>使用投标客户端，经过编制、签章，在生成加密响应文件时，会同时生成非加密响应文件，供应</w:t>
            </w:r>
            <w:r>
              <w:rPr>
                <w:rFonts w:hint="eastAsia" w:ascii="宋体" w:hAnsi="宋体" w:eastAsia="宋体" w:cs="宋体"/>
                <w:sz w:val="19"/>
              </w:rPr>
              <w:t>商请自行留存。</w:t>
            </w:r>
          </w:p>
          <w:p>
            <w:pPr>
              <w:pStyle w:val="19"/>
              <w:numPr>
                <w:ilvl w:val="0"/>
                <w:numId w:val="12"/>
              </w:numPr>
              <w:tabs>
                <w:tab w:val="left" w:pos="895"/>
              </w:tabs>
              <w:spacing w:before="0" w:after="0" w:line="379" w:lineRule="auto"/>
              <w:ind w:left="100" w:right="145" w:firstLine="480"/>
              <w:jc w:val="left"/>
              <w:rPr>
                <w:rFonts w:hint="eastAsia" w:ascii="宋体" w:hAnsi="宋体" w:eastAsia="宋体" w:cs="宋体"/>
                <w:sz w:val="19"/>
              </w:rPr>
            </w:pPr>
            <w:r>
              <w:rPr>
                <w:rFonts w:hint="eastAsia" w:ascii="宋体" w:hAnsi="宋体" w:eastAsia="宋体" w:cs="宋体"/>
                <w:spacing w:val="-1"/>
                <w:sz w:val="19"/>
              </w:rPr>
              <w:t>供应商的法定代表人或其授权代表应当按照本采购公告载明的时间和模式等要求参加开标，在开</w:t>
            </w:r>
            <w:r>
              <w:rPr>
                <w:rFonts w:hint="eastAsia" w:ascii="宋体" w:hAnsi="宋体" w:eastAsia="宋体" w:cs="宋体"/>
                <w:w w:val="110"/>
                <w:sz w:val="19"/>
              </w:rPr>
              <w:t>标时间前</w:t>
            </w:r>
            <w:r>
              <w:rPr>
                <w:rFonts w:hint="eastAsia" w:ascii="宋体" w:hAnsi="宋体" w:eastAsia="宋体" w:cs="宋体"/>
                <w:spacing w:val="-3"/>
                <w:w w:val="110"/>
                <w:sz w:val="19"/>
              </w:rPr>
              <w:t>30</w:t>
            </w:r>
            <w:r>
              <w:rPr>
                <w:rFonts w:hint="eastAsia" w:ascii="宋体" w:hAnsi="宋体" w:eastAsia="宋体" w:cs="宋体"/>
                <w:w w:val="110"/>
                <w:sz w:val="19"/>
              </w:rPr>
              <w:t>分钟，应当提前登录开标系统进行签到，填写联系人姓名与联系号码。</w:t>
            </w:r>
          </w:p>
          <w:p>
            <w:pPr>
              <w:pStyle w:val="19"/>
              <w:numPr>
                <w:ilvl w:val="0"/>
                <w:numId w:val="12"/>
              </w:numPr>
              <w:tabs>
                <w:tab w:val="left" w:pos="895"/>
              </w:tabs>
              <w:spacing w:before="0" w:after="0" w:line="379" w:lineRule="auto"/>
              <w:ind w:left="100" w:right="97" w:firstLine="480"/>
              <w:jc w:val="left"/>
              <w:rPr>
                <w:rFonts w:hint="eastAsia" w:ascii="宋体" w:hAnsi="宋体" w:eastAsia="宋体" w:cs="宋体"/>
                <w:sz w:val="19"/>
              </w:rPr>
            </w:pPr>
            <w:r>
              <w:rPr>
                <w:rFonts w:hint="eastAsia" w:ascii="宋体" w:hAnsi="宋体" w:eastAsia="宋体" w:cs="宋体"/>
                <w:spacing w:val="2"/>
                <w:sz w:val="19"/>
              </w:rPr>
              <w:t xml:space="preserve">开标时供应商应当使用 </w:t>
            </w:r>
            <w:r>
              <w:rPr>
                <w:rFonts w:hint="eastAsia" w:ascii="宋体" w:hAnsi="宋体" w:eastAsia="宋体" w:cs="宋体"/>
                <w:sz w:val="19"/>
              </w:rPr>
              <w:t>CA</w:t>
            </w:r>
            <w:r>
              <w:rPr>
                <w:rFonts w:hint="eastAsia" w:ascii="宋体" w:hAnsi="宋体" w:eastAsia="宋体" w:cs="宋体"/>
                <w:spacing w:val="10"/>
                <w:sz w:val="19"/>
              </w:rPr>
              <w:t xml:space="preserve"> </w:t>
            </w:r>
            <w:r>
              <w:rPr>
                <w:rFonts w:hint="eastAsia" w:ascii="宋体" w:hAnsi="宋体" w:eastAsia="宋体" w:cs="宋体"/>
                <w:sz w:val="19"/>
              </w:rPr>
              <w:t>锁在开始解密后</w:t>
            </w:r>
            <w:r>
              <w:rPr>
                <w:rFonts w:hint="eastAsia" w:ascii="宋体" w:hAnsi="宋体" w:eastAsia="宋体" w:cs="宋体"/>
                <w:spacing w:val="-3"/>
                <w:sz w:val="19"/>
              </w:rPr>
              <w:t>30</w:t>
            </w:r>
            <w:r>
              <w:rPr>
                <w:rFonts w:hint="eastAsia" w:ascii="宋体" w:hAnsi="宋体" w:eastAsia="宋体" w:cs="宋体"/>
                <w:spacing w:val="-1"/>
                <w:sz w:val="19"/>
              </w:rPr>
              <w:t>分钟内完成响应文件在线解密，若出现系统异常情</w:t>
            </w:r>
            <w:r>
              <w:rPr>
                <w:rFonts w:hint="eastAsia" w:ascii="宋体" w:hAnsi="宋体" w:eastAsia="宋体" w:cs="宋体"/>
                <w:sz w:val="19"/>
              </w:rPr>
              <w:t>况，工作人员可适当延长解密时长。（请各供应商在参加开标以前自行对使用电脑的网络环境、驱动安装</w:t>
            </w:r>
          </w:p>
          <w:p>
            <w:pPr>
              <w:pStyle w:val="19"/>
              <w:spacing w:line="242" w:lineRule="exact"/>
              <w:ind w:left="100"/>
              <w:rPr>
                <w:rFonts w:hint="eastAsia" w:ascii="宋体" w:hAnsi="宋体" w:eastAsia="宋体" w:cs="宋体"/>
                <w:sz w:val="19"/>
              </w:rPr>
            </w:pPr>
            <w:r>
              <w:rPr>
                <w:rFonts w:hint="eastAsia" w:ascii="宋体" w:hAnsi="宋体" w:eastAsia="宋体" w:cs="宋体"/>
                <w:sz w:val="19"/>
              </w:rPr>
              <w:t>、客户端安装以及CA锁的有效性等进行检测，保证可以正常使用。具体环境要求详见操作手册）</w:t>
            </w:r>
          </w:p>
          <w:p>
            <w:pPr>
              <w:pStyle w:val="19"/>
              <w:numPr>
                <w:ilvl w:val="0"/>
                <w:numId w:val="12"/>
              </w:numPr>
              <w:tabs>
                <w:tab w:val="left" w:pos="895"/>
              </w:tabs>
              <w:spacing w:before="136" w:after="0" w:line="379" w:lineRule="auto"/>
              <w:ind w:left="100" w:right="145" w:firstLine="480"/>
              <w:jc w:val="left"/>
              <w:rPr>
                <w:rFonts w:hint="eastAsia" w:ascii="宋体" w:hAnsi="宋体" w:eastAsia="宋体" w:cs="宋体"/>
                <w:sz w:val="19"/>
              </w:rPr>
            </w:pPr>
            <w:r>
              <w:rPr>
                <w:rFonts w:hint="eastAsia" w:ascii="宋体" w:hAnsi="宋体" w:eastAsia="宋体" w:cs="宋体"/>
                <w:spacing w:val="-1"/>
                <w:sz w:val="19"/>
              </w:rPr>
              <w:t>开标时出现下列情况的，将视为逾期送达或者未按照磋商文件要求密封的响应文件，采购人、采</w:t>
            </w:r>
            <w:r>
              <w:rPr>
                <w:rFonts w:hint="eastAsia" w:ascii="宋体" w:hAnsi="宋体" w:eastAsia="宋体" w:cs="宋体"/>
                <w:sz w:val="19"/>
              </w:rPr>
              <w:t>购代理机构应当视为投标无效处理。</w:t>
            </w:r>
          </w:p>
          <w:p>
            <w:pPr>
              <w:pStyle w:val="19"/>
              <w:numPr>
                <w:ilvl w:val="0"/>
                <w:numId w:val="13"/>
              </w:numPr>
              <w:tabs>
                <w:tab w:val="left" w:pos="1146"/>
              </w:tabs>
              <w:spacing w:before="0" w:after="0" w:line="242" w:lineRule="exact"/>
              <w:ind w:left="1145" w:right="0" w:hanging="565"/>
              <w:jc w:val="left"/>
              <w:rPr>
                <w:rFonts w:hint="eastAsia" w:ascii="宋体" w:hAnsi="宋体" w:eastAsia="宋体" w:cs="宋体"/>
                <w:sz w:val="19"/>
              </w:rPr>
            </w:pPr>
            <w:r>
              <w:rPr>
                <w:rFonts w:hint="eastAsia" w:ascii="宋体" w:hAnsi="宋体" w:eastAsia="宋体" w:cs="宋体"/>
                <w:sz w:val="19"/>
              </w:rPr>
              <w:t>供应商未按谈判文件要求参加远程开标会的；</w:t>
            </w:r>
          </w:p>
          <w:p>
            <w:pPr>
              <w:pStyle w:val="19"/>
              <w:numPr>
                <w:ilvl w:val="0"/>
                <w:numId w:val="13"/>
              </w:numPr>
              <w:tabs>
                <w:tab w:val="left" w:pos="1146"/>
              </w:tabs>
              <w:spacing w:before="141" w:after="0" w:line="240" w:lineRule="auto"/>
              <w:ind w:left="1145" w:right="0" w:hanging="565"/>
              <w:jc w:val="left"/>
              <w:rPr>
                <w:rFonts w:hint="eastAsia" w:ascii="宋体" w:hAnsi="宋体" w:eastAsia="宋体" w:cs="宋体"/>
                <w:sz w:val="19"/>
              </w:rPr>
            </w:pPr>
            <w:r>
              <w:rPr>
                <w:rFonts w:hint="eastAsia" w:ascii="宋体" w:hAnsi="宋体" w:eastAsia="宋体" w:cs="宋体"/>
                <w:sz w:val="19"/>
              </w:rPr>
              <w:t>供应商未在规定时间内完成电子响应文件在线解密；</w:t>
            </w:r>
          </w:p>
          <w:p>
            <w:pPr>
              <w:pStyle w:val="19"/>
              <w:numPr>
                <w:ilvl w:val="0"/>
                <w:numId w:val="13"/>
              </w:numPr>
              <w:tabs>
                <w:tab w:val="left" w:pos="1146"/>
              </w:tabs>
              <w:spacing w:before="140" w:after="0" w:line="240" w:lineRule="auto"/>
              <w:ind w:left="1145" w:right="0" w:hanging="565"/>
              <w:jc w:val="left"/>
              <w:rPr>
                <w:rFonts w:hint="eastAsia" w:ascii="宋体" w:hAnsi="宋体" w:eastAsia="宋体" w:cs="宋体"/>
                <w:sz w:val="19"/>
              </w:rPr>
            </w:pPr>
            <w:r>
              <w:rPr>
                <w:rFonts w:hint="eastAsia" w:ascii="宋体" w:hAnsi="宋体" w:eastAsia="宋体" w:cs="宋体"/>
                <w:sz w:val="19"/>
              </w:rPr>
              <w:t>经检查数字证书无效的响应文件；</w:t>
            </w:r>
          </w:p>
          <w:p>
            <w:pPr>
              <w:pStyle w:val="19"/>
              <w:numPr>
                <w:ilvl w:val="0"/>
                <w:numId w:val="13"/>
              </w:numPr>
              <w:tabs>
                <w:tab w:val="left" w:pos="1146"/>
              </w:tabs>
              <w:spacing w:before="141" w:after="0" w:line="240" w:lineRule="auto"/>
              <w:ind w:left="1145" w:right="0" w:hanging="565"/>
              <w:jc w:val="left"/>
              <w:rPr>
                <w:rFonts w:hint="eastAsia" w:ascii="宋体" w:hAnsi="宋体" w:eastAsia="宋体" w:cs="宋体"/>
                <w:sz w:val="19"/>
              </w:rPr>
            </w:pPr>
            <w:r>
              <w:rPr>
                <w:rFonts w:hint="eastAsia" w:ascii="宋体" w:hAnsi="宋体" w:eastAsia="宋体" w:cs="宋体"/>
                <w:sz w:val="19"/>
              </w:rPr>
              <w:t>供应商自身原因造成电子响应文件未能解密的。</w:t>
            </w:r>
          </w:p>
          <w:p>
            <w:pPr>
              <w:pStyle w:val="19"/>
              <w:numPr>
                <w:ilvl w:val="0"/>
                <w:numId w:val="14"/>
              </w:numPr>
              <w:tabs>
                <w:tab w:val="left" w:pos="764"/>
              </w:tabs>
              <w:spacing w:before="141" w:after="0" w:line="379" w:lineRule="auto"/>
              <w:ind w:left="100" w:right="157" w:firstLine="480"/>
              <w:jc w:val="left"/>
              <w:rPr>
                <w:rFonts w:hint="eastAsia" w:ascii="宋体" w:hAnsi="宋体" w:eastAsia="宋体" w:cs="宋体"/>
                <w:sz w:val="19"/>
              </w:rPr>
            </w:pPr>
            <w:r>
              <w:rPr>
                <w:rFonts w:hint="eastAsia" w:ascii="宋体" w:hAnsi="宋体" w:eastAsia="宋体" w:cs="宋体"/>
                <w:sz w:val="19"/>
              </w:rPr>
              <w:t>供应商必须保证在规定时间内完成已投项目的电子响应文件解密</w:t>
            </w:r>
            <w:r>
              <w:rPr>
                <w:rFonts w:hint="eastAsia" w:ascii="宋体" w:hAnsi="宋体" w:eastAsia="宋体" w:cs="宋体"/>
                <w:spacing w:val="26"/>
                <w:w w:val="140"/>
                <w:sz w:val="19"/>
              </w:rPr>
              <w:t xml:space="preserve">, </w:t>
            </w:r>
            <w:r>
              <w:rPr>
                <w:rFonts w:hint="eastAsia" w:ascii="宋体" w:hAnsi="宋体" w:eastAsia="宋体" w:cs="宋体"/>
                <w:spacing w:val="-2"/>
                <w:sz w:val="19"/>
              </w:rPr>
              <w:t xml:space="preserve">并在规定时间内进行签章确认， </w:t>
            </w:r>
            <w:r>
              <w:rPr>
                <w:rFonts w:hint="eastAsia" w:ascii="宋体" w:hAnsi="宋体" w:eastAsia="宋体" w:cs="宋体"/>
                <w:sz w:val="19"/>
              </w:rPr>
              <w:t>未在规定时间内签章的，视同接受开标结果。</w:t>
            </w:r>
          </w:p>
          <w:p>
            <w:pPr>
              <w:pStyle w:val="19"/>
              <w:numPr>
                <w:ilvl w:val="0"/>
                <w:numId w:val="14"/>
              </w:numPr>
              <w:tabs>
                <w:tab w:val="left" w:pos="764"/>
              </w:tabs>
              <w:spacing w:before="0" w:after="0" w:line="379" w:lineRule="auto"/>
              <w:ind w:left="100" w:right="85" w:firstLine="480"/>
              <w:jc w:val="left"/>
              <w:rPr>
                <w:rFonts w:hint="eastAsia" w:ascii="宋体" w:hAnsi="宋体" w:eastAsia="宋体" w:cs="宋体"/>
                <w:sz w:val="19"/>
              </w:rPr>
            </w:pPr>
            <w:r>
              <w:rPr>
                <w:rFonts w:hint="eastAsia" w:ascii="宋体" w:hAnsi="宋体" w:eastAsia="宋体" w:cs="宋体"/>
                <w:spacing w:val="-1"/>
                <w:sz w:val="19"/>
              </w:rPr>
              <w:t>本项目采用远程磋商的方式进行磋商，供应商的法定代表人或其授权代表应当按照磋商小组确定的</w:t>
            </w:r>
            <w:r>
              <w:rPr>
                <w:rFonts w:hint="eastAsia" w:ascii="宋体" w:hAnsi="宋体" w:eastAsia="宋体" w:cs="宋体"/>
                <w:sz w:val="19"/>
              </w:rPr>
              <w:t>时间和顺序进行磋商。磋商小组或工作人员按照供应商所登记的联系人和联系电话通知磋商时间或磋商的有关事项，若无法取得联系或未在规定时间内进行应答或报价的，将视为其自动放弃，按无效投标处理。</w:t>
            </w:r>
          </w:p>
          <w:p>
            <w:pPr>
              <w:pStyle w:val="19"/>
              <w:spacing w:line="379" w:lineRule="auto"/>
              <w:ind w:left="100" w:right="97"/>
              <w:rPr>
                <w:rFonts w:hint="eastAsia" w:ascii="宋体" w:hAnsi="宋体" w:eastAsia="宋体" w:cs="宋体"/>
                <w:sz w:val="19"/>
              </w:rPr>
            </w:pPr>
            <w:r>
              <w:rPr>
                <w:rFonts w:hint="eastAsia" w:ascii="宋体" w:hAnsi="宋体" w:eastAsia="宋体" w:cs="宋体"/>
                <w:sz w:val="19"/>
              </w:rPr>
              <w:t>（请各供应商在参加磋商和报价以前自行对使用电脑的网络环境、驱动安装、客户端安装以及CA证书的有效性等进行检测，保证可以正式使用。具体环境要求详见操作手册）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33" w:hRule="atLeast"/>
        </w:trPr>
        <w:tc>
          <w:tcPr>
            <w:tcW w:w="444" w:type="dxa"/>
          </w:tcPr>
          <w:p>
            <w:pPr>
              <w:pStyle w:val="19"/>
              <w:rPr>
                <w:rFonts w:hint="eastAsia" w:ascii="宋体" w:hAnsi="宋体" w:eastAsia="宋体" w:cs="宋体"/>
                <w:b/>
                <w:sz w:val="22"/>
              </w:rPr>
            </w:pPr>
          </w:p>
          <w:p>
            <w:pPr>
              <w:pStyle w:val="19"/>
              <w:spacing w:before="8"/>
              <w:rPr>
                <w:rFonts w:hint="eastAsia" w:ascii="宋体" w:hAnsi="宋体" w:eastAsia="宋体" w:cs="宋体"/>
                <w:b/>
                <w:sz w:val="27"/>
              </w:rPr>
            </w:pPr>
          </w:p>
          <w:p>
            <w:pPr>
              <w:pStyle w:val="19"/>
              <w:spacing w:before="1"/>
              <w:ind w:right="84"/>
              <w:jc w:val="right"/>
              <w:rPr>
                <w:rFonts w:hint="eastAsia" w:ascii="宋体" w:hAnsi="宋体" w:eastAsia="宋体" w:cs="宋体"/>
                <w:sz w:val="19"/>
              </w:rPr>
            </w:pPr>
            <w:r>
              <w:rPr>
                <w:rFonts w:hint="eastAsia" w:ascii="宋体" w:hAnsi="宋体" w:eastAsia="宋体" w:cs="宋体"/>
                <w:w w:val="125"/>
                <w:sz w:val="19"/>
              </w:rPr>
              <w:t>17</w:t>
            </w:r>
          </w:p>
        </w:tc>
        <w:tc>
          <w:tcPr>
            <w:tcW w:w="984" w:type="dxa"/>
          </w:tcPr>
          <w:p>
            <w:pPr>
              <w:pStyle w:val="19"/>
              <w:spacing w:before="60" w:line="379" w:lineRule="auto"/>
              <w:ind w:left="100" w:right="98"/>
              <w:rPr>
                <w:rFonts w:hint="eastAsia" w:ascii="宋体" w:hAnsi="宋体" w:eastAsia="宋体" w:cs="宋体"/>
                <w:sz w:val="19"/>
              </w:rPr>
            </w:pPr>
            <w:r>
              <w:rPr>
                <w:rFonts w:hint="eastAsia" w:ascii="宋体" w:hAnsi="宋体" w:eastAsia="宋体" w:cs="宋体"/>
                <w:spacing w:val="-5"/>
                <w:sz w:val="19"/>
              </w:rPr>
              <w:t>电子响应文件签字</w:t>
            </w:r>
          </w:p>
          <w:p>
            <w:pPr>
              <w:pStyle w:val="19"/>
              <w:spacing w:line="242" w:lineRule="exact"/>
              <w:ind w:left="100"/>
              <w:rPr>
                <w:rFonts w:hint="eastAsia" w:ascii="宋体" w:hAnsi="宋体" w:eastAsia="宋体" w:cs="宋体"/>
                <w:sz w:val="19"/>
              </w:rPr>
            </w:pPr>
            <w:r>
              <w:rPr>
                <w:rFonts w:hint="eastAsia" w:ascii="宋体" w:hAnsi="宋体" w:eastAsia="宋体" w:cs="宋体"/>
                <w:sz w:val="19"/>
              </w:rPr>
              <w:t>、盖章要</w:t>
            </w:r>
          </w:p>
          <w:p>
            <w:pPr>
              <w:pStyle w:val="19"/>
              <w:spacing w:before="141"/>
              <w:ind w:left="100"/>
              <w:rPr>
                <w:rFonts w:hint="eastAsia" w:ascii="宋体" w:hAnsi="宋体" w:eastAsia="宋体" w:cs="宋体"/>
                <w:sz w:val="19"/>
              </w:rPr>
            </w:pPr>
            <w:r>
              <w:rPr>
                <w:rFonts w:hint="eastAsia" w:ascii="宋体" w:hAnsi="宋体" w:eastAsia="宋体" w:cs="宋体"/>
                <w:w w:val="101"/>
                <w:sz w:val="19"/>
              </w:rPr>
              <w:t>求</w:t>
            </w:r>
          </w:p>
        </w:tc>
        <w:tc>
          <w:tcPr>
            <w:tcW w:w="9122" w:type="dxa"/>
          </w:tcPr>
          <w:p>
            <w:pPr>
              <w:pStyle w:val="19"/>
              <w:rPr>
                <w:rFonts w:hint="eastAsia" w:ascii="宋体" w:hAnsi="宋体" w:eastAsia="宋体" w:cs="宋体"/>
                <w:b/>
                <w:sz w:val="22"/>
              </w:rPr>
            </w:pPr>
          </w:p>
          <w:p>
            <w:pPr>
              <w:pStyle w:val="19"/>
              <w:spacing w:before="163"/>
              <w:ind w:left="461"/>
              <w:rPr>
                <w:rFonts w:hint="eastAsia" w:ascii="宋体" w:hAnsi="宋体" w:eastAsia="宋体" w:cs="宋体"/>
                <w:sz w:val="19"/>
              </w:rPr>
            </w:pPr>
            <w:r>
              <w:rPr>
                <w:rFonts w:hint="eastAsia" w:ascii="宋体" w:hAnsi="宋体" w:eastAsia="宋体" w:cs="宋体"/>
                <w:sz w:val="19"/>
              </w:rPr>
              <w:t>应按照第七章“响应文件格式”要求，使用单位电子签章（CA）进行签字、加盖公章。</w:t>
            </w:r>
          </w:p>
          <w:p>
            <w:pPr>
              <w:pStyle w:val="19"/>
              <w:spacing w:before="140"/>
              <w:ind w:left="461"/>
              <w:rPr>
                <w:rFonts w:hint="eastAsia" w:ascii="宋体" w:hAnsi="宋体" w:eastAsia="宋体" w:cs="宋体"/>
                <w:sz w:val="19"/>
              </w:rPr>
            </w:pPr>
            <w:r>
              <w:rPr>
                <w:rFonts w:hint="eastAsia" w:ascii="宋体" w:hAnsi="宋体" w:eastAsia="宋体" w:cs="宋体"/>
                <w:sz w:val="19"/>
              </w:rPr>
              <w:t>说明：若涉及到授权代表签字的可将文件签字页先进行签字、扫描后导入加密电子响应文件。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44" w:type="dxa"/>
          </w:tcPr>
          <w:p>
            <w:pPr>
              <w:pStyle w:val="19"/>
              <w:spacing w:before="9"/>
              <w:rPr>
                <w:rFonts w:hint="eastAsia" w:ascii="宋体" w:hAnsi="宋体" w:eastAsia="宋体" w:cs="宋体"/>
                <w:b/>
                <w:sz w:val="19"/>
              </w:rPr>
            </w:pPr>
          </w:p>
          <w:p>
            <w:pPr>
              <w:pStyle w:val="19"/>
              <w:ind w:right="84"/>
              <w:jc w:val="right"/>
              <w:rPr>
                <w:rFonts w:hint="eastAsia" w:ascii="宋体" w:hAnsi="宋体" w:eastAsia="宋体" w:cs="宋体"/>
                <w:sz w:val="19"/>
              </w:rPr>
            </w:pPr>
            <w:r>
              <w:rPr>
                <w:rFonts w:hint="eastAsia" w:ascii="宋体" w:hAnsi="宋体" w:eastAsia="宋体" w:cs="宋体"/>
                <w:w w:val="125"/>
                <w:sz w:val="19"/>
              </w:rPr>
              <w:t>18</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投标客户</w:t>
            </w:r>
          </w:p>
          <w:p>
            <w:pPr>
              <w:pStyle w:val="19"/>
              <w:spacing w:before="141"/>
              <w:ind w:left="100"/>
              <w:rPr>
                <w:rFonts w:hint="eastAsia" w:ascii="宋体" w:hAnsi="宋体" w:eastAsia="宋体" w:cs="宋体"/>
                <w:sz w:val="19"/>
              </w:rPr>
            </w:pPr>
            <w:r>
              <w:rPr>
                <w:rFonts w:hint="eastAsia" w:ascii="宋体" w:hAnsi="宋体" w:eastAsia="宋体" w:cs="宋体"/>
                <w:w w:val="101"/>
                <w:sz w:val="19"/>
              </w:rPr>
              <w:t>端</w:t>
            </w:r>
          </w:p>
        </w:tc>
        <w:tc>
          <w:tcPr>
            <w:tcW w:w="9122"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投标客户端需要自行登录“黑龙江省政府采购网--政府采购管理平台”下载。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73" w:hRule="atLeast"/>
        </w:trPr>
        <w:tc>
          <w:tcPr>
            <w:tcW w:w="444" w:type="dxa"/>
          </w:tcPr>
          <w:p>
            <w:pPr>
              <w:pStyle w:val="19"/>
              <w:rPr>
                <w:rFonts w:hint="eastAsia" w:ascii="宋体" w:hAnsi="宋体" w:eastAsia="宋体" w:cs="宋体"/>
                <w:b/>
                <w:sz w:val="22"/>
              </w:rPr>
            </w:pPr>
          </w:p>
          <w:p>
            <w:pPr>
              <w:pStyle w:val="19"/>
              <w:spacing w:before="175"/>
              <w:ind w:right="84"/>
              <w:jc w:val="right"/>
              <w:rPr>
                <w:rFonts w:hint="eastAsia" w:ascii="宋体" w:hAnsi="宋体" w:eastAsia="宋体" w:cs="宋体"/>
                <w:sz w:val="19"/>
              </w:rPr>
            </w:pPr>
            <w:r>
              <w:rPr>
                <w:rFonts w:hint="eastAsia" w:ascii="宋体" w:hAnsi="宋体" w:eastAsia="宋体" w:cs="宋体"/>
                <w:w w:val="125"/>
                <w:sz w:val="19"/>
              </w:rPr>
              <w:t>19</w:t>
            </w:r>
          </w:p>
        </w:tc>
        <w:tc>
          <w:tcPr>
            <w:tcW w:w="984" w:type="dxa"/>
          </w:tcPr>
          <w:p>
            <w:pPr>
              <w:pStyle w:val="19"/>
              <w:spacing w:before="8"/>
              <w:rPr>
                <w:rFonts w:hint="eastAsia" w:ascii="宋体" w:hAnsi="宋体" w:eastAsia="宋体" w:cs="宋体"/>
                <w:b/>
                <w:sz w:val="20"/>
              </w:rPr>
            </w:pPr>
          </w:p>
          <w:p>
            <w:pPr>
              <w:pStyle w:val="19"/>
              <w:spacing w:line="379" w:lineRule="auto"/>
              <w:ind w:left="100" w:right="98"/>
              <w:rPr>
                <w:rFonts w:hint="eastAsia" w:ascii="宋体" w:hAnsi="宋体" w:eastAsia="宋体" w:cs="宋体"/>
                <w:sz w:val="19"/>
              </w:rPr>
            </w:pPr>
            <w:r>
              <w:rPr>
                <w:rFonts w:hint="eastAsia" w:ascii="宋体" w:hAnsi="宋体" w:eastAsia="宋体" w:cs="宋体"/>
                <w:sz w:val="19"/>
              </w:rPr>
              <w:t>有效供应商家数</w:t>
            </w:r>
          </w:p>
        </w:tc>
        <w:tc>
          <w:tcPr>
            <w:tcW w:w="9122" w:type="dxa"/>
          </w:tcPr>
          <w:p>
            <w:pPr>
              <w:pStyle w:val="19"/>
              <w:spacing w:before="60"/>
              <w:ind w:left="100"/>
              <w:rPr>
                <w:rFonts w:hint="eastAsia" w:ascii="宋体" w:hAnsi="宋体" w:eastAsia="宋体" w:cs="宋体"/>
                <w:sz w:val="19"/>
              </w:rPr>
            </w:pPr>
            <w:r>
              <w:rPr>
                <w:rFonts w:hint="eastAsia" w:ascii="宋体" w:hAnsi="宋体" w:eastAsia="宋体" w:cs="宋体"/>
                <w:w w:val="115"/>
                <w:sz w:val="19"/>
              </w:rPr>
              <w:t>包1：2</w:t>
            </w:r>
          </w:p>
          <w:p>
            <w:pPr>
              <w:pStyle w:val="19"/>
              <w:spacing w:before="4" w:line="380" w:lineRule="atLeast"/>
              <w:ind w:left="100" w:right="169"/>
              <w:rPr>
                <w:rFonts w:hint="eastAsia" w:ascii="宋体" w:hAnsi="宋体" w:eastAsia="宋体" w:cs="宋体"/>
                <w:sz w:val="19"/>
              </w:rPr>
            </w:pPr>
            <w:r>
              <w:rPr>
                <w:rFonts w:hint="eastAsia" w:ascii="宋体" w:hAnsi="宋体" w:eastAsia="宋体" w:cs="宋体"/>
                <w:sz w:val="19"/>
              </w:rPr>
              <w:t>此数约定了开标与评标过程中的最低有效供应商家数，当家数不足时项目将不得开标、评标；文件中其他描述若与此规定矛盾以此为准。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444" w:type="dxa"/>
          </w:tcPr>
          <w:p>
            <w:pPr>
              <w:pStyle w:val="19"/>
              <w:spacing w:before="60"/>
              <w:ind w:right="84"/>
              <w:jc w:val="right"/>
              <w:rPr>
                <w:rFonts w:hint="eastAsia" w:ascii="宋体" w:hAnsi="宋体" w:eastAsia="宋体" w:cs="宋体"/>
                <w:sz w:val="19"/>
              </w:rPr>
            </w:pPr>
            <w:r>
              <w:rPr>
                <w:rFonts w:hint="eastAsia" w:ascii="宋体" w:hAnsi="宋体" w:eastAsia="宋体" w:cs="宋体"/>
                <w:w w:val="125"/>
                <w:sz w:val="19"/>
              </w:rPr>
              <w:t>20</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报价形式</w:t>
            </w:r>
          </w:p>
        </w:tc>
        <w:tc>
          <w:tcPr>
            <w:tcW w:w="9122" w:type="dxa"/>
          </w:tcPr>
          <w:p>
            <w:pPr>
              <w:pStyle w:val="19"/>
              <w:spacing w:before="60"/>
              <w:ind w:left="100"/>
              <w:rPr>
                <w:rFonts w:hint="eastAsia" w:ascii="宋体" w:hAnsi="宋体" w:eastAsia="宋体" w:cs="宋体"/>
                <w:sz w:val="19"/>
              </w:rPr>
            </w:pPr>
            <w:r>
              <w:rPr>
                <w:rFonts w:hint="eastAsia" w:ascii="宋体" w:hAnsi="宋体" w:eastAsia="宋体" w:cs="宋体"/>
                <w:w w:val="115"/>
                <w:sz w:val="19"/>
              </w:rPr>
              <w:t>合同包1（教师教育实训楼心理实训室教学设备）:总价</w:t>
            </w:r>
          </w:p>
        </w:tc>
      </w:tr>
    </w:tbl>
    <w:p>
      <w:pPr>
        <w:spacing w:after="0"/>
        <w:rPr>
          <w:rFonts w:hint="eastAsia" w:ascii="宋体" w:hAnsi="宋体" w:eastAsia="宋体" w:cs="宋体"/>
          <w:sz w:val="19"/>
        </w:rPr>
        <w:sectPr>
          <w:pgSz w:w="11900" w:h="16840"/>
          <w:pgMar w:top="560" w:right="560" w:bottom="20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44"/>
        <w:gridCol w:w="984"/>
        <w:gridCol w:w="912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444" w:type="dxa"/>
          </w:tcPr>
          <w:p>
            <w:pPr>
              <w:pStyle w:val="19"/>
              <w:spacing w:before="60"/>
              <w:ind w:right="84"/>
              <w:jc w:val="right"/>
              <w:rPr>
                <w:rFonts w:hint="eastAsia" w:ascii="宋体" w:hAnsi="宋体" w:eastAsia="宋体" w:cs="宋体"/>
                <w:sz w:val="19"/>
              </w:rPr>
            </w:pPr>
            <w:r>
              <w:rPr>
                <w:rFonts w:hint="eastAsia" w:ascii="宋体" w:hAnsi="宋体" w:eastAsia="宋体" w:cs="宋体"/>
                <w:w w:val="125"/>
                <w:sz w:val="19"/>
              </w:rPr>
              <w:t>21</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其他</w:t>
            </w:r>
          </w:p>
        </w:tc>
        <w:tc>
          <w:tcPr>
            <w:tcW w:w="9122" w:type="dxa"/>
          </w:tcPr>
          <w:p>
            <w:pPr>
              <w:pStyle w:val="19"/>
              <w:rPr>
                <w:rFonts w:hint="eastAsia" w:ascii="宋体" w:hAnsi="宋体" w:eastAsia="宋体" w:cs="宋体"/>
                <w:sz w:val="1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44" w:type="dxa"/>
          </w:tcPr>
          <w:p>
            <w:pPr>
              <w:pStyle w:val="19"/>
              <w:spacing w:before="9"/>
              <w:rPr>
                <w:rFonts w:hint="eastAsia" w:ascii="宋体" w:hAnsi="宋体" w:eastAsia="宋体" w:cs="宋体"/>
                <w:b/>
                <w:sz w:val="19"/>
              </w:rPr>
            </w:pPr>
          </w:p>
          <w:p>
            <w:pPr>
              <w:pStyle w:val="19"/>
              <w:ind w:right="84"/>
              <w:jc w:val="right"/>
              <w:rPr>
                <w:rFonts w:hint="eastAsia" w:ascii="宋体" w:hAnsi="宋体" w:eastAsia="宋体" w:cs="宋体"/>
                <w:sz w:val="19"/>
              </w:rPr>
            </w:pPr>
            <w:r>
              <w:rPr>
                <w:rFonts w:hint="eastAsia" w:ascii="宋体" w:hAnsi="宋体" w:eastAsia="宋体" w:cs="宋体"/>
                <w:w w:val="125"/>
                <w:sz w:val="19"/>
              </w:rPr>
              <w:t>22</w:t>
            </w:r>
          </w:p>
        </w:tc>
        <w:tc>
          <w:tcPr>
            <w:tcW w:w="984" w:type="dxa"/>
          </w:tcPr>
          <w:p>
            <w:pPr>
              <w:pStyle w:val="19"/>
              <w:spacing w:before="60"/>
              <w:ind w:left="100"/>
              <w:rPr>
                <w:rFonts w:hint="eastAsia" w:ascii="宋体" w:hAnsi="宋体" w:eastAsia="宋体" w:cs="宋体"/>
                <w:sz w:val="19"/>
              </w:rPr>
            </w:pPr>
            <w:r>
              <w:rPr>
                <w:rFonts w:hint="eastAsia" w:ascii="宋体" w:hAnsi="宋体" w:eastAsia="宋体" w:cs="宋体"/>
                <w:sz w:val="19"/>
              </w:rPr>
              <w:t>项目兼投</w:t>
            </w:r>
          </w:p>
          <w:p>
            <w:pPr>
              <w:pStyle w:val="19"/>
              <w:spacing w:before="141"/>
              <w:ind w:left="100"/>
              <w:rPr>
                <w:rFonts w:hint="eastAsia" w:ascii="宋体" w:hAnsi="宋体" w:eastAsia="宋体" w:cs="宋体"/>
                <w:sz w:val="19"/>
              </w:rPr>
            </w:pPr>
            <w:r>
              <w:rPr>
                <w:rFonts w:hint="eastAsia" w:ascii="宋体" w:hAnsi="宋体" w:eastAsia="宋体" w:cs="宋体"/>
                <w:sz w:val="19"/>
              </w:rPr>
              <w:t>兼中规则</w:t>
            </w:r>
          </w:p>
        </w:tc>
        <w:tc>
          <w:tcPr>
            <w:tcW w:w="9122"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兼投兼中：-</w:t>
            </w:r>
          </w:p>
        </w:tc>
      </w:tr>
    </w:tbl>
    <w:p>
      <w:pPr>
        <w:pStyle w:val="9"/>
        <w:spacing w:before="8"/>
        <w:rPr>
          <w:rFonts w:hint="eastAsia" w:ascii="宋体" w:hAnsi="宋体" w:eastAsia="宋体" w:cs="宋体"/>
          <w:b/>
          <w:sz w:val="17"/>
        </w:rPr>
      </w:pPr>
    </w:p>
    <w:p>
      <w:pPr>
        <w:spacing w:before="76"/>
        <w:ind w:left="120" w:right="0" w:firstLine="0"/>
        <w:jc w:val="left"/>
        <w:rPr>
          <w:rFonts w:hint="eastAsia" w:ascii="宋体" w:hAnsi="宋体" w:eastAsia="宋体" w:cs="宋体"/>
          <w:b/>
          <w:sz w:val="20"/>
        </w:rPr>
      </w:pPr>
      <w:r>
        <w:rPr>
          <w:rFonts w:hint="eastAsia" w:ascii="宋体" w:hAnsi="宋体" w:eastAsia="宋体" w:cs="宋体"/>
          <w:b/>
          <w:sz w:val="20"/>
        </w:rPr>
        <w:t>三、投标须知</w:t>
      </w:r>
    </w:p>
    <w:p>
      <w:pPr>
        <w:pStyle w:val="9"/>
        <w:spacing w:before="2"/>
        <w:rPr>
          <w:rFonts w:hint="eastAsia" w:ascii="宋体" w:hAnsi="宋体" w:eastAsia="宋体" w:cs="宋体"/>
          <w:b/>
          <w:sz w:val="17"/>
        </w:rPr>
      </w:pPr>
    </w:p>
    <w:p>
      <w:pPr>
        <w:pStyle w:val="18"/>
        <w:numPr>
          <w:ilvl w:val="0"/>
          <w:numId w:val="15"/>
        </w:numPr>
        <w:tabs>
          <w:tab w:val="left" w:pos="349"/>
        </w:tabs>
        <w:spacing w:before="0" w:after="0" w:line="240" w:lineRule="auto"/>
        <w:ind w:left="348" w:right="0" w:hanging="223"/>
        <w:jc w:val="left"/>
        <w:rPr>
          <w:rFonts w:hint="eastAsia" w:ascii="宋体" w:hAnsi="宋体" w:eastAsia="宋体" w:cs="宋体"/>
          <w:b/>
          <w:sz w:val="20"/>
        </w:rPr>
      </w:pPr>
      <w:r>
        <w:rPr>
          <w:rFonts w:hint="eastAsia" w:ascii="宋体" w:hAnsi="宋体" w:eastAsia="宋体" w:cs="宋体"/>
          <w:b/>
          <w:spacing w:val="8"/>
          <w:sz w:val="20"/>
        </w:rPr>
        <w:t>投标方式</w:t>
      </w:r>
    </w:p>
    <w:p>
      <w:pPr>
        <w:pStyle w:val="18"/>
        <w:numPr>
          <w:ilvl w:val="1"/>
          <w:numId w:val="15"/>
        </w:numPr>
        <w:tabs>
          <w:tab w:val="left" w:pos="814"/>
        </w:tabs>
        <w:spacing w:before="66"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投标方式采用网上投标，流程如下：</w:t>
      </w:r>
    </w:p>
    <w:p>
      <w:pPr>
        <w:pStyle w:val="9"/>
        <w:spacing w:before="140" w:line="379" w:lineRule="auto"/>
        <w:ind w:left="126" w:right="145" w:firstLine="384"/>
        <w:jc w:val="both"/>
        <w:rPr>
          <w:rFonts w:hint="eastAsia" w:ascii="宋体" w:hAnsi="宋体" w:eastAsia="宋体" w:cs="宋体"/>
        </w:rPr>
      </w:pPr>
      <w:r>
        <w:rPr>
          <w:rFonts w:hint="eastAsia" w:ascii="宋体" w:hAnsi="宋体" w:eastAsia="宋体" w:cs="宋体"/>
          <w:w w:val="101"/>
        </w:rPr>
        <w:t>应在黑龙江省政府采购网（</w:t>
      </w:r>
      <w:r>
        <w:rPr>
          <w:rFonts w:hint="eastAsia" w:ascii="宋体" w:hAnsi="宋体" w:eastAsia="宋体" w:cs="宋体"/>
        </w:rPr>
        <w:fldChar w:fldCharType="begin"/>
      </w:r>
      <w:r>
        <w:rPr>
          <w:rFonts w:hint="eastAsia" w:ascii="宋体" w:hAnsi="宋体" w:eastAsia="宋体" w:cs="宋体"/>
        </w:rPr>
        <w:instrText xml:space="preserve"> HYPERLINK "http://hljcg.hlj.gov.cn/" \h </w:instrText>
      </w:r>
      <w:r>
        <w:rPr>
          <w:rFonts w:hint="eastAsia" w:ascii="宋体" w:hAnsi="宋体" w:eastAsia="宋体" w:cs="宋体"/>
        </w:rPr>
        <w:fldChar w:fldCharType="separate"/>
      </w:r>
      <w:r>
        <w:rPr>
          <w:rFonts w:hint="eastAsia" w:ascii="宋体" w:hAnsi="宋体" w:eastAsia="宋体" w:cs="宋体"/>
          <w:spacing w:val="-2"/>
          <w:w w:val="128"/>
        </w:rPr>
        <w:t>h</w:t>
      </w:r>
      <w:r>
        <w:rPr>
          <w:rFonts w:hint="eastAsia" w:ascii="宋体" w:hAnsi="宋体" w:eastAsia="宋体" w:cs="宋体"/>
          <w:spacing w:val="-4"/>
          <w:w w:val="112"/>
        </w:rPr>
        <w:t>tt</w:t>
      </w:r>
      <w:r>
        <w:rPr>
          <w:rFonts w:hint="eastAsia" w:ascii="宋体" w:hAnsi="宋体" w:eastAsia="宋体" w:cs="宋体"/>
          <w:spacing w:val="-2"/>
          <w:w w:val="129"/>
        </w:rPr>
        <w:t>p</w:t>
      </w:r>
      <w:r>
        <w:rPr>
          <w:rFonts w:hint="eastAsia" w:ascii="宋体" w:hAnsi="宋体" w:eastAsia="宋体" w:cs="宋体"/>
          <w:spacing w:val="-5"/>
          <w:w w:val="167"/>
        </w:rPr>
        <w:t>:</w:t>
      </w:r>
      <w:r>
        <w:rPr>
          <w:rFonts w:hint="eastAsia" w:ascii="宋体" w:hAnsi="宋体" w:eastAsia="宋体" w:cs="宋体"/>
          <w:spacing w:val="-5"/>
          <w:w w:val="68"/>
        </w:rPr>
        <w:t>//</w:t>
      </w:r>
      <w:r>
        <w:rPr>
          <w:rFonts w:hint="eastAsia" w:ascii="宋体" w:hAnsi="宋体" w:eastAsia="宋体" w:cs="宋体"/>
          <w:spacing w:val="-2"/>
          <w:w w:val="128"/>
        </w:rPr>
        <w:t>h</w:t>
      </w:r>
      <w:r>
        <w:rPr>
          <w:rFonts w:hint="eastAsia" w:ascii="宋体" w:hAnsi="宋体" w:eastAsia="宋体" w:cs="宋体"/>
          <w:spacing w:val="-18"/>
          <w:w w:val="133"/>
        </w:rPr>
        <w:t>l</w:t>
      </w:r>
      <w:r>
        <w:rPr>
          <w:rFonts w:hint="eastAsia" w:ascii="宋体" w:hAnsi="宋体" w:eastAsia="宋体" w:cs="宋体"/>
          <w:spacing w:val="-18"/>
          <w:w w:val="128"/>
        </w:rPr>
        <w:t>j</w:t>
      </w:r>
      <w:r>
        <w:rPr>
          <w:rFonts w:hint="eastAsia" w:ascii="宋体" w:hAnsi="宋体" w:eastAsia="宋体" w:cs="宋体"/>
          <w:spacing w:val="2"/>
          <w:w w:val="111"/>
        </w:rPr>
        <w:t>c</w:t>
      </w:r>
      <w:r>
        <w:rPr>
          <w:rFonts w:hint="eastAsia" w:ascii="宋体" w:hAnsi="宋体" w:eastAsia="宋体" w:cs="宋体"/>
          <w:spacing w:val="-2"/>
          <w:w w:val="139"/>
        </w:rPr>
        <w:t>g</w:t>
      </w:r>
      <w:r>
        <w:rPr>
          <w:rFonts w:hint="eastAsia" w:ascii="宋体" w:hAnsi="宋体" w:eastAsia="宋体" w:cs="宋体"/>
          <w:spacing w:val="-2"/>
          <w:w w:val="158"/>
        </w:rPr>
        <w:t>.</w:t>
      </w:r>
      <w:r>
        <w:rPr>
          <w:rFonts w:hint="eastAsia" w:ascii="宋体" w:hAnsi="宋体" w:eastAsia="宋体" w:cs="宋体"/>
          <w:spacing w:val="-2"/>
          <w:w w:val="128"/>
        </w:rPr>
        <w:t>h</w:t>
      </w:r>
      <w:r>
        <w:rPr>
          <w:rFonts w:hint="eastAsia" w:ascii="宋体" w:hAnsi="宋体" w:eastAsia="宋体" w:cs="宋体"/>
          <w:spacing w:val="-18"/>
          <w:w w:val="133"/>
        </w:rPr>
        <w:t>l</w:t>
      </w:r>
      <w:r>
        <w:rPr>
          <w:rFonts w:hint="eastAsia" w:ascii="宋体" w:hAnsi="宋体" w:eastAsia="宋体" w:cs="宋体"/>
          <w:spacing w:val="-18"/>
          <w:w w:val="128"/>
        </w:rPr>
        <w:t>j</w:t>
      </w:r>
      <w:r>
        <w:rPr>
          <w:rFonts w:hint="eastAsia" w:ascii="宋体" w:hAnsi="宋体" w:eastAsia="宋体" w:cs="宋体"/>
          <w:spacing w:val="-2"/>
          <w:w w:val="158"/>
        </w:rPr>
        <w:t>.</w:t>
      </w:r>
      <w:r>
        <w:rPr>
          <w:rFonts w:hint="eastAsia" w:ascii="宋体" w:hAnsi="宋体" w:eastAsia="宋体" w:cs="宋体"/>
          <w:spacing w:val="-2"/>
          <w:w w:val="139"/>
        </w:rPr>
        <w:t>g</w:t>
      </w:r>
      <w:r>
        <w:rPr>
          <w:rFonts w:hint="eastAsia" w:ascii="宋体" w:hAnsi="宋体" w:eastAsia="宋体" w:cs="宋体"/>
          <w:spacing w:val="2"/>
          <w:w w:val="121"/>
        </w:rPr>
        <w:t>o</w:t>
      </w:r>
      <w:r>
        <w:rPr>
          <w:rFonts w:hint="eastAsia" w:ascii="宋体" w:hAnsi="宋体" w:eastAsia="宋体" w:cs="宋体"/>
          <w:spacing w:val="-6"/>
          <w:w w:val="125"/>
        </w:rPr>
        <w:t>v</w:t>
      </w:r>
      <w:r>
        <w:rPr>
          <w:rFonts w:hint="eastAsia" w:ascii="宋体" w:hAnsi="宋体" w:eastAsia="宋体" w:cs="宋体"/>
          <w:spacing w:val="-2"/>
          <w:w w:val="158"/>
        </w:rPr>
        <w:t>.</w:t>
      </w:r>
      <w:r>
        <w:rPr>
          <w:rFonts w:hint="eastAsia" w:ascii="宋体" w:hAnsi="宋体" w:eastAsia="宋体" w:cs="宋体"/>
          <w:spacing w:val="2"/>
          <w:w w:val="111"/>
        </w:rPr>
        <w:t>c</w:t>
      </w:r>
      <w:r>
        <w:rPr>
          <w:rFonts w:hint="eastAsia" w:ascii="宋体" w:hAnsi="宋体" w:eastAsia="宋体" w:cs="宋体"/>
          <w:spacing w:val="-2"/>
          <w:w w:val="128"/>
        </w:rPr>
        <w:t>n</w:t>
      </w:r>
      <w:r>
        <w:rPr>
          <w:rFonts w:hint="eastAsia" w:ascii="宋体" w:hAnsi="宋体" w:eastAsia="宋体" w:cs="宋体"/>
          <w:spacing w:val="-2"/>
          <w:w w:val="128"/>
        </w:rPr>
        <w:fldChar w:fldCharType="end"/>
      </w:r>
      <w:r>
        <w:rPr>
          <w:rFonts w:hint="eastAsia" w:ascii="宋体" w:hAnsi="宋体" w:eastAsia="宋体" w:cs="宋体"/>
          <w:w w:val="101"/>
        </w:rPr>
        <w:t>）提前注册并办理电子签章</w:t>
      </w:r>
      <w:r>
        <w:rPr>
          <w:rFonts w:hint="eastAsia" w:ascii="宋体" w:hAnsi="宋体" w:eastAsia="宋体" w:cs="宋体"/>
          <w:spacing w:val="-3"/>
          <w:w w:val="106"/>
        </w:rPr>
        <w:t>C</w:t>
      </w:r>
      <w:r>
        <w:rPr>
          <w:rFonts w:hint="eastAsia" w:ascii="宋体" w:hAnsi="宋体" w:eastAsia="宋体" w:cs="宋体"/>
          <w:w w:val="109"/>
        </w:rPr>
        <w:t>A</w:t>
      </w:r>
      <w:r>
        <w:rPr>
          <w:rFonts w:hint="eastAsia" w:ascii="宋体" w:hAnsi="宋体" w:eastAsia="宋体" w:cs="宋体"/>
          <w:w w:val="101"/>
        </w:rPr>
        <w:t>，</w:t>
      </w:r>
      <w:r>
        <w:rPr>
          <w:rFonts w:hint="eastAsia" w:ascii="宋体" w:hAnsi="宋体" w:eastAsia="宋体" w:cs="宋体"/>
          <w:spacing w:val="-3"/>
          <w:w w:val="106"/>
        </w:rPr>
        <w:t>C</w:t>
      </w:r>
      <w:r>
        <w:rPr>
          <w:rFonts w:hint="eastAsia" w:ascii="宋体" w:hAnsi="宋体" w:eastAsia="宋体" w:cs="宋体"/>
          <w:w w:val="109"/>
        </w:rPr>
        <w:t>A</w:t>
      </w:r>
      <w:r>
        <w:rPr>
          <w:rFonts w:hint="eastAsia" w:ascii="宋体" w:hAnsi="宋体" w:eastAsia="宋体" w:cs="宋体"/>
          <w:w w:val="101"/>
        </w:rPr>
        <w:t>用于制作响应文件时盖章、加密和开标时解密（</w:t>
      </w:r>
      <w:r>
        <w:rPr>
          <w:rFonts w:hint="eastAsia" w:ascii="宋体" w:hAnsi="宋体" w:eastAsia="宋体" w:cs="宋体"/>
          <w:spacing w:val="-3"/>
          <w:w w:val="106"/>
        </w:rPr>
        <w:t>C</w:t>
      </w:r>
      <w:r>
        <w:rPr>
          <w:rFonts w:hint="eastAsia" w:ascii="宋体" w:hAnsi="宋体" w:eastAsia="宋体" w:cs="宋体"/>
          <w:w w:val="109"/>
        </w:rPr>
        <w:t>A</w:t>
      </w:r>
      <w:r>
        <w:rPr>
          <w:rFonts w:hint="eastAsia" w:ascii="宋体" w:hAnsi="宋体" w:eastAsia="宋体" w:cs="宋体"/>
          <w:w w:val="101"/>
        </w:rPr>
        <w:t>办理流程及驱动下载参考黑龙江省政府采购网（</w:t>
      </w:r>
      <w:r>
        <w:rPr>
          <w:rFonts w:hint="eastAsia" w:ascii="宋体" w:hAnsi="宋体" w:eastAsia="宋体" w:cs="宋体"/>
        </w:rPr>
        <w:fldChar w:fldCharType="begin"/>
      </w:r>
      <w:r>
        <w:rPr>
          <w:rFonts w:hint="eastAsia" w:ascii="宋体" w:hAnsi="宋体" w:eastAsia="宋体" w:cs="宋体"/>
        </w:rPr>
        <w:instrText xml:space="preserve"> HYPERLINK "http://hljcg.hlj.gov.cn/" \h </w:instrText>
      </w:r>
      <w:r>
        <w:rPr>
          <w:rFonts w:hint="eastAsia" w:ascii="宋体" w:hAnsi="宋体" w:eastAsia="宋体" w:cs="宋体"/>
        </w:rPr>
        <w:fldChar w:fldCharType="separate"/>
      </w:r>
      <w:r>
        <w:rPr>
          <w:rFonts w:hint="eastAsia" w:ascii="宋体" w:hAnsi="宋体" w:eastAsia="宋体" w:cs="宋体"/>
          <w:spacing w:val="-2"/>
          <w:w w:val="128"/>
        </w:rPr>
        <w:t>h</w:t>
      </w:r>
      <w:r>
        <w:rPr>
          <w:rFonts w:hint="eastAsia" w:ascii="宋体" w:hAnsi="宋体" w:eastAsia="宋体" w:cs="宋体"/>
          <w:spacing w:val="-4"/>
          <w:w w:val="112"/>
        </w:rPr>
        <w:t>tt</w:t>
      </w:r>
      <w:r>
        <w:rPr>
          <w:rFonts w:hint="eastAsia" w:ascii="宋体" w:hAnsi="宋体" w:eastAsia="宋体" w:cs="宋体"/>
          <w:spacing w:val="-2"/>
          <w:w w:val="129"/>
        </w:rPr>
        <w:t>p</w:t>
      </w:r>
      <w:r>
        <w:rPr>
          <w:rFonts w:hint="eastAsia" w:ascii="宋体" w:hAnsi="宋体" w:eastAsia="宋体" w:cs="宋体"/>
          <w:spacing w:val="-5"/>
          <w:w w:val="167"/>
        </w:rPr>
        <w:t>:</w:t>
      </w:r>
      <w:r>
        <w:rPr>
          <w:rFonts w:hint="eastAsia" w:ascii="宋体" w:hAnsi="宋体" w:eastAsia="宋体" w:cs="宋体"/>
          <w:spacing w:val="-5"/>
          <w:w w:val="68"/>
        </w:rPr>
        <w:t>//</w:t>
      </w:r>
      <w:r>
        <w:rPr>
          <w:rFonts w:hint="eastAsia" w:ascii="宋体" w:hAnsi="宋体" w:eastAsia="宋体" w:cs="宋体"/>
          <w:spacing w:val="-2"/>
          <w:w w:val="128"/>
        </w:rPr>
        <w:t>h</w:t>
      </w:r>
      <w:r>
        <w:rPr>
          <w:rFonts w:hint="eastAsia" w:ascii="宋体" w:hAnsi="宋体" w:eastAsia="宋体" w:cs="宋体"/>
          <w:spacing w:val="-18"/>
          <w:w w:val="133"/>
        </w:rPr>
        <w:t>l</w:t>
      </w:r>
      <w:r>
        <w:rPr>
          <w:rFonts w:hint="eastAsia" w:ascii="宋体" w:hAnsi="宋体" w:eastAsia="宋体" w:cs="宋体"/>
          <w:spacing w:val="-18"/>
          <w:w w:val="128"/>
        </w:rPr>
        <w:t>j</w:t>
      </w:r>
      <w:r>
        <w:rPr>
          <w:rFonts w:hint="eastAsia" w:ascii="宋体" w:hAnsi="宋体" w:eastAsia="宋体" w:cs="宋体"/>
          <w:spacing w:val="2"/>
          <w:w w:val="111"/>
        </w:rPr>
        <w:t>c</w:t>
      </w:r>
      <w:r>
        <w:rPr>
          <w:rFonts w:hint="eastAsia" w:ascii="宋体" w:hAnsi="宋体" w:eastAsia="宋体" w:cs="宋体"/>
          <w:spacing w:val="-2"/>
          <w:w w:val="139"/>
        </w:rPr>
        <w:t>g</w:t>
      </w:r>
      <w:r>
        <w:rPr>
          <w:rFonts w:hint="eastAsia" w:ascii="宋体" w:hAnsi="宋体" w:eastAsia="宋体" w:cs="宋体"/>
          <w:spacing w:val="-2"/>
          <w:w w:val="158"/>
        </w:rPr>
        <w:t>.</w:t>
      </w:r>
      <w:r>
        <w:rPr>
          <w:rFonts w:hint="eastAsia" w:ascii="宋体" w:hAnsi="宋体" w:eastAsia="宋体" w:cs="宋体"/>
          <w:spacing w:val="-2"/>
          <w:w w:val="128"/>
        </w:rPr>
        <w:t>h</w:t>
      </w:r>
      <w:r>
        <w:rPr>
          <w:rFonts w:hint="eastAsia" w:ascii="宋体" w:hAnsi="宋体" w:eastAsia="宋体" w:cs="宋体"/>
          <w:spacing w:val="-18"/>
          <w:w w:val="133"/>
        </w:rPr>
        <w:t>l</w:t>
      </w:r>
      <w:r>
        <w:rPr>
          <w:rFonts w:hint="eastAsia" w:ascii="宋体" w:hAnsi="宋体" w:eastAsia="宋体" w:cs="宋体"/>
          <w:spacing w:val="-18"/>
          <w:w w:val="128"/>
        </w:rPr>
        <w:t>j</w:t>
      </w:r>
      <w:r>
        <w:rPr>
          <w:rFonts w:hint="eastAsia" w:ascii="宋体" w:hAnsi="宋体" w:eastAsia="宋体" w:cs="宋体"/>
          <w:spacing w:val="-2"/>
          <w:w w:val="158"/>
        </w:rPr>
        <w:t>.</w:t>
      </w:r>
      <w:r>
        <w:rPr>
          <w:rFonts w:hint="eastAsia" w:ascii="宋体" w:hAnsi="宋体" w:eastAsia="宋体" w:cs="宋体"/>
          <w:spacing w:val="-2"/>
          <w:w w:val="139"/>
        </w:rPr>
        <w:t>g</w:t>
      </w:r>
      <w:r>
        <w:rPr>
          <w:rFonts w:hint="eastAsia" w:ascii="宋体" w:hAnsi="宋体" w:eastAsia="宋体" w:cs="宋体"/>
          <w:spacing w:val="2"/>
          <w:w w:val="121"/>
        </w:rPr>
        <w:t>o</w:t>
      </w:r>
      <w:r>
        <w:rPr>
          <w:rFonts w:hint="eastAsia" w:ascii="宋体" w:hAnsi="宋体" w:eastAsia="宋体" w:cs="宋体"/>
          <w:spacing w:val="-6"/>
          <w:w w:val="125"/>
        </w:rPr>
        <w:t>v</w:t>
      </w:r>
      <w:r>
        <w:rPr>
          <w:rFonts w:hint="eastAsia" w:ascii="宋体" w:hAnsi="宋体" w:eastAsia="宋体" w:cs="宋体"/>
          <w:spacing w:val="-2"/>
          <w:w w:val="158"/>
        </w:rPr>
        <w:t>.</w:t>
      </w:r>
      <w:r>
        <w:rPr>
          <w:rFonts w:hint="eastAsia" w:ascii="宋体" w:hAnsi="宋体" w:eastAsia="宋体" w:cs="宋体"/>
          <w:spacing w:val="2"/>
          <w:w w:val="111"/>
        </w:rPr>
        <w:t>c</w:t>
      </w:r>
      <w:r>
        <w:rPr>
          <w:rFonts w:hint="eastAsia" w:ascii="宋体" w:hAnsi="宋体" w:eastAsia="宋体" w:cs="宋体"/>
          <w:spacing w:val="-2"/>
          <w:w w:val="128"/>
        </w:rPr>
        <w:t>n</w:t>
      </w:r>
      <w:r>
        <w:rPr>
          <w:rFonts w:hint="eastAsia" w:ascii="宋体" w:hAnsi="宋体" w:eastAsia="宋体" w:cs="宋体"/>
          <w:spacing w:val="-2"/>
          <w:w w:val="128"/>
        </w:rPr>
        <w:fldChar w:fldCharType="end"/>
      </w:r>
      <w:r>
        <w:rPr>
          <w:rFonts w:hint="eastAsia" w:ascii="宋体" w:hAnsi="宋体" w:eastAsia="宋体" w:cs="宋体"/>
          <w:w w:val="101"/>
        </w:rPr>
        <w:t>）</w:t>
      </w:r>
      <w:r>
        <w:rPr>
          <w:rFonts w:hint="eastAsia" w:ascii="宋体" w:hAnsi="宋体" w:eastAsia="宋体" w:cs="宋体"/>
          <w:spacing w:val="-3"/>
          <w:w w:val="106"/>
        </w:rPr>
        <w:t>C</w:t>
      </w:r>
      <w:r>
        <w:rPr>
          <w:rFonts w:hint="eastAsia" w:ascii="宋体" w:hAnsi="宋体" w:eastAsia="宋体" w:cs="宋体"/>
          <w:w w:val="109"/>
        </w:rPr>
        <w:t>A</w:t>
      </w:r>
      <w:r>
        <w:rPr>
          <w:rFonts w:hint="eastAsia" w:ascii="宋体" w:hAnsi="宋体" w:eastAsia="宋体" w:cs="宋体"/>
          <w:w w:val="101"/>
        </w:rPr>
        <w:t>在线办理）具体操作步骤，在黑龙江省政府采购网（</w:t>
      </w:r>
      <w:r>
        <w:rPr>
          <w:rFonts w:hint="eastAsia" w:ascii="宋体" w:hAnsi="宋体" w:eastAsia="宋体" w:cs="宋体"/>
        </w:rPr>
        <w:fldChar w:fldCharType="begin"/>
      </w:r>
      <w:r>
        <w:rPr>
          <w:rFonts w:hint="eastAsia" w:ascii="宋体" w:hAnsi="宋体" w:eastAsia="宋体" w:cs="宋体"/>
        </w:rPr>
        <w:instrText xml:space="preserve"> HYPERLINK "http://hljcg.hlj.gov.cn/" \h </w:instrText>
      </w:r>
      <w:r>
        <w:rPr>
          <w:rFonts w:hint="eastAsia" w:ascii="宋体" w:hAnsi="宋体" w:eastAsia="宋体" w:cs="宋体"/>
        </w:rPr>
        <w:fldChar w:fldCharType="separate"/>
      </w:r>
      <w:r>
        <w:rPr>
          <w:rFonts w:hint="eastAsia" w:ascii="宋体" w:hAnsi="宋体" w:eastAsia="宋体" w:cs="宋体"/>
          <w:spacing w:val="-2"/>
          <w:w w:val="128"/>
        </w:rPr>
        <w:t>h</w:t>
      </w:r>
      <w:r>
        <w:rPr>
          <w:rFonts w:hint="eastAsia" w:ascii="宋体" w:hAnsi="宋体" w:eastAsia="宋体" w:cs="宋体"/>
          <w:spacing w:val="-4"/>
          <w:w w:val="112"/>
        </w:rPr>
        <w:t>tt</w:t>
      </w:r>
      <w:r>
        <w:rPr>
          <w:rFonts w:hint="eastAsia" w:ascii="宋体" w:hAnsi="宋体" w:eastAsia="宋体" w:cs="宋体"/>
          <w:spacing w:val="-2"/>
          <w:w w:val="129"/>
        </w:rPr>
        <w:t>p</w:t>
      </w:r>
      <w:r>
        <w:rPr>
          <w:rFonts w:hint="eastAsia" w:ascii="宋体" w:hAnsi="宋体" w:eastAsia="宋体" w:cs="宋体"/>
          <w:spacing w:val="-5"/>
          <w:w w:val="167"/>
        </w:rPr>
        <w:t>:</w:t>
      </w:r>
      <w:r>
        <w:rPr>
          <w:rFonts w:hint="eastAsia" w:ascii="宋体" w:hAnsi="宋体" w:eastAsia="宋体" w:cs="宋体"/>
          <w:spacing w:val="-5"/>
          <w:w w:val="68"/>
        </w:rPr>
        <w:t>//</w:t>
      </w:r>
      <w:r>
        <w:rPr>
          <w:rFonts w:hint="eastAsia" w:ascii="宋体" w:hAnsi="宋体" w:eastAsia="宋体" w:cs="宋体"/>
          <w:spacing w:val="-2"/>
          <w:w w:val="128"/>
        </w:rPr>
        <w:t>h</w:t>
      </w:r>
      <w:r>
        <w:rPr>
          <w:rFonts w:hint="eastAsia" w:ascii="宋体" w:hAnsi="宋体" w:eastAsia="宋体" w:cs="宋体"/>
          <w:spacing w:val="-18"/>
          <w:w w:val="133"/>
        </w:rPr>
        <w:t>l</w:t>
      </w:r>
      <w:r>
        <w:rPr>
          <w:rFonts w:hint="eastAsia" w:ascii="宋体" w:hAnsi="宋体" w:eastAsia="宋体" w:cs="宋体"/>
          <w:spacing w:val="-18"/>
          <w:w w:val="128"/>
        </w:rPr>
        <w:t>j</w:t>
      </w:r>
      <w:r>
        <w:rPr>
          <w:rFonts w:hint="eastAsia" w:ascii="宋体" w:hAnsi="宋体" w:eastAsia="宋体" w:cs="宋体"/>
          <w:spacing w:val="2"/>
          <w:w w:val="111"/>
        </w:rPr>
        <w:t>c</w:t>
      </w:r>
      <w:r>
        <w:rPr>
          <w:rFonts w:hint="eastAsia" w:ascii="宋体" w:hAnsi="宋体" w:eastAsia="宋体" w:cs="宋体"/>
          <w:spacing w:val="-2"/>
          <w:w w:val="139"/>
        </w:rPr>
        <w:t>g</w:t>
      </w:r>
      <w:r>
        <w:rPr>
          <w:rFonts w:hint="eastAsia" w:ascii="宋体" w:hAnsi="宋体" w:eastAsia="宋体" w:cs="宋体"/>
          <w:spacing w:val="-2"/>
          <w:w w:val="158"/>
        </w:rPr>
        <w:t>.</w:t>
      </w:r>
      <w:r>
        <w:rPr>
          <w:rFonts w:hint="eastAsia" w:ascii="宋体" w:hAnsi="宋体" w:eastAsia="宋体" w:cs="宋体"/>
          <w:spacing w:val="-2"/>
          <w:w w:val="128"/>
        </w:rPr>
        <w:t>h</w:t>
      </w:r>
      <w:r>
        <w:rPr>
          <w:rFonts w:hint="eastAsia" w:ascii="宋体" w:hAnsi="宋体" w:eastAsia="宋体" w:cs="宋体"/>
          <w:spacing w:val="-18"/>
          <w:w w:val="133"/>
        </w:rPr>
        <w:t>l</w:t>
      </w:r>
      <w:r>
        <w:rPr>
          <w:rFonts w:hint="eastAsia" w:ascii="宋体" w:hAnsi="宋体" w:eastAsia="宋体" w:cs="宋体"/>
          <w:spacing w:val="-18"/>
          <w:w w:val="128"/>
        </w:rPr>
        <w:t>j</w:t>
      </w:r>
      <w:r>
        <w:rPr>
          <w:rFonts w:hint="eastAsia" w:ascii="宋体" w:hAnsi="宋体" w:eastAsia="宋体" w:cs="宋体"/>
          <w:spacing w:val="-2"/>
          <w:w w:val="158"/>
        </w:rPr>
        <w:t>.</w:t>
      </w:r>
      <w:r>
        <w:rPr>
          <w:rFonts w:hint="eastAsia" w:ascii="宋体" w:hAnsi="宋体" w:eastAsia="宋体" w:cs="宋体"/>
          <w:spacing w:val="-2"/>
          <w:w w:val="139"/>
        </w:rPr>
        <w:t>g</w:t>
      </w:r>
      <w:r>
        <w:rPr>
          <w:rFonts w:hint="eastAsia" w:ascii="宋体" w:hAnsi="宋体" w:eastAsia="宋体" w:cs="宋体"/>
          <w:spacing w:val="2"/>
          <w:w w:val="121"/>
        </w:rPr>
        <w:t>o</w:t>
      </w:r>
      <w:r>
        <w:rPr>
          <w:rFonts w:hint="eastAsia" w:ascii="宋体" w:hAnsi="宋体" w:eastAsia="宋体" w:cs="宋体"/>
          <w:spacing w:val="-6"/>
          <w:w w:val="125"/>
        </w:rPr>
        <w:t>v</w:t>
      </w:r>
      <w:r>
        <w:rPr>
          <w:rFonts w:hint="eastAsia" w:ascii="宋体" w:hAnsi="宋体" w:eastAsia="宋体" w:cs="宋体"/>
          <w:spacing w:val="-2"/>
          <w:w w:val="158"/>
        </w:rPr>
        <w:t>.</w:t>
      </w:r>
      <w:r>
        <w:rPr>
          <w:rFonts w:hint="eastAsia" w:ascii="宋体" w:hAnsi="宋体" w:eastAsia="宋体" w:cs="宋体"/>
          <w:spacing w:val="2"/>
          <w:w w:val="111"/>
        </w:rPr>
        <w:t>c</w:t>
      </w:r>
      <w:r>
        <w:rPr>
          <w:rFonts w:hint="eastAsia" w:ascii="宋体" w:hAnsi="宋体" w:eastAsia="宋体" w:cs="宋体"/>
          <w:spacing w:val="-2"/>
          <w:w w:val="128"/>
        </w:rPr>
        <w:t>n</w:t>
      </w:r>
      <w:r>
        <w:rPr>
          <w:rFonts w:hint="eastAsia" w:ascii="宋体" w:hAnsi="宋体" w:eastAsia="宋体" w:cs="宋体"/>
          <w:spacing w:val="-5"/>
          <w:w w:val="68"/>
        </w:rPr>
        <w:t>/</w:t>
      </w:r>
      <w:r>
        <w:rPr>
          <w:rFonts w:hint="eastAsia" w:ascii="宋体" w:hAnsi="宋体" w:eastAsia="宋体" w:cs="宋体"/>
          <w:spacing w:val="-5"/>
          <w:w w:val="68"/>
        </w:rPr>
        <w:fldChar w:fldCharType="end"/>
      </w:r>
      <w:r>
        <w:rPr>
          <w:rFonts w:hint="eastAsia" w:ascii="宋体" w:hAnsi="宋体" w:eastAsia="宋体" w:cs="宋体"/>
          <w:w w:val="101"/>
        </w:rPr>
        <w:t>）下载政府采购供应商操作手册。</w:t>
      </w:r>
    </w:p>
    <w:p>
      <w:pPr>
        <w:pStyle w:val="18"/>
        <w:numPr>
          <w:ilvl w:val="1"/>
          <w:numId w:val="15"/>
        </w:numPr>
        <w:tabs>
          <w:tab w:val="left" w:pos="814"/>
        </w:tabs>
        <w:spacing w:before="0"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缴纳投标保证金（如有）。本采购项目采用</w:t>
      </w:r>
      <w:r>
        <w:rPr>
          <w:rFonts w:hint="eastAsia" w:ascii="宋体" w:hAnsi="宋体" w:eastAsia="宋体" w:cs="宋体"/>
          <w:spacing w:val="-4"/>
          <w:sz w:val="19"/>
        </w:rPr>
        <w:t>“</w:t>
      </w:r>
      <w:r>
        <w:rPr>
          <w:rFonts w:hint="eastAsia" w:ascii="宋体" w:hAnsi="宋体" w:eastAsia="宋体" w:cs="宋体"/>
          <w:sz w:val="19"/>
        </w:rPr>
        <w:t>虚拟子账号</w:t>
      </w:r>
      <w:r>
        <w:rPr>
          <w:rFonts w:hint="eastAsia" w:ascii="宋体" w:hAnsi="宋体" w:eastAsia="宋体" w:cs="宋体"/>
          <w:spacing w:val="-4"/>
          <w:sz w:val="19"/>
        </w:rPr>
        <w:t>”</w:t>
      </w:r>
      <w:r>
        <w:rPr>
          <w:rFonts w:hint="eastAsia" w:ascii="宋体" w:hAnsi="宋体" w:eastAsia="宋体" w:cs="宋体"/>
          <w:sz w:val="19"/>
        </w:rPr>
        <w:t>形式收退投标保证金，每一个供应商在所投的每一项目下合 同包会对应每一家银行自动生成一个账号，称为</w:t>
      </w:r>
      <w:r>
        <w:rPr>
          <w:rFonts w:hint="eastAsia" w:ascii="宋体" w:hAnsi="宋体" w:eastAsia="宋体" w:cs="宋体"/>
          <w:spacing w:val="-4"/>
          <w:sz w:val="19"/>
        </w:rPr>
        <w:t>“</w:t>
      </w:r>
      <w:r>
        <w:rPr>
          <w:rFonts w:hint="eastAsia" w:ascii="宋体" w:hAnsi="宋体" w:eastAsia="宋体" w:cs="宋体"/>
          <w:sz w:val="19"/>
        </w:rPr>
        <w:t>虚拟子账号</w:t>
      </w:r>
      <w:r>
        <w:rPr>
          <w:rFonts w:hint="eastAsia" w:ascii="宋体" w:hAnsi="宋体" w:eastAsia="宋体" w:cs="宋体"/>
          <w:spacing w:val="-4"/>
          <w:sz w:val="19"/>
        </w:rPr>
        <w:t>”</w:t>
      </w:r>
      <w:r>
        <w:rPr>
          <w:rFonts w:hint="eastAsia" w:ascii="宋体" w:hAnsi="宋体" w:eastAsia="宋体" w:cs="宋体"/>
          <w:sz w:val="19"/>
        </w:rPr>
        <w:t xml:space="preserve">。在进行投标信息确认后，应通过应标管理-已投标的项目，选 </w:t>
      </w:r>
      <w:r>
        <w:rPr>
          <w:rFonts w:hint="eastAsia" w:ascii="宋体" w:hAnsi="宋体" w:eastAsia="宋体" w:cs="宋体"/>
          <w:spacing w:val="-1"/>
          <w:sz w:val="19"/>
        </w:rPr>
        <w:t>择缴纳银行并获取对应不同包的缴纳金额以及虚拟子账号信息，并在开标时间前，通过转账至上述账号中，付款人名称必须为</w:t>
      </w:r>
      <w:r>
        <w:rPr>
          <w:rFonts w:hint="eastAsia" w:ascii="宋体" w:hAnsi="宋体" w:eastAsia="宋体" w:cs="宋体"/>
          <w:sz w:val="19"/>
        </w:rPr>
        <w:t>投标单位全称且与投标信息一致。</w:t>
      </w:r>
    </w:p>
    <w:p>
      <w:pPr>
        <w:pStyle w:val="9"/>
        <w:spacing w:line="241" w:lineRule="exact"/>
        <w:ind w:left="510"/>
        <w:rPr>
          <w:rFonts w:hint="eastAsia" w:ascii="宋体" w:hAnsi="宋体" w:eastAsia="宋体" w:cs="宋体"/>
        </w:rPr>
      </w:pPr>
      <w:r>
        <w:rPr>
          <w:rFonts w:hint="eastAsia" w:ascii="宋体" w:hAnsi="宋体" w:eastAsia="宋体" w:cs="宋体"/>
        </w:rPr>
        <w:t>若出现账号缴纳不一致、缴纳金额与供应商须知前附表规定的金额不一致或缴纳时间超过开标时间，将导致保证金缴纳失</w:t>
      </w:r>
    </w:p>
    <w:p>
      <w:pPr>
        <w:pStyle w:val="9"/>
        <w:spacing w:before="139"/>
        <w:ind w:left="126"/>
        <w:rPr>
          <w:rFonts w:hint="eastAsia" w:ascii="宋体" w:hAnsi="宋体" w:eastAsia="宋体" w:cs="宋体"/>
        </w:rPr>
      </w:pPr>
      <w:r>
        <w:rPr>
          <w:rFonts w:hint="eastAsia" w:ascii="宋体" w:hAnsi="宋体" w:eastAsia="宋体" w:cs="宋体"/>
        </w:rPr>
        <w:t>败。</w:t>
      </w:r>
    </w:p>
    <w:p>
      <w:pPr>
        <w:pStyle w:val="18"/>
        <w:numPr>
          <w:ilvl w:val="1"/>
          <w:numId w:val="15"/>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查看投标状况。通过应标管理-已投标的项目可查看已投标项目信息。</w:t>
      </w:r>
    </w:p>
    <w:p>
      <w:pPr>
        <w:pStyle w:val="9"/>
        <w:spacing w:before="3"/>
        <w:rPr>
          <w:rFonts w:hint="eastAsia" w:ascii="宋体" w:hAnsi="宋体" w:eastAsia="宋体" w:cs="宋体"/>
          <w:sz w:val="17"/>
        </w:rPr>
      </w:pPr>
    </w:p>
    <w:p>
      <w:pPr>
        <w:pStyle w:val="4"/>
        <w:numPr>
          <w:ilvl w:val="0"/>
          <w:numId w:val="15"/>
        </w:numPr>
        <w:tabs>
          <w:tab w:val="left" w:pos="349"/>
        </w:tabs>
        <w:spacing w:before="26" w:after="0" w:line="240" w:lineRule="auto"/>
        <w:ind w:left="348" w:right="0" w:hanging="223"/>
        <w:jc w:val="left"/>
        <w:rPr>
          <w:rFonts w:hint="eastAsia" w:ascii="宋体" w:hAnsi="宋体" w:eastAsia="宋体" w:cs="宋体"/>
        </w:rPr>
      </w:pPr>
      <w:r>
        <w:rPr>
          <w:rFonts w:hint="eastAsia" w:ascii="宋体" w:hAnsi="宋体" w:eastAsia="宋体" w:cs="宋体"/>
          <w:spacing w:val="8"/>
        </w:rPr>
        <w:t>特别提示</w:t>
      </w:r>
    </w:p>
    <w:p>
      <w:pPr>
        <w:pStyle w:val="18"/>
        <w:numPr>
          <w:ilvl w:val="1"/>
          <w:numId w:val="15"/>
        </w:numPr>
        <w:tabs>
          <w:tab w:val="left" w:pos="814"/>
        </w:tabs>
        <w:spacing w:before="65" w:after="0" w:line="240" w:lineRule="auto"/>
        <w:ind w:left="813" w:right="0" w:hanging="304"/>
        <w:jc w:val="left"/>
        <w:rPr>
          <w:rFonts w:hint="eastAsia" w:ascii="宋体" w:hAnsi="宋体" w:eastAsia="宋体" w:cs="宋体"/>
          <w:sz w:val="19"/>
        </w:rPr>
      </w:pPr>
      <w:r>
        <w:rPr>
          <w:rFonts w:hint="eastAsia" w:ascii="宋体" w:hAnsi="宋体" w:eastAsia="宋体" w:cs="宋体"/>
          <w:sz w:val="19"/>
        </w:rPr>
        <w:t>由于保证金到账需要一定时间，请供应商在递交响应文件截止前及早缴纳。</w:t>
      </w:r>
    </w:p>
    <w:p>
      <w:pPr>
        <w:spacing w:after="0" w:line="240" w:lineRule="auto"/>
        <w:jc w:val="left"/>
        <w:rPr>
          <w:rFonts w:hint="eastAsia" w:ascii="宋体" w:hAnsi="宋体" w:eastAsia="宋体" w:cs="宋体"/>
          <w:sz w:val="19"/>
        </w:rPr>
        <w:sectPr>
          <w:pgSz w:w="11900" w:h="16840"/>
          <w:pgMar w:top="560" w:right="560" w:bottom="200" w:left="540" w:header="0" w:footer="13" w:gutter="0"/>
          <w:cols w:space="720" w:num="1"/>
        </w:sectPr>
      </w:pPr>
    </w:p>
    <w:p>
      <w:pPr>
        <w:pStyle w:val="4"/>
        <w:spacing w:before="62"/>
        <w:rPr>
          <w:rFonts w:hint="eastAsia" w:ascii="宋体" w:hAnsi="宋体" w:eastAsia="宋体" w:cs="宋体"/>
        </w:rPr>
      </w:pPr>
      <w:r>
        <w:rPr>
          <w:rFonts w:hint="eastAsia" w:ascii="宋体" w:hAnsi="宋体" w:eastAsia="宋体" w:cs="宋体"/>
        </w:rPr>
        <w:t>三、说明</w:t>
      </w:r>
    </w:p>
    <w:p>
      <w:pPr>
        <w:pStyle w:val="5"/>
        <w:numPr>
          <w:ilvl w:val="0"/>
          <w:numId w:val="16"/>
        </w:numPr>
        <w:tabs>
          <w:tab w:val="left" w:pos="333"/>
        </w:tabs>
        <w:spacing w:before="173" w:after="0" w:line="240" w:lineRule="auto"/>
        <w:ind w:left="332" w:right="0" w:hanging="207"/>
        <w:jc w:val="left"/>
        <w:rPr>
          <w:rFonts w:hint="eastAsia" w:ascii="宋体" w:hAnsi="宋体" w:eastAsia="宋体" w:cs="宋体"/>
        </w:rPr>
      </w:pPr>
      <w:r>
        <w:rPr>
          <w:rFonts w:hint="eastAsia" w:ascii="宋体" w:hAnsi="宋体" w:eastAsia="宋体" w:cs="宋体"/>
          <w:spacing w:val="6"/>
        </w:rPr>
        <w:t>总则</w:t>
      </w:r>
    </w:p>
    <w:p>
      <w:pPr>
        <w:pStyle w:val="9"/>
        <w:spacing w:before="71" w:line="379" w:lineRule="auto"/>
        <w:ind w:left="126" w:right="109" w:firstLine="384"/>
        <w:rPr>
          <w:rFonts w:hint="eastAsia" w:ascii="宋体" w:hAnsi="宋体" w:eastAsia="宋体" w:cs="宋体"/>
        </w:rPr>
      </w:pPr>
      <w:r>
        <w:rPr>
          <w:rFonts w:hint="eastAsia" w:ascii="宋体" w:hAnsi="宋体" w:eastAsia="宋体" w:cs="宋体"/>
        </w:rPr>
        <w:t>本磋商文件依据《中华人民共和国政府采购法》、《中华人民共和国政府采购法实施条例》和《政府采购竞争性磋商采购</w:t>
      </w:r>
      <w:r>
        <w:rPr>
          <w:rFonts w:hint="eastAsia" w:ascii="宋体" w:hAnsi="宋体" w:eastAsia="宋体" w:cs="宋体"/>
          <w:w w:val="110"/>
        </w:rPr>
        <w:t>方式管理暂行办法》（财库〔2014〕214号）及国家和黑龙江省有关法律、法规、规章制度编制。</w:t>
      </w:r>
    </w:p>
    <w:p>
      <w:pPr>
        <w:pStyle w:val="9"/>
        <w:spacing w:line="379" w:lineRule="auto"/>
        <w:ind w:left="126" w:right="109" w:firstLine="384"/>
        <w:rPr>
          <w:rFonts w:hint="eastAsia" w:ascii="宋体" w:hAnsi="宋体" w:eastAsia="宋体" w:cs="宋体"/>
        </w:rPr>
      </w:pPr>
      <w:r>
        <w:rPr>
          <w:rFonts w:hint="eastAsia" w:ascii="宋体" w:hAnsi="宋体" w:eastAsia="宋体" w:cs="宋体"/>
        </w:rPr>
        <w:t>供应商应仔细阅读本项目信息公告及磋商文件的所有内容（包括变更、补充、澄清以及修改等，且均为磋商文件的组成部分），按照磋商文件要求以及格式编制响应文件，并保证其真实性，否则一切后果自负。</w:t>
      </w:r>
    </w:p>
    <w:p>
      <w:pPr>
        <w:pStyle w:val="9"/>
        <w:spacing w:line="242" w:lineRule="exact"/>
        <w:ind w:left="510"/>
        <w:rPr>
          <w:rFonts w:hint="eastAsia" w:ascii="宋体" w:hAnsi="宋体" w:eastAsia="宋体" w:cs="宋体"/>
        </w:rPr>
      </w:pPr>
      <w:r>
        <w:rPr>
          <w:rFonts w:hint="eastAsia" w:ascii="宋体" w:hAnsi="宋体" w:eastAsia="宋体" w:cs="宋体"/>
        </w:rPr>
        <w:t>本次竞争性磋商项目，是以磋商公告的方式邀请非特定的供应商参加投标。</w:t>
      </w:r>
    </w:p>
    <w:p>
      <w:pPr>
        <w:pStyle w:val="9"/>
        <w:spacing w:before="6"/>
        <w:rPr>
          <w:rFonts w:hint="eastAsia" w:ascii="宋体" w:hAnsi="宋体" w:eastAsia="宋体" w:cs="宋体"/>
          <w:sz w:val="15"/>
        </w:rPr>
      </w:pPr>
    </w:p>
    <w:p>
      <w:pPr>
        <w:pStyle w:val="5"/>
        <w:numPr>
          <w:ilvl w:val="0"/>
          <w:numId w:val="16"/>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8"/>
        </w:rPr>
        <w:t>适用范围</w:t>
      </w:r>
    </w:p>
    <w:p>
      <w:pPr>
        <w:pStyle w:val="9"/>
        <w:spacing w:before="71"/>
        <w:ind w:left="510"/>
        <w:rPr>
          <w:rFonts w:hint="eastAsia" w:ascii="宋体" w:hAnsi="宋体" w:eastAsia="宋体" w:cs="宋体"/>
        </w:rPr>
      </w:pPr>
      <w:r>
        <w:rPr>
          <w:rFonts w:hint="eastAsia" w:ascii="宋体" w:hAnsi="宋体" w:eastAsia="宋体" w:cs="宋体"/>
        </w:rPr>
        <w:t>本磋商文件仅适用于本次采购公告中所涉及的项目和内容。</w:t>
      </w:r>
    </w:p>
    <w:p>
      <w:pPr>
        <w:pStyle w:val="9"/>
        <w:spacing w:before="7"/>
        <w:rPr>
          <w:rFonts w:hint="eastAsia" w:ascii="宋体" w:hAnsi="宋体" w:eastAsia="宋体" w:cs="宋体"/>
          <w:sz w:val="15"/>
        </w:rPr>
      </w:pPr>
    </w:p>
    <w:p>
      <w:pPr>
        <w:pStyle w:val="5"/>
        <w:numPr>
          <w:ilvl w:val="0"/>
          <w:numId w:val="16"/>
        </w:numPr>
        <w:tabs>
          <w:tab w:val="left" w:pos="333"/>
        </w:tabs>
        <w:spacing w:before="1" w:after="0" w:line="240" w:lineRule="auto"/>
        <w:ind w:left="332" w:right="0" w:hanging="207"/>
        <w:jc w:val="left"/>
        <w:rPr>
          <w:rFonts w:hint="eastAsia" w:ascii="宋体" w:hAnsi="宋体" w:eastAsia="宋体" w:cs="宋体"/>
        </w:rPr>
      </w:pPr>
      <w:r>
        <w:rPr>
          <w:rFonts w:hint="eastAsia" w:ascii="宋体" w:hAnsi="宋体" w:eastAsia="宋体" w:cs="宋体"/>
          <w:spacing w:val="8"/>
        </w:rPr>
        <w:t>投标费用</w:t>
      </w:r>
    </w:p>
    <w:p>
      <w:pPr>
        <w:pStyle w:val="9"/>
        <w:spacing w:before="70"/>
        <w:ind w:left="510"/>
        <w:rPr>
          <w:rFonts w:hint="eastAsia" w:ascii="宋体" w:hAnsi="宋体" w:eastAsia="宋体" w:cs="宋体"/>
        </w:rPr>
      </w:pPr>
      <w:r>
        <w:rPr>
          <w:rFonts w:hint="eastAsia" w:ascii="宋体" w:hAnsi="宋体" w:eastAsia="宋体" w:cs="宋体"/>
        </w:rPr>
        <w:t>供应商应承担所有与准备和参加投标有关的费用。不论投标结果如何，采购代理机构和采购人均无义务和责任承担相关费</w:t>
      </w:r>
    </w:p>
    <w:p>
      <w:pPr>
        <w:pStyle w:val="9"/>
        <w:spacing w:before="141"/>
        <w:ind w:left="126"/>
        <w:rPr>
          <w:rFonts w:hint="eastAsia" w:ascii="宋体" w:hAnsi="宋体" w:eastAsia="宋体" w:cs="宋体"/>
        </w:rPr>
      </w:pPr>
      <w:r>
        <w:rPr>
          <w:rFonts w:hint="eastAsia" w:ascii="宋体" w:hAnsi="宋体" w:eastAsia="宋体" w:cs="宋体"/>
        </w:rPr>
        <w:t>用。</w:t>
      </w:r>
    </w:p>
    <w:p>
      <w:pPr>
        <w:pStyle w:val="9"/>
        <w:spacing w:before="8"/>
        <w:rPr>
          <w:rFonts w:hint="eastAsia" w:ascii="宋体" w:hAnsi="宋体" w:eastAsia="宋体" w:cs="宋体"/>
          <w:sz w:val="15"/>
        </w:rPr>
      </w:pPr>
    </w:p>
    <w:p>
      <w:pPr>
        <w:pStyle w:val="5"/>
        <w:numPr>
          <w:ilvl w:val="0"/>
          <w:numId w:val="16"/>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8"/>
        </w:rPr>
        <w:t>当事人：</w:t>
      </w:r>
    </w:p>
    <w:p>
      <w:pPr>
        <w:pStyle w:val="18"/>
        <w:numPr>
          <w:ilvl w:val="1"/>
          <w:numId w:val="16"/>
        </w:numPr>
        <w:tabs>
          <w:tab w:val="left" w:pos="871"/>
        </w:tabs>
        <w:spacing w:before="70" w:after="0" w:line="379" w:lineRule="auto"/>
        <w:ind w:left="510" w:right="517" w:firstLine="0"/>
        <w:jc w:val="left"/>
        <w:rPr>
          <w:rFonts w:hint="eastAsia" w:ascii="宋体" w:hAnsi="宋体" w:eastAsia="宋体" w:cs="宋体"/>
          <w:sz w:val="19"/>
        </w:rPr>
      </w:pPr>
      <w:r>
        <w:rPr>
          <w:rFonts w:hint="eastAsia" w:ascii="宋体" w:hAnsi="宋体" w:eastAsia="宋体" w:cs="宋体"/>
          <w:spacing w:val="-4"/>
          <w:sz w:val="19"/>
        </w:rPr>
        <w:t>“</w:t>
      </w:r>
      <w:r>
        <w:rPr>
          <w:rFonts w:hint="eastAsia" w:ascii="宋体" w:hAnsi="宋体" w:eastAsia="宋体" w:cs="宋体"/>
          <w:sz w:val="19"/>
        </w:rPr>
        <w:t>采购人</w:t>
      </w:r>
      <w:r>
        <w:rPr>
          <w:rFonts w:hint="eastAsia" w:ascii="宋体" w:hAnsi="宋体" w:eastAsia="宋体" w:cs="宋体"/>
          <w:spacing w:val="-4"/>
          <w:sz w:val="19"/>
        </w:rPr>
        <w:t>”</w:t>
      </w:r>
      <w:r>
        <w:rPr>
          <w:rFonts w:hint="eastAsia" w:ascii="宋体" w:hAnsi="宋体" w:eastAsia="宋体" w:cs="宋体"/>
          <w:spacing w:val="-1"/>
          <w:sz w:val="19"/>
        </w:rPr>
        <w:t>是指依法进行政府采购的国家机关、事业单位、团体组织。本磋商文件的采购人特指牡丹江师范学院。</w:t>
      </w:r>
      <w:r>
        <w:rPr>
          <w:rFonts w:hint="eastAsia" w:ascii="宋体" w:hAnsi="宋体" w:eastAsia="宋体" w:cs="宋体"/>
          <w:spacing w:val="-3"/>
          <w:sz w:val="19"/>
        </w:rPr>
        <w:t>4.2“</w:t>
      </w:r>
      <w:r>
        <w:rPr>
          <w:rFonts w:hint="eastAsia" w:ascii="宋体" w:hAnsi="宋体" w:eastAsia="宋体" w:cs="宋体"/>
          <w:sz w:val="19"/>
        </w:rPr>
        <w:t>采购代理机构</w:t>
      </w:r>
      <w:r>
        <w:rPr>
          <w:rFonts w:hint="eastAsia" w:ascii="宋体" w:hAnsi="宋体" w:eastAsia="宋体" w:cs="宋体"/>
          <w:spacing w:val="-4"/>
          <w:sz w:val="19"/>
        </w:rPr>
        <w:t>”</w:t>
      </w:r>
      <w:r>
        <w:rPr>
          <w:rFonts w:hint="eastAsia" w:ascii="宋体" w:hAnsi="宋体" w:eastAsia="宋体" w:cs="宋体"/>
          <w:sz w:val="19"/>
        </w:rPr>
        <w:t xml:space="preserve">是指本次招标采购项目活动组织方。本采购文件的采购代理机构特指黑龙江省政府采购中心。  </w:t>
      </w:r>
      <w:r>
        <w:rPr>
          <w:rFonts w:hint="eastAsia" w:ascii="宋体" w:hAnsi="宋体" w:eastAsia="宋体" w:cs="宋体"/>
          <w:spacing w:val="-3"/>
          <w:w w:val="110"/>
          <w:sz w:val="19"/>
        </w:rPr>
        <w:t>4.3“</w:t>
      </w:r>
      <w:r>
        <w:rPr>
          <w:rFonts w:hint="eastAsia" w:ascii="宋体" w:hAnsi="宋体" w:eastAsia="宋体" w:cs="宋体"/>
          <w:w w:val="110"/>
          <w:sz w:val="19"/>
        </w:rPr>
        <w:t>供应商</w:t>
      </w:r>
      <w:r>
        <w:rPr>
          <w:rFonts w:hint="eastAsia" w:ascii="宋体" w:hAnsi="宋体" w:eastAsia="宋体" w:cs="宋体"/>
          <w:spacing w:val="-4"/>
          <w:w w:val="110"/>
          <w:sz w:val="19"/>
        </w:rPr>
        <w:t>”</w:t>
      </w:r>
      <w:r>
        <w:rPr>
          <w:rFonts w:hint="eastAsia" w:ascii="宋体" w:hAnsi="宋体" w:eastAsia="宋体" w:cs="宋体"/>
          <w:w w:val="110"/>
          <w:sz w:val="19"/>
        </w:rPr>
        <w:t>是指向采购人提供货物、工程或者服务的法人、其他组织或者自然人。</w:t>
      </w:r>
    </w:p>
    <w:p>
      <w:pPr>
        <w:pStyle w:val="18"/>
        <w:numPr>
          <w:ilvl w:val="1"/>
          <w:numId w:val="17"/>
        </w:numPr>
        <w:tabs>
          <w:tab w:val="left" w:pos="871"/>
        </w:tabs>
        <w:spacing w:before="0" w:after="0" w:line="379" w:lineRule="auto"/>
        <w:ind w:left="126" w:right="133" w:firstLine="384"/>
        <w:jc w:val="left"/>
        <w:rPr>
          <w:rFonts w:hint="eastAsia" w:ascii="宋体" w:hAnsi="宋体" w:eastAsia="宋体" w:cs="宋体"/>
          <w:sz w:val="19"/>
        </w:rPr>
      </w:pPr>
      <w:r>
        <w:rPr>
          <w:rFonts w:hint="eastAsia" w:ascii="宋体" w:hAnsi="宋体" w:eastAsia="宋体" w:cs="宋体"/>
          <w:spacing w:val="-4"/>
          <w:sz w:val="19"/>
        </w:rPr>
        <w:t>“</w:t>
      </w:r>
      <w:r>
        <w:rPr>
          <w:rFonts w:hint="eastAsia" w:ascii="宋体" w:hAnsi="宋体" w:eastAsia="宋体" w:cs="宋体"/>
          <w:sz w:val="19"/>
        </w:rPr>
        <w:t>磋商小组</w:t>
      </w:r>
      <w:r>
        <w:rPr>
          <w:rFonts w:hint="eastAsia" w:ascii="宋体" w:hAnsi="宋体" w:eastAsia="宋体" w:cs="宋体"/>
          <w:spacing w:val="-4"/>
          <w:sz w:val="19"/>
        </w:rPr>
        <w:t>”</w:t>
      </w:r>
      <w:r>
        <w:rPr>
          <w:rFonts w:hint="eastAsia" w:ascii="宋体" w:hAnsi="宋体" w:eastAsia="宋体" w:cs="宋体"/>
          <w:spacing w:val="-1"/>
          <w:sz w:val="19"/>
        </w:rPr>
        <w:t>是指根据《中华人民共和国政府采购法》等法律法规规定，由采购人代表和有关专家组成以确定成交供应</w:t>
      </w:r>
      <w:r>
        <w:rPr>
          <w:rFonts w:hint="eastAsia" w:ascii="宋体" w:hAnsi="宋体" w:eastAsia="宋体" w:cs="宋体"/>
          <w:sz w:val="19"/>
        </w:rPr>
        <w:t>商或者推荐成交候选人的临时组织。</w:t>
      </w:r>
    </w:p>
    <w:p>
      <w:pPr>
        <w:pStyle w:val="18"/>
        <w:numPr>
          <w:ilvl w:val="1"/>
          <w:numId w:val="17"/>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pacing w:val="-4"/>
          <w:sz w:val="19"/>
        </w:rPr>
        <w:t>“</w:t>
      </w:r>
      <w:r>
        <w:rPr>
          <w:rFonts w:hint="eastAsia" w:ascii="宋体" w:hAnsi="宋体" w:eastAsia="宋体" w:cs="宋体"/>
          <w:sz w:val="19"/>
        </w:rPr>
        <w:t>供应商</w:t>
      </w:r>
      <w:r>
        <w:rPr>
          <w:rFonts w:hint="eastAsia" w:ascii="宋体" w:hAnsi="宋体" w:eastAsia="宋体" w:cs="宋体"/>
          <w:spacing w:val="-4"/>
          <w:sz w:val="19"/>
        </w:rPr>
        <w:t>”</w:t>
      </w:r>
      <w:r>
        <w:rPr>
          <w:rFonts w:hint="eastAsia" w:ascii="宋体" w:hAnsi="宋体" w:eastAsia="宋体" w:cs="宋体"/>
          <w:sz w:val="19"/>
        </w:rPr>
        <w:t>是指经磋商小组评审确定的对磋商文件做出实质性响应，取得与采购人签订合同资格的供应商。</w:t>
      </w:r>
    </w:p>
    <w:p>
      <w:pPr>
        <w:pStyle w:val="9"/>
        <w:spacing w:before="6"/>
        <w:rPr>
          <w:rFonts w:hint="eastAsia" w:ascii="宋体" w:hAnsi="宋体" w:eastAsia="宋体" w:cs="宋体"/>
          <w:sz w:val="15"/>
        </w:rPr>
      </w:pPr>
    </w:p>
    <w:p>
      <w:pPr>
        <w:pStyle w:val="5"/>
        <w:numPr>
          <w:ilvl w:val="0"/>
          <w:numId w:val="16"/>
        </w:numPr>
        <w:tabs>
          <w:tab w:val="left" w:pos="333"/>
        </w:tabs>
        <w:spacing w:before="1" w:after="0" w:line="240" w:lineRule="auto"/>
        <w:ind w:left="332" w:right="0" w:hanging="207"/>
        <w:jc w:val="left"/>
        <w:rPr>
          <w:rFonts w:hint="eastAsia" w:ascii="宋体" w:hAnsi="宋体" w:eastAsia="宋体" w:cs="宋体"/>
        </w:rPr>
      </w:pPr>
      <w:r>
        <w:rPr>
          <w:rFonts w:hint="eastAsia" w:ascii="宋体" w:hAnsi="宋体" w:eastAsia="宋体" w:cs="宋体"/>
          <w:spacing w:val="10"/>
        </w:rPr>
        <w:t>合格的供应商</w:t>
      </w:r>
    </w:p>
    <w:p>
      <w:pPr>
        <w:pStyle w:val="18"/>
        <w:numPr>
          <w:ilvl w:val="1"/>
          <w:numId w:val="16"/>
        </w:numPr>
        <w:tabs>
          <w:tab w:val="left" w:pos="814"/>
        </w:tabs>
        <w:spacing w:before="7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符合本磋商文件规定的资格要求，并按照要求提供相关证明材料。</w:t>
      </w:r>
    </w:p>
    <w:p>
      <w:pPr>
        <w:pStyle w:val="18"/>
        <w:numPr>
          <w:ilvl w:val="1"/>
          <w:numId w:val="16"/>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单位负责人为同一人或者存在直接控股、管理关系的不同供应商，不得参加同一合同项下的政府采购活动。</w:t>
      </w:r>
    </w:p>
    <w:p>
      <w:pPr>
        <w:pStyle w:val="18"/>
        <w:numPr>
          <w:ilvl w:val="1"/>
          <w:numId w:val="16"/>
        </w:numPr>
        <w:tabs>
          <w:tab w:val="left" w:pos="814"/>
        </w:tabs>
        <w:spacing w:before="141"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为采购项目提供整体设计、规范编制或者项目管理、监理、检测等服务的供应商，不得再参加该采购项目的其他采购</w:t>
      </w:r>
      <w:r>
        <w:rPr>
          <w:rFonts w:hint="eastAsia" w:ascii="宋体" w:hAnsi="宋体" w:eastAsia="宋体" w:cs="宋体"/>
          <w:sz w:val="19"/>
        </w:rPr>
        <w:t>活动。</w:t>
      </w:r>
    </w:p>
    <w:p>
      <w:pPr>
        <w:pStyle w:val="5"/>
        <w:numPr>
          <w:ilvl w:val="0"/>
          <w:numId w:val="16"/>
        </w:numPr>
        <w:tabs>
          <w:tab w:val="left" w:pos="333"/>
        </w:tabs>
        <w:spacing w:before="58" w:after="0" w:line="240" w:lineRule="auto"/>
        <w:ind w:left="332" w:right="0" w:hanging="207"/>
        <w:jc w:val="left"/>
        <w:rPr>
          <w:rFonts w:hint="eastAsia" w:ascii="宋体" w:hAnsi="宋体" w:eastAsia="宋体" w:cs="宋体"/>
        </w:rPr>
      </w:pPr>
      <w:r>
        <w:rPr>
          <w:rFonts w:hint="eastAsia" w:ascii="宋体" w:hAnsi="宋体" w:eastAsia="宋体" w:cs="宋体"/>
          <w:spacing w:val="11"/>
        </w:rPr>
        <w:t>以联合体形式投标的，应符合以下规定：</w:t>
      </w:r>
    </w:p>
    <w:p>
      <w:pPr>
        <w:pStyle w:val="18"/>
        <w:numPr>
          <w:ilvl w:val="1"/>
          <w:numId w:val="16"/>
        </w:numPr>
        <w:tabs>
          <w:tab w:val="left" w:pos="814"/>
        </w:tabs>
        <w:spacing w:before="7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联合体各方应签订联合体协议书，明确联合体牵头人和各方权利义务，并作为响应文件组成分部分。</w:t>
      </w:r>
    </w:p>
    <w:p>
      <w:pPr>
        <w:pStyle w:val="18"/>
        <w:numPr>
          <w:ilvl w:val="1"/>
          <w:numId w:val="16"/>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联合体各方均应当具备政府采购法第二十二条规定的条件，并在响应文件中提供联合体各方的相关证明材料。</w:t>
      </w:r>
    </w:p>
    <w:p>
      <w:pPr>
        <w:pStyle w:val="18"/>
        <w:numPr>
          <w:ilvl w:val="1"/>
          <w:numId w:val="16"/>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联合体成员存在不良信用记录的，视同联合体存在不良信用记录。</w:t>
      </w:r>
    </w:p>
    <w:p>
      <w:pPr>
        <w:pStyle w:val="18"/>
        <w:numPr>
          <w:ilvl w:val="1"/>
          <w:numId w:val="16"/>
        </w:numPr>
        <w:tabs>
          <w:tab w:val="left" w:pos="814"/>
        </w:tabs>
        <w:spacing w:before="14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联合体各方中至少应当有一方符合采购人规定的资格要求。由同一资质条件的供应商组成的联合体，应当按照资质等</w:t>
      </w:r>
      <w:r>
        <w:rPr>
          <w:rFonts w:hint="eastAsia" w:ascii="宋体" w:hAnsi="宋体" w:eastAsia="宋体" w:cs="宋体"/>
          <w:sz w:val="19"/>
        </w:rPr>
        <w:t>级较低的供应商确定联合体资质等级。</w:t>
      </w:r>
    </w:p>
    <w:p>
      <w:pPr>
        <w:pStyle w:val="18"/>
        <w:numPr>
          <w:ilvl w:val="1"/>
          <w:numId w:val="16"/>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联合体各方不得再以自己名义单独在同一项目中投标，也不得组成新的联合体参加同一项目投标。</w:t>
      </w:r>
    </w:p>
    <w:p>
      <w:pPr>
        <w:pStyle w:val="18"/>
        <w:numPr>
          <w:ilvl w:val="1"/>
          <w:numId w:val="16"/>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联合体各方应当共同与采购人签订采购合同，就合同约定的事项对采购人承担连带责任。</w:t>
      </w:r>
    </w:p>
    <w:p>
      <w:pPr>
        <w:pStyle w:val="18"/>
        <w:numPr>
          <w:ilvl w:val="1"/>
          <w:numId w:val="16"/>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投标时，应以联合体协议中确定的主体方名义投标，以主体方名义缴纳保证金，对联合体各方均具有约束力。</w:t>
      </w:r>
    </w:p>
    <w:p>
      <w:pPr>
        <w:pStyle w:val="9"/>
        <w:spacing w:before="7"/>
        <w:rPr>
          <w:rFonts w:hint="eastAsia" w:ascii="宋体" w:hAnsi="宋体" w:eastAsia="宋体" w:cs="宋体"/>
          <w:sz w:val="15"/>
        </w:rPr>
      </w:pPr>
    </w:p>
    <w:p>
      <w:pPr>
        <w:pStyle w:val="5"/>
        <w:numPr>
          <w:ilvl w:val="0"/>
          <w:numId w:val="16"/>
        </w:numPr>
        <w:tabs>
          <w:tab w:val="left" w:pos="333"/>
        </w:tabs>
        <w:spacing w:before="1" w:after="0" w:line="240" w:lineRule="auto"/>
        <w:ind w:left="332" w:right="0" w:hanging="207"/>
        <w:jc w:val="left"/>
        <w:rPr>
          <w:rFonts w:hint="eastAsia" w:ascii="宋体" w:hAnsi="宋体" w:eastAsia="宋体" w:cs="宋体"/>
        </w:rPr>
      </w:pPr>
      <w:r>
        <w:rPr>
          <w:rFonts w:hint="eastAsia" w:ascii="宋体" w:hAnsi="宋体" w:eastAsia="宋体" w:cs="宋体"/>
          <w:spacing w:val="10"/>
        </w:rPr>
        <w:t>语言文字以及度量衡单位</w:t>
      </w:r>
    </w:p>
    <w:p>
      <w:pPr>
        <w:pStyle w:val="18"/>
        <w:numPr>
          <w:ilvl w:val="1"/>
          <w:numId w:val="16"/>
        </w:numPr>
        <w:tabs>
          <w:tab w:val="left" w:pos="814"/>
        </w:tabs>
        <w:spacing w:before="7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所有文件使用的语言文字为简体中文。专用术语使用外文的，应附有简体中文注释，否则视为无效。</w:t>
      </w:r>
    </w:p>
    <w:p>
      <w:pPr>
        <w:pStyle w:val="18"/>
        <w:numPr>
          <w:ilvl w:val="1"/>
          <w:numId w:val="16"/>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所有计量均采用中国法定的计量单位。</w:t>
      </w:r>
    </w:p>
    <w:p>
      <w:pPr>
        <w:pStyle w:val="18"/>
        <w:numPr>
          <w:ilvl w:val="1"/>
          <w:numId w:val="16"/>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所有报价一律使用人民币，货币单位：元。</w:t>
      </w:r>
    </w:p>
    <w:p>
      <w:pPr>
        <w:pStyle w:val="9"/>
        <w:spacing w:before="7"/>
        <w:rPr>
          <w:rFonts w:hint="eastAsia" w:ascii="宋体" w:hAnsi="宋体" w:eastAsia="宋体" w:cs="宋体"/>
          <w:sz w:val="15"/>
        </w:rPr>
      </w:pPr>
    </w:p>
    <w:p>
      <w:pPr>
        <w:pStyle w:val="5"/>
        <w:numPr>
          <w:ilvl w:val="0"/>
          <w:numId w:val="16"/>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8"/>
        </w:rPr>
        <w:t>现场踏勘</w:t>
      </w:r>
    </w:p>
    <w:p>
      <w:pPr>
        <w:spacing w:after="0" w:line="240" w:lineRule="auto"/>
        <w:jc w:val="left"/>
        <w:rPr>
          <w:rFonts w:hint="eastAsia" w:ascii="宋体" w:hAnsi="宋体" w:eastAsia="宋体" w:cs="宋体"/>
        </w:rPr>
        <w:sectPr>
          <w:pgSz w:w="11900" w:h="16840"/>
          <w:pgMar w:top="740" w:right="560" w:bottom="280" w:left="540" w:header="0" w:footer="13" w:gutter="0"/>
          <w:cols w:space="720" w:num="1"/>
        </w:sectPr>
      </w:pPr>
    </w:p>
    <w:p>
      <w:pPr>
        <w:pStyle w:val="18"/>
        <w:numPr>
          <w:ilvl w:val="1"/>
          <w:numId w:val="16"/>
        </w:numPr>
        <w:tabs>
          <w:tab w:val="left" w:pos="814"/>
        </w:tabs>
        <w:spacing w:before="72" w:after="0" w:line="240" w:lineRule="auto"/>
        <w:ind w:left="813" w:right="0" w:hanging="304"/>
        <w:jc w:val="left"/>
        <w:rPr>
          <w:rFonts w:hint="eastAsia" w:ascii="宋体" w:hAnsi="宋体" w:eastAsia="宋体" w:cs="宋体"/>
          <w:sz w:val="19"/>
        </w:rPr>
      </w:pPr>
      <w:r>
        <w:rPr>
          <w:rFonts w:hint="eastAsia" w:ascii="宋体" w:hAnsi="宋体" w:eastAsia="宋体" w:cs="宋体"/>
          <w:sz w:val="19"/>
        </w:rPr>
        <w:t>磋商文件规定组织踏勘现场的，采购人按磋商文件规定的时间、地点组织供应商踏勘项目现场。</w:t>
      </w:r>
    </w:p>
    <w:p>
      <w:pPr>
        <w:pStyle w:val="18"/>
        <w:numPr>
          <w:ilvl w:val="1"/>
          <w:numId w:val="16"/>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供应商自行承担踏勘现场发生的责任、风险和自身费用。</w:t>
      </w:r>
    </w:p>
    <w:p>
      <w:pPr>
        <w:pStyle w:val="18"/>
        <w:numPr>
          <w:ilvl w:val="1"/>
          <w:numId w:val="16"/>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采购人在踏勘现场中介绍的资料和数据等，不构成对磋商文件的修改或不作为供应商编制响应文件的依据。</w:t>
      </w:r>
    </w:p>
    <w:p>
      <w:pPr>
        <w:pStyle w:val="9"/>
        <w:spacing w:before="8"/>
        <w:rPr>
          <w:rFonts w:hint="eastAsia" w:ascii="宋体" w:hAnsi="宋体" w:eastAsia="宋体" w:cs="宋体"/>
          <w:sz w:val="15"/>
        </w:rPr>
      </w:pPr>
    </w:p>
    <w:p>
      <w:pPr>
        <w:pStyle w:val="5"/>
        <w:numPr>
          <w:ilvl w:val="0"/>
          <w:numId w:val="16"/>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8"/>
        </w:rPr>
        <w:t>其他条款</w:t>
      </w:r>
    </w:p>
    <w:p>
      <w:pPr>
        <w:pStyle w:val="9"/>
        <w:spacing w:before="71"/>
        <w:ind w:left="510"/>
        <w:rPr>
          <w:rFonts w:hint="eastAsia" w:ascii="宋体" w:hAnsi="宋体" w:eastAsia="宋体" w:cs="宋体"/>
        </w:rPr>
      </w:pPr>
      <w:r>
        <w:rPr>
          <w:rFonts w:hint="eastAsia" w:ascii="宋体" w:hAnsi="宋体" w:eastAsia="宋体" w:cs="宋体"/>
        </w:rPr>
        <w:t>无论成交与否供应商递交的响应文件均不予退还。</w:t>
      </w:r>
    </w:p>
    <w:p>
      <w:pPr>
        <w:pStyle w:val="9"/>
        <w:spacing w:before="3"/>
        <w:rPr>
          <w:rFonts w:hint="eastAsia" w:ascii="宋体" w:hAnsi="宋体" w:eastAsia="宋体" w:cs="宋体"/>
          <w:sz w:val="24"/>
        </w:rPr>
      </w:pPr>
    </w:p>
    <w:p>
      <w:pPr>
        <w:pStyle w:val="4"/>
        <w:rPr>
          <w:rFonts w:hint="eastAsia" w:ascii="宋体" w:hAnsi="宋体" w:eastAsia="宋体" w:cs="宋体"/>
        </w:rPr>
      </w:pPr>
      <w:r>
        <w:rPr>
          <w:rFonts w:hint="eastAsia" w:ascii="宋体" w:hAnsi="宋体" w:eastAsia="宋体" w:cs="宋体"/>
        </w:rPr>
        <w:t>四、磋商文件的澄清和修改</w:t>
      </w:r>
    </w:p>
    <w:p>
      <w:pPr>
        <w:pStyle w:val="9"/>
        <w:spacing w:before="114" w:line="379" w:lineRule="auto"/>
        <w:ind w:left="126" w:right="109" w:firstLine="384"/>
        <w:rPr>
          <w:rFonts w:hint="eastAsia" w:ascii="宋体" w:hAnsi="宋体" w:eastAsia="宋体" w:cs="宋体"/>
        </w:rPr>
      </w:pPr>
      <w:r>
        <w:rPr>
          <w:rFonts w:hint="eastAsia" w:ascii="宋体" w:hAnsi="宋体" w:eastAsia="宋体" w:cs="宋体"/>
          <w:spacing w:val="-3"/>
        </w:rPr>
        <w:t>1.</w:t>
      </w:r>
      <w:r>
        <w:rPr>
          <w:rFonts w:hint="eastAsia" w:ascii="宋体" w:hAnsi="宋体" w:eastAsia="宋体" w:cs="宋体"/>
        </w:rPr>
        <w:t xml:space="preserve">提交首次响应文件截止之日前，采购人、采购代理机构或者磋商小组可以对已发出的磋商文件进行必要的澄清或者修  </w:t>
      </w:r>
      <w:r>
        <w:rPr>
          <w:rFonts w:hint="eastAsia" w:ascii="宋体" w:hAnsi="宋体" w:eastAsia="宋体" w:cs="宋体"/>
          <w:spacing w:val="-1"/>
        </w:rPr>
        <w:t>改，澄清或者修改的内容作为磋商文件的组成部分。澄清或者修改的内容可能影响响应文件编制的，采购人、采购代理机构应</w:t>
      </w:r>
      <w:r>
        <w:rPr>
          <w:rFonts w:hint="eastAsia" w:ascii="宋体" w:hAnsi="宋体" w:eastAsia="宋体" w:cs="宋体"/>
        </w:rPr>
        <w:t>当在提交首次响应文件截止时间至少</w:t>
      </w:r>
      <w:r>
        <w:rPr>
          <w:rFonts w:hint="eastAsia" w:ascii="宋体" w:hAnsi="宋体" w:eastAsia="宋体" w:cs="宋体"/>
          <w:spacing w:val="-3"/>
        </w:rPr>
        <w:t>5</w:t>
      </w:r>
      <w:r>
        <w:rPr>
          <w:rFonts w:hint="eastAsia" w:ascii="宋体" w:hAnsi="宋体" w:eastAsia="宋体" w:cs="宋体"/>
        </w:rPr>
        <w:t>日前；不足</w:t>
      </w:r>
      <w:r>
        <w:rPr>
          <w:rFonts w:hint="eastAsia" w:ascii="宋体" w:hAnsi="宋体" w:eastAsia="宋体" w:cs="宋体"/>
          <w:spacing w:val="-3"/>
        </w:rPr>
        <w:t>5</w:t>
      </w:r>
      <w:r>
        <w:rPr>
          <w:rFonts w:hint="eastAsia" w:ascii="宋体" w:hAnsi="宋体" w:eastAsia="宋体" w:cs="宋体"/>
        </w:rPr>
        <w:t>日的，采购人、采购代理机构应当顺延提交首次响应文件截止时间。同时  在</w:t>
      </w:r>
      <w:r>
        <w:rPr>
          <w:rFonts w:hint="eastAsia" w:ascii="宋体" w:hAnsi="宋体" w:eastAsia="宋体" w:cs="宋体"/>
          <w:spacing w:val="-4"/>
        </w:rPr>
        <w:t>“</w:t>
      </w:r>
      <w:r>
        <w:rPr>
          <w:rFonts w:hint="eastAsia" w:ascii="宋体" w:hAnsi="宋体" w:eastAsia="宋体" w:cs="宋体"/>
        </w:rPr>
        <w:t>黑龙江省政府采购网</w:t>
      </w:r>
      <w:r>
        <w:rPr>
          <w:rFonts w:hint="eastAsia" w:ascii="宋体" w:hAnsi="宋体" w:eastAsia="宋体" w:cs="宋体"/>
          <w:spacing w:val="-4"/>
        </w:rPr>
        <w:t>”</w:t>
      </w:r>
      <w:r>
        <w:rPr>
          <w:rFonts w:hint="eastAsia" w:ascii="宋体" w:hAnsi="宋体" w:eastAsia="宋体" w:cs="宋体"/>
          <w:spacing w:val="-1"/>
        </w:rPr>
        <w:t>上发布澄清或者变更公告进行通知。澄清或者变更公告的内容为磋商文件的组成部分，供应商应自行</w:t>
      </w:r>
      <w:r>
        <w:rPr>
          <w:rFonts w:hint="eastAsia" w:ascii="宋体" w:hAnsi="宋体" w:eastAsia="宋体" w:cs="宋体"/>
          <w:w w:val="110"/>
        </w:rPr>
        <w:t>上网查询，采购人或采购代理机构不承担供应商未及时关注相关信息的责任。</w:t>
      </w:r>
    </w:p>
    <w:p>
      <w:pPr>
        <w:pStyle w:val="9"/>
        <w:rPr>
          <w:rFonts w:hint="eastAsia" w:ascii="宋体" w:hAnsi="宋体" w:eastAsia="宋体" w:cs="宋体"/>
          <w:sz w:val="13"/>
        </w:rPr>
      </w:pPr>
    </w:p>
    <w:p>
      <w:pPr>
        <w:pStyle w:val="4"/>
        <w:rPr>
          <w:rFonts w:hint="eastAsia" w:ascii="宋体" w:hAnsi="宋体" w:eastAsia="宋体" w:cs="宋体"/>
        </w:rPr>
      </w:pPr>
      <w:r>
        <w:rPr>
          <w:rFonts w:hint="eastAsia" w:ascii="宋体" w:hAnsi="宋体" w:eastAsia="宋体" w:cs="宋体"/>
        </w:rPr>
        <w:t>五、响应文件</w:t>
      </w:r>
    </w:p>
    <w:p>
      <w:pPr>
        <w:pStyle w:val="5"/>
        <w:numPr>
          <w:ilvl w:val="0"/>
          <w:numId w:val="18"/>
        </w:numPr>
        <w:tabs>
          <w:tab w:val="left" w:pos="333"/>
        </w:tabs>
        <w:spacing w:before="174" w:after="0" w:line="240" w:lineRule="auto"/>
        <w:ind w:left="332" w:right="0" w:hanging="207"/>
        <w:jc w:val="left"/>
        <w:rPr>
          <w:rFonts w:hint="eastAsia" w:ascii="宋体" w:hAnsi="宋体" w:eastAsia="宋体" w:cs="宋体"/>
        </w:rPr>
      </w:pPr>
      <w:r>
        <w:rPr>
          <w:rFonts w:hint="eastAsia" w:ascii="宋体" w:hAnsi="宋体" w:eastAsia="宋体" w:cs="宋体"/>
          <w:spacing w:val="10"/>
        </w:rPr>
        <w:t>响应文件的构成</w:t>
      </w:r>
    </w:p>
    <w:p>
      <w:pPr>
        <w:pStyle w:val="9"/>
        <w:spacing w:before="70"/>
        <w:ind w:left="510"/>
        <w:rPr>
          <w:rFonts w:hint="eastAsia" w:ascii="宋体" w:hAnsi="宋体" w:eastAsia="宋体" w:cs="宋体"/>
        </w:rPr>
      </w:pPr>
      <w:r>
        <w:rPr>
          <w:rFonts w:hint="eastAsia" w:ascii="宋体" w:hAnsi="宋体" w:eastAsia="宋体" w:cs="宋体"/>
        </w:rPr>
        <w:t>响应文件应按照磋商文件第七章“响应文件格式”进行编写（可以增加附页），作为响应文件的组成部分。</w:t>
      </w:r>
    </w:p>
    <w:p>
      <w:pPr>
        <w:pStyle w:val="9"/>
        <w:spacing w:before="8"/>
        <w:rPr>
          <w:rFonts w:hint="eastAsia" w:ascii="宋体" w:hAnsi="宋体" w:eastAsia="宋体" w:cs="宋体"/>
          <w:sz w:val="15"/>
        </w:rPr>
      </w:pPr>
    </w:p>
    <w:p>
      <w:pPr>
        <w:pStyle w:val="5"/>
        <w:numPr>
          <w:ilvl w:val="0"/>
          <w:numId w:val="18"/>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8"/>
        </w:rPr>
        <w:t>响应报价</w:t>
      </w:r>
    </w:p>
    <w:p>
      <w:pPr>
        <w:pStyle w:val="18"/>
        <w:numPr>
          <w:ilvl w:val="1"/>
          <w:numId w:val="18"/>
        </w:numPr>
        <w:tabs>
          <w:tab w:val="left" w:pos="814"/>
        </w:tabs>
        <w:spacing w:before="71" w:after="0" w:line="379" w:lineRule="auto"/>
        <w:ind w:left="126" w:right="289" w:firstLine="384"/>
        <w:jc w:val="left"/>
        <w:rPr>
          <w:rFonts w:hint="eastAsia" w:ascii="宋体" w:hAnsi="宋体" w:eastAsia="宋体" w:cs="宋体"/>
          <w:sz w:val="19"/>
        </w:rPr>
      </w:pPr>
      <w:r>
        <w:rPr>
          <w:rFonts w:hint="eastAsia" w:ascii="宋体" w:hAnsi="宋体" w:eastAsia="宋体" w:cs="宋体"/>
          <w:sz w:val="19"/>
        </w:rPr>
        <w:t>供应商应按照</w:t>
      </w:r>
      <w:r>
        <w:rPr>
          <w:rFonts w:hint="eastAsia" w:ascii="宋体" w:hAnsi="宋体" w:eastAsia="宋体" w:cs="宋体"/>
          <w:spacing w:val="-4"/>
          <w:sz w:val="19"/>
        </w:rPr>
        <w:t>“</w:t>
      </w:r>
      <w:r>
        <w:rPr>
          <w:rFonts w:hint="eastAsia" w:ascii="宋体" w:hAnsi="宋体" w:eastAsia="宋体" w:cs="宋体"/>
          <w:sz w:val="19"/>
        </w:rPr>
        <w:t>第四章采购内容与要求</w:t>
      </w:r>
      <w:r>
        <w:rPr>
          <w:rFonts w:hint="eastAsia" w:ascii="宋体" w:hAnsi="宋体" w:eastAsia="宋体" w:cs="宋体"/>
          <w:spacing w:val="-4"/>
          <w:sz w:val="19"/>
        </w:rPr>
        <w:t>”</w:t>
      </w:r>
      <w:r>
        <w:rPr>
          <w:rFonts w:hint="eastAsia" w:ascii="宋体" w:hAnsi="宋体" w:eastAsia="宋体" w:cs="宋体"/>
          <w:sz w:val="19"/>
        </w:rPr>
        <w:t>的需求内容、责任范围以及合同条款进行报价。并按</w:t>
      </w:r>
      <w:r>
        <w:rPr>
          <w:rFonts w:hint="eastAsia" w:ascii="宋体" w:hAnsi="宋体" w:eastAsia="宋体" w:cs="宋体"/>
          <w:spacing w:val="-4"/>
          <w:sz w:val="19"/>
        </w:rPr>
        <w:t>“</w:t>
      </w:r>
      <w:r>
        <w:rPr>
          <w:rFonts w:hint="eastAsia" w:ascii="宋体" w:hAnsi="宋体" w:eastAsia="宋体" w:cs="宋体"/>
          <w:sz w:val="19"/>
        </w:rPr>
        <w:t>开标一览表</w:t>
      </w:r>
      <w:r>
        <w:rPr>
          <w:rFonts w:hint="eastAsia" w:ascii="宋体" w:hAnsi="宋体" w:eastAsia="宋体" w:cs="宋体"/>
          <w:spacing w:val="-4"/>
          <w:sz w:val="19"/>
        </w:rPr>
        <w:t>”</w:t>
      </w:r>
      <w:r>
        <w:rPr>
          <w:rFonts w:hint="eastAsia" w:ascii="宋体" w:hAnsi="宋体" w:eastAsia="宋体" w:cs="宋体"/>
          <w:sz w:val="19"/>
        </w:rPr>
        <w:t>和</w:t>
      </w:r>
      <w:r>
        <w:rPr>
          <w:rFonts w:hint="eastAsia" w:ascii="宋体" w:hAnsi="宋体" w:eastAsia="宋体" w:cs="宋体"/>
          <w:spacing w:val="-4"/>
          <w:sz w:val="19"/>
        </w:rPr>
        <w:t>“</w:t>
      </w:r>
      <w:r>
        <w:rPr>
          <w:rFonts w:hint="eastAsia" w:ascii="宋体" w:hAnsi="宋体" w:eastAsia="宋体" w:cs="宋体"/>
          <w:spacing w:val="-5"/>
          <w:sz w:val="19"/>
        </w:rPr>
        <w:t>分项报</w:t>
      </w:r>
      <w:r>
        <w:rPr>
          <w:rFonts w:hint="eastAsia" w:ascii="宋体" w:hAnsi="宋体" w:eastAsia="宋体" w:cs="宋体"/>
          <w:sz w:val="19"/>
        </w:rPr>
        <w:t>价明细表</w:t>
      </w:r>
      <w:r>
        <w:rPr>
          <w:rFonts w:hint="eastAsia" w:ascii="宋体" w:hAnsi="宋体" w:eastAsia="宋体" w:cs="宋体"/>
          <w:spacing w:val="-4"/>
          <w:sz w:val="19"/>
        </w:rPr>
        <w:t>”</w:t>
      </w:r>
      <w:r>
        <w:rPr>
          <w:rFonts w:hint="eastAsia" w:ascii="宋体" w:hAnsi="宋体" w:eastAsia="宋体" w:cs="宋体"/>
          <w:sz w:val="19"/>
        </w:rPr>
        <w:t>规定的格式报出总价和分项价格。投标总价中不得包含磋商文件要求以外的内容，否则，在评审时不予核减。</w:t>
      </w:r>
    </w:p>
    <w:p>
      <w:pPr>
        <w:pStyle w:val="18"/>
        <w:numPr>
          <w:ilvl w:val="1"/>
          <w:numId w:val="18"/>
        </w:numPr>
        <w:tabs>
          <w:tab w:val="left" w:pos="814"/>
        </w:tabs>
        <w:spacing w:before="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报价包括本项目采购需求和投入使用的所有费用，如主件、标准附件、备品备件、施工、服务、专用工具、安装、调</w:t>
      </w:r>
      <w:r>
        <w:rPr>
          <w:rFonts w:hint="eastAsia" w:ascii="宋体" w:hAnsi="宋体" w:eastAsia="宋体" w:cs="宋体"/>
          <w:sz w:val="19"/>
        </w:rPr>
        <w:t>试、检验、培训、运输、保险、税款等。</w:t>
      </w:r>
    </w:p>
    <w:p>
      <w:pPr>
        <w:pStyle w:val="18"/>
        <w:numPr>
          <w:ilvl w:val="1"/>
          <w:numId w:val="18"/>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响应报价不得有选择性报价和附有条件的报价。</w:t>
      </w:r>
    </w:p>
    <w:p>
      <w:pPr>
        <w:pStyle w:val="18"/>
        <w:numPr>
          <w:ilvl w:val="1"/>
          <w:numId w:val="18"/>
        </w:numPr>
        <w:tabs>
          <w:tab w:val="left" w:pos="814"/>
        </w:tabs>
        <w:spacing w:before="139" w:after="0" w:line="240" w:lineRule="auto"/>
        <w:ind w:left="813" w:right="0" w:hanging="304"/>
        <w:jc w:val="left"/>
        <w:rPr>
          <w:rFonts w:hint="eastAsia" w:ascii="宋体" w:hAnsi="宋体" w:eastAsia="宋体" w:cs="宋体"/>
          <w:sz w:val="19"/>
        </w:rPr>
      </w:pPr>
      <w:r>
        <w:rPr>
          <w:rFonts w:hint="eastAsia" w:ascii="宋体" w:hAnsi="宋体" w:eastAsia="宋体" w:cs="宋体"/>
          <w:sz w:val="19"/>
        </w:rPr>
        <w:t>对报价的计算错误按以下原则修正：</w:t>
      </w:r>
    </w:p>
    <w:p>
      <w:pPr>
        <w:pStyle w:val="18"/>
        <w:numPr>
          <w:ilvl w:val="0"/>
          <w:numId w:val="19"/>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开标一览表（报价表）内容与响应文件中相应内容不一致的，以开标一览表（报价表）为准；</w:t>
      </w:r>
    </w:p>
    <w:p>
      <w:pPr>
        <w:pStyle w:val="18"/>
        <w:numPr>
          <w:ilvl w:val="0"/>
          <w:numId w:val="19"/>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大写金额和小写金额不一致的，以大写金额为准；</w:t>
      </w:r>
    </w:p>
    <w:p>
      <w:pPr>
        <w:pStyle w:val="18"/>
        <w:numPr>
          <w:ilvl w:val="0"/>
          <w:numId w:val="19"/>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单价金额小数点或者百分比有明显错位的，以开标一览表的总价为准，并修改单价。</w:t>
      </w:r>
    </w:p>
    <w:p>
      <w:pPr>
        <w:pStyle w:val="9"/>
        <w:spacing w:before="141" w:line="379" w:lineRule="auto"/>
        <w:ind w:left="126" w:right="109" w:firstLine="384"/>
        <w:rPr>
          <w:rFonts w:hint="eastAsia" w:ascii="宋体" w:hAnsi="宋体" w:eastAsia="宋体" w:cs="宋体"/>
        </w:rPr>
      </w:pPr>
      <w:r>
        <w:rPr>
          <w:rFonts w:hint="eastAsia" w:ascii="宋体" w:hAnsi="宋体" w:eastAsia="宋体" w:cs="宋体"/>
        </w:rPr>
        <w:t>注：修正后的报价供应商应当采用书面形式，并加盖公章，或者由法定代表人或其授权的代表签字确认后产生约束力，但不得超出响应文件的范围或者改变响应文件的实质性内容，供应商不确认的，其投标无效。</w:t>
      </w:r>
    </w:p>
    <w:p>
      <w:pPr>
        <w:pStyle w:val="5"/>
        <w:numPr>
          <w:ilvl w:val="0"/>
          <w:numId w:val="18"/>
        </w:numPr>
        <w:tabs>
          <w:tab w:val="left" w:pos="333"/>
        </w:tabs>
        <w:spacing w:before="58" w:after="0" w:line="240" w:lineRule="auto"/>
        <w:ind w:left="332" w:right="0" w:hanging="207"/>
        <w:jc w:val="left"/>
        <w:rPr>
          <w:rFonts w:hint="eastAsia" w:ascii="宋体" w:hAnsi="宋体" w:eastAsia="宋体" w:cs="宋体"/>
        </w:rPr>
      </w:pPr>
      <w:r>
        <w:rPr>
          <w:rFonts w:hint="eastAsia" w:ascii="宋体" w:hAnsi="宋体" w:eastAsia="宋体" w:cs="宋体"/>
          <w:spacing w:val="7"/>
        </w:rPr>
        <w:t>保证金</w:t>
      </w:r>
    </w:p>
    <w:p>
      <w:pPr>
        <w:pStyle w:val="18"/>
        <w:numPr>
          <w:ilvl w:val="1"/>
          <w:numId w:val="18"/>
        </w:numPr>
        <w:tabs>
          <w:tab w:val="left" w:pos="814"/>
        </w:tabs>
        <w:spacing w:before="7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保证金的缴纳：</w:t>
      </w:r>
    </w:p>
    <w:p>
      <w:pPr>
        <w:pStyle w:val="9"/>
        <w:spacing w:before="140" w:line="379" w:lineRule="auto"/>
        <w:ind w:left="126" w:right="493" w:firstLine="384"/>
        <w:rPr>
          <w:rFonts w:hint="eastAsia" w:ascii="宋体" w:hAnsi="宋体" w:eastAsia="宋体" w:cs="宋体"/>
        </w:rPr>
      </w:pPr>
      <w:r>
        <w:rPr>
          <w:rFonts w:hint="eastAsia" w:ascii="宋体" w:hAnsi="宋体" w:eastAsia="宋体" w:cs="宋体"/>
        </w:rPr>
        <w:t>供应商在提交响应文件的同时，应按供应商须知前附表规定的金额、开户银行、行号、开户单位、账号和磋商文件本章“投标须知”规定的投标保证金缴纳要求递交投标保证金，并作为其响应文件的组成部分。</w:t>
      </w:r>
    </w:p>
    <w:p>
      <w:pPr>
        <w:pStyle w:val="18"/>
        <w:numPr>
          <w:ilvl w:val="1"/>
          <w:numId w:val="18"/>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保证金的退还：</w:t>
      </w:r>
    </w:p>
    <w:p>
      <w:pPr>
        <w:pStyle w:val="18"/>
        <w:numPr>
          <w:ilvl w:val="0"/>
          <w:numId w:val="20"/>
        </w:numPr>
        <w:tabs>
          <w:tab w:val="left" w:pos="1016"/>
        </w:tabs>
        <w:spacing w:before="141" w:after="0" w:line="379" w:lineRule="auto"/>
        <w:ind w:left="126" w:right="253" w:firstLine="384"/>
        <w:jc w:val="left"/>
        <w:rPr>
          <w:rFonts w:hint="eastAsia" w:ascii="宋体" w:hAnsi="宋体" w:eastAsia="宋体" w:cs="宋体"/>
          <w:sz w:val="19"/>
        </w:rPr>
      </w:pPr>
      <w:r>
        <w:rPr>
          <w:rFonts w:hint="eastAsia" w:ascii="宋体" w:hAnsi="宋体" w:eastAsia="宋体" w:cs="宋体"/>
          <w:sz w:val="19"/>
        </w:rPr>
        <w:t>供应商在投标截止时间前放弃投标的，自所投合同包结果公告发出后</w:t>
      </w:r>
      <w:r>
        <w:rPr>
          <w:rFonts w:hint="eastAsia" w:ascii="宋体" w:hAnsi="宋体" w:eastAsia="宋体" w:cs="宋体"/>
          <w:spacing w:val="-3"/>
          <w:w w:val="110"/>
          <w:sz w:val="19"/>
        </w:rPr>
        <w:t>5</w:t>
      </w:r>
      <w:r>
        <w:rPr>
          <w:rFonts w:hint="eastAsia" w:ascii="宋体" w:hAnsi="宋体" w:eastAsia="宋体" w:cs="宋体"/>
          <w:spacing w:val="-1"/>
          <w:sz w:val="19"/>
        </w:rPr>
        <w:t>个工作日内退还，但因供应商自身原因导致</w:t>
      </w:r>
      <w:r>
        <w:rPr>
          <w:rFonts w:hint="eastAsia" w:ascii="宋体" w:hAnsi="宋体" w:eastAsia="宋体" w:cs="宋体"/>
          <w:sz w:val="19"/>
        </w:rPr>
        <w:t>无法及时退还的除外；</w:t>
      </w:r>
    </w:p>
    <w:p>
      <w:pPr>
        <w:pStyle w:val="18"/>
        <w:numPr>
          <w:ilvl w:val="0"/>
          <w:numId w:val="20"/>
        </w:numPr>
        <w:tabs>
          <w:tab w:val="left" w:pos="1016"/>
        </w:tabs>
        <w:spacing w:before="0" w:after="0" w:line="242" w:lineRule="exact"/>
        <w:ind w:left="1015" w:right="0" w:hanging="506"/>
        <w:jc w:val="left"/>
        <w:rPr>
          <w:rFonts w:hint="eastAsia" w:ascii="宋体" w:hAnsi="宋体" w:eastAsia="宋体" w:cs="宋体"/>
          <w:sz w:val="19"/>
        </w:rPr>
      </w:pPr>
      <w:r>
        <w:rPr>
          <w:rFonts w:hint="eastAsia" w:ascii="宋体" w:hAnsi="宋体" w:eastAsia="宋体" w:cs="宋体"/>
          <w:sz w:val="19"/>
        </w:rPr>
        <w:t>未成交供应商投标保证金，自成交通知书发出之日起</w:t>
      </w:r>
      <w:r>
        <w:rPr>
          <w:rFonts w:hint="eastAsia" w:ascii="宋体" w:hAnsi="宋体" w:eastAsia="宋体" w:cs="宋体"/>
          <w:spacing w:val="-3"/>
          <w:w w:val="110"/>
          <w:sz w:val="19"/>
        </w:rPr>
        <w:t>5</w:t>
      </w:r>
      <w:r>
        <w:rPr>
          <w:rFonts w:hint="eastAsia" w:ascii="宋体" w:hAnsi="宋体" w:eastAsia="宋体" w:cs="宋体"/>
          <w:sz w:val="19"/>
        </w:rPr>
        <w:t>个工作日内退还；</w:t>
      </w:r>
    </w:p>
    <w:p>
      <w:pPr>
        <w:pStyle w:val="18"/>
        <w:numPr>
          <w:ilvl w:val="0"/>
          <w:numId w:val="20"/>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成交供应商投标保证金，自政府采购合同签订之日起</w:t>
      </w:r>
      <w:r>
        <w:rPr>
          <w:rFonts w:hint="eastAsia" w:ascii="宋体" w:hAnsi="宋体" w:eastAsia="宋体" w:cs="宋体"/>
          <w:spacing w:val="-3"/>
          <w:w w:val="110"/>
          <w:sz w:val="19"/>
        </w:rPr>
        <w:t>5</w:t>
      </w:r>
      <w:r>
        <w:rPr>
          <w:rFonts w:hint="eastAsia" w:ascii="宋体" w:hAnsi="宋体" w:eastAsia="宋体" w:cs="宋体"/>
          <w:sz w:val="19"/>
        </w:rPr>
        <w:t>个工作日内退还。</w:t>
      </w:r>
    </w:p>
    <w:p>
      <w:pPr>
        <w:pStyle w:val="18"/>
        <w:numPr>
          <w:ilvl w:val="1"/>
          <w:numId w:val="18"/>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有下列情形之一的，投标保证金将不予退还：</w:t>
      </w:r>
    </w:p>
    <w:p>
      <w:pPr>
        <w:pStyle w:val="18"/>
        <w:numPr>
          <w:ilvl w:val="0"/>
          <w:numId w:val="21"/>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成交后，无正当理由放弃中标资格；</w:t>
      </w:r>
    </w:p>
    <w:p>
      <w:pPr>
        <w:pStyle w:val="18"/>
        <w:numPr>
          <w:ilvl w:val="0"/>
          <w:numId w:val="21"/>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成交后，无正当理由不与采购人签订合同；</w:t>
      </w:r>
    </w:p>
    <w:p>
      <w:pPr>
        <w:pStyle w:val="18"/>
        <w:numPr>
          <w:ilvl w:val="0"/>
          <w:numId w:val="21"/>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在签订合同时，向采购人提出附加条件；</w:t>
      </w:r>
    </w:p>
    <w:p>
      <w:pPr>
        <w:spacing w:after="0" w:line="240" w:lineRule="auto"/>
        <w:jc w:val="left"/>
        <w:rPr>
          <w:rFonts w:hint="eastAsia" w:ascii="宋体" w:hAnsi="宋体" w:eastAsia="宋体" w:cs="宋体"/>
          <w:sz w:val="19"/>
        </w:rPr>
        <w:sectPr>
          <w:pgSz w:w="11900" w:h="16840"/>
          <w:pgMar w:top="560" w:right="560" w:bottom="280" w:left="540" w:header="0" w:footer="13" w:gutter="0"/>
          <w:cols w:space="720" w:num="1"/>
        </w:sectPr>
      </w:pPr>
    </w:p>
    <w:p>
      <w:pPr>
        <w:pStyle w:val="18"/>
        <w:numPr>
          <w:ilvl w:val="0"/>
          <w:numId w:val="21"/>
        </w:numPr>
        <w:tabs>
          <w:tab w:val="left" w:pos="1016"/>
        </w:tabs>
        <w:spacing w:before="68"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不按照磋商文件要求提交履约保证金；</w:t>
      </w:r>
    </w:p>
    <w:p>
      <w:pPr>
        <w:pStyle w:val="18"/>
        <w:numPr>
          <w:ilvl w:val="0"/>
          <w:numId w:val="21"/>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要求修改、补充和撤销响应文件的实质性内容；</w:t>
      </w:r>
    </w:p>
    <w:p>
      <w:pPr>
        <w:pStyle w:val="18"/>
        <w:numPr>
          <w:ilvl w:val="0"/>
          <w:numId w:val="21"/>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要求更改磋商文件和中标结果公告的实质性内容；</w:t>
      </w:r>
    </w:p>
    <w:p>
      <w:pPr>
        <w:pStyle w:val="18"/>
        <w:numPr>
          <w:ilvl w:val="0"/>
          <w:numId w:val="21"/>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法律法规和磋商文件规定的其他情形。</w:t>
      </w:r>
    </w:p>
    <w:p>
      <w:pPr>
        <w:pStyle w:val="9"/>
        <w:spacing w:before="7"/>
        <w:rPr>
          <w:rFonts w:hint="eastAsia" w:ascii="宋体" w:hAnsi="宋体" w:eastAsia="宋体" w:cs="宋体"/>
          <w:sz w:val="15"/>
        </w:rPr>
      </w:pPr>
    </w:p>
    <w:p>
      <w:pPr>
        <w:pStyle w:val="5"/>
        <w:numPr>
          <w:ilvl w:val="0"/>
          <w:numId w:val="18"/>
        </w:numPr>
        <w:tabs>
          <w:tab w:val="left" w:pos="333"/>
        </w:tabs>
        <w:spacing w:before="1" w:after="0" w:line="240" w:lineRule="auto"/>
        <w:ind w:left="332" w:right="0" w:hanging="207"/>
        <w:jc w:val="left"/>
        <w:rPr>
          <w:rFonts w:hint="eastAsia" w:ascii="宋体" w:hAnsi="宋体" w:eastAsia="宋体" w:cs="宋体"/>
        </w:rPr>
      </w:pPr>
      <w:r>
        <w:rPr>
          <w:rFonts w:hint="eastAsia" w:ascii="宋体" w:hAnsi="宋体" w:eastAsia="宋体" w:cs="宋体"/>
          <w:spacing w:val="10"/>
        </w:rPr>
        <w:t>响应文件的修改和撤回</w:t>
      </w:r>
    </w:p>
    <w:p>
      <w:pPr>
        <w:pStyle w:val="18"/>
        <w:numPr>
          <w:ilvl w:val="1"/>
          <w:numId w:val="18"/>
        </w:numPr>
        <w:tabs>
          <w:tab w:val="left" w:pos="814"/>
        </w:tabs>
        <w:spacing w:before="70" w:after="0" w:line="379" w:lineRule="auto"/>
        <w:ind w:left="126" w:right="193" w:firstLine="384"/>
        <w:jc w:val="left"/>
        <w:rPr>
          <w:rFonts w:hint="eastAsia" w:ascii="宋体" w:hAnsi="宋体" w:eastAsia="宋体" w:cs="宋体"/>
          <w:sz w:val="19"/>
        </w:rPr>
      </w:pPr>
      <w:r>
        <w:rPr>
          <w:rFonts w:hint="eastAsia" w:ascii="宋体" w:hAnsi="宋体" w:eastAsia="宋体" w:cs="宋体"/>
          <w:sz w:val="19"/>
        </w:rPr>
        <w:t>供应商在提交响应截止时间前，可以对所递交的响应文件进行补充、修改或者撤回。补充、修改的内容旁签署（</w:t>
      </w:r>
      <w:r>
        <w:rPr>
          <w:rFonts w:hint="eastAsia" w:ascii="宋体" w:hAnsi="宋体" w:eastAsia="宋体" w:cs="宋体"/>
          <w:spacing w:val="-8"/>
          <w:sz w:val="19"/>
        </w:rPr>
        <w:t>法人</w:t>
      </w:r>
      <w:r>
        <w:rPr>
          <w:rFonts w:hint="eastAsia" w:ascii="宋体" w:hAnsi="宋体" w:eastAsia="宋体" w:cs="宋体"/>
          <w:sz w:val="19"/>
        </w:rPr>
        <w:t>或授权委托人签署）、盖章、密封和上传至系统后生效，并作为响应文件的组成部分。</w:t>
      </w:r>
    </w:p>
    <w:p>
      <w:pPr>
        <w:pStyle w:val="18"/>
        <w:numPr>
          <w:ilvl w:val="1"/>
          <w:numId w:val="18"/>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在提交响应文件截止时间后到磋商文件规定的投标有效期终止之前，供应商不得补充、修改、替代或者撤回其响应文</w:t>
      </w:r>
    </w:p>
    <w:p>
      <w:pPr>
        <w:pStyle w:val="9"/>
        <w:spacing w:before="141"/>
        <w:ind w:left="126"/>
        <w:rPr>
          <w:rFonts w:hint="eastAsia" w:ascii="宋体" w:hAnsi="宋体" w:eastAsia="宋体" w:cs="宋体"/>
        </w:rPr>
      </w:pPr>
      <w:r>
        <w:rPr>
          <w:rFonts w:hint="eastAsia" w:ascii="宋体" w:hAnsi="宋体" w:eastAsia="宋体" w:cs="宋体"/>
        </w:rPr>
        <w:t>件。</w:t>
      </w:r>
    </w:p>
    <w:p>
      <w:pPr>
        <w:pStyle w:val="9"/>
        <w:spacing w:before="7"/>
        <w:rPr>
          <w:rFonts w:hint="eastAsia" w:ascii="宋体" w:hAnsi="宋体" w:eastAsia="宋体" w:cs="宋体"/>
          <w:sz w:val="15"/>
        </w:rPr>
      </w:pPr>
    </w:p>
    <w:p>
      <w:pPr>
        <w:pStyle w:val="5"/>
        <w:numPr>
          <w:ilvl w:val="0"/>
          <w:numId w:val="18"/>
        </w:numPr>
        <w:tabs>
          <w:tab w:val="left" w:pos="333"/>
        </w:tabs>
        <w:spacing w:before="1" w:after="0" w:line="240" w:lineRule="auto"/>
        <w:ind w:left="332" w:right="0" w:hanging="207"/>
        <w:jc w:val="left"/>
        <w:rPr>
          <w:rFonts w:hint="eastAsia" w:ascii="宋体" w:hAnsi="宋体" w:eastAsia="宋体" w:cs="宋体"/>
        </w:rPr>
      </w:pPr>
      <w:r>
        <w:rPr>
          <w:rFonts w:hint="eastAsia" w:ascii="宋体" w:hAnsi="宋体" w:eastAsia="宋体" w:cs="宋体"/>
          <w:spacing w:val="10"/>
        </w:rPr>
        <w:t>响应文件的递交</w:t>
      </w:r>
    </w:p>
    <w:p>
      <w:pPr>
        <w:pStyle w:val="18"/>
        <w:numPr>
          <w:ilvl w:val="1"/>
          <w:numId w:val="18"/>
        </w:numPr>
        <w:tabs>
          <w:tab w:val="left" w:pos="814"/>
        </w:tabs>
        <w:spacing w:before="7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在磋商文件要求提交响应文件的截止时间之后送达或上传的响应文件，为无效响应文件，采购单位或采购代理机构拒</w:t>
      </w:r>
      <w:r>
        <w:rPr>
          <w:rFonts w:hint="eastAsia" w:ascii="宋体" w:hAnsi="宋体" w:eastAsia="宋体" w:cs="宋体"/>
          <w:sz w:val="19"/>
        </w:rPr>
        <w:t>收。采购人、采购代理机构对误投或未按规定时间、地点进行投标的概不负责。</w:t>
      </w:r>
    </w:p>
    <w:p>
      <w:pPr>
        <w:pStyle w:val="5"/>
        <w:numPr>
          <w:ilvl w:val="0"/>
          <w:numId w:val="18"/>
        </w:numPr>
        <w:tabs>
          <w:tab w:val="left" w:pos="333"/>
        </w:tabs>
        <w:spacing w:before="58" w:after="0" w:line="240" w:lineRule="auto"/>
        <w:ind w:left="332" w:right="0" w:hanging="207"/>
        <w:jc w:val="left"/>
        <w:rPr>
          <w:rFonts w:hint="eastAsia" w:ascii="宋体" w:hAnsi="宋体" w:eastAsia="宋体" w:cs="宋体"/>
        </w:rPr>
      </w:pPr>
      <w:r>
        <w:rPr>
          <w:rFonts w:hint="eastAsia" w:ascii="宋体" w:hAnsi="宋体" w:eastAsia="宋体" w:cs="宋体"/>
          <w:spacing w:val="12"/>
        </w:rPr>
        <w:t>样品（演示</w:t>
      </w:r>
      <w:r>
        <w:rPr>
          <w:rFonts w:hint="eastAsia" w:ascii="宋体" w:hAnsi="宋体" w:eastAsia="宋体" w:cs="宋体"/>
        </w:rPr>
        <w:t>）</w:t>
      </w:r>
    </w:p>
    <w:p>
      <w:pPr>
        <w:pStyle w:val="18"/>
        <w:numPr>
          <w:ilvl w:val="1"/>
          <w:numId w:val="18"/>
        </w:numPr>
        <w:tabs>
          <w:tab w:val="left" w:pos="814"/>
        </w:tabs>
        <w:spacing w:before="71"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磋商文件规定供应商提交样品的，样品属于响应文件的组成部分。样品的生产、运输、安装、保全等一切费用由供应</w:t>
      </w:r>
      <w:r>
        <w:rPr>
          <w:rFonts w:hint="eastAsia" w:ascii="宋体" w:hAnsi="宋体" w:eastAsia="宋体" w:cs="宋体"/>
          <w:sz w:val="19"/>
        </w:rPr>
        <w:t>商自理。</w:t>
      </w:r>
    </w:p>
    <w:p>
      <w:pPr>
        <w:pStyle w:val="18"/>
        <w:numPr>
          <w:ilvl w:val="1"/>
          <w:numId w:val="18"/>
        </w:numPr>
        <w:tabs>
          <w:tab w:val="left" w:pos="814"/>
        </w:tabs>
        <w:spacing w:before="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开标前，供应商应将样品送达至指定地点，并按要求摆放并做好展示。若需要现场演示的，供应商应提前做好演示准</w:t>
      </w:r>
      <w:r>
        <w:rPr>
          <w:rFonts w:hint="eastAsia" w:ascii="宋体" w:hAnsi="宋体" w:eastAsia="宋体" w:cs="宋体"/>
          <w:sz w:val="19"/>
        </w:rPr>
        <w:t>备（包括演示设备）。</w:t>
      </w:r>
    </w:p>
    <w:p>
      <w:pPr>
        <w:pStyle w:val="18"/>
        <w:numPr>
          <w:ilvl w:val="1"/>
          <w:numId w:val="18"/>
        </w:numPr>
        <w:tabs>
          <w:tab w:val="left" w:pos="814"/>
        </w:tabs>
        <w:spacing w:before="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评审结束后，供应商与采购人共同清点、检查和密封样品，由供应商送至采购人指定地点封存。未成交供应商将样品</w:t>
      </w:r>
      <w:r>
        <w:rPr>
          <w:rFonts w:hint="eastAsia" w:ascii="宋体" w:hAnsi="宋体" w:eastAsia="宋体" w:cs="宋体"/>
          <w:sz w:val="19"/>
        </w:rPr>
        <w:t>自行带回。</w:t>
      </w:r>
    </w:p>
    <w:p>
      <w:pPr>
        <w:pStyle w:val="9"/>
        <w:rPr>
          <w:rFonts w:hint="eastAsia" w:ascii="宋体" w:hAnsi="宋体" w:eastAsia="宋体" w:cs="宋体"/>
          <w:sz w:val="13"/>
        </w:rPr>
      </w:pPr>
    </w:p>
    <w:p>
      <w:pPr>
        <w:pStyle w:val="4"/>
        <w:rPr>
          <w:rFonts w:hint="eastAsia" w:ascii="宋体" w:hAnsi="宋体" w:eastAsia="宋体" w:cs="宋体"/>
        </w:rPr>
      </w:pPr>
      <w:r>
        <w:rPr>
          <w:rFonts w:hint="eastAsia" w:ascii="宋体" w:hAnsi="宋体" w:eastAsia="宋体" w:cs="宋体"/>
        </w:rPr>
        <w:t>六、开标、评审、结果公告、中标通知书发放</w:t>
      </w:r>
    </w:p>
    <w:p>
      <w:pPr>
        <w:pStyle w:val="5"/>
        <w:numPr>
          <w:ilvl w:val="0"/>
          <w:numId w:val="22"/>
        </w:numPr>
        <w:tabs>
          <w:tab w:val="left" w:pos="333"/>
        </w:tabs>
        <w:spacing w:before="174" w:after="0" w:line="240" w:lineRule="auto"/>
        <w:ind w:left="332" w:right="0" w:hanging="207"/>
        <w:jc w:val="left"/>
        <w:rPr>
          <w:rFonts w:hint="eastAsia" w:ascii="宋体" w:hAnsi="宋体" w:eastAsia="宋体" w:cs="宋体"/>
        </w:rPr>
      </w:pPr>
      <w:r>
        <w:rPr>
          <w:rFonts w:hint="eastAsia" w:ascii="宋体" w:hAnsi="宋体" w:eastAsia="宋体" w:cs="宋体"/>
          <w:spacing w:val="8"/>
        </w:rPr>
        <w:t>开标程序</w:t>
      </w:r>
    </w:p>
    <w:p>
      <w:pPr>
        <w:pStyle w:val="18"/>
        <w:numPr>
          <w:ilvl w:val="1"/>
          <w:numId w:val="22"/>
        </w:numPr>
        <w:tabs>
          <w:tab w:val="left" w:pos="814"/>
        </w:tabs>
        <w:spacing w:before="7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主持人按下列程序进行开标：</w:t>
      </w:r>
    </w:p>
    <w:p>
      <w:pPr>
        <w:pStyle w:val="18"/>
        <w:numPr>
          <w:ilvl w:val="0"/>
          <w:numId w:val="23"/>
        </w:numPr>
        <w:tabs>
          <w:tab w:val="left" w:pos="1016"/>
        </w:tabs>
        <w:spacing w:before="141" w:after="0" w:line="379" w:lineRule="auto"/>
        <w:ind w:left="126" w:right="181" w:firstLine="384"/>
        <w:jc w:val="left"/>
        <w:rPr>
          <w:rFonts w:hint="eastAsia" w:ascii="宋体" w:hAnsi="宋体" w:eastAsia="宋体" w:cs="宋体"/>
          <w:sz w:val="19"/>
        </w:rPr>
      </w:pPr>
      <w:r>
        <w:rPr>
          <w:rFonts w:hint="eastAsia" w:ascii="宋体" w:hAnsi="宋体" w:eastAsia="宋体" w:cs="宋体"/>
          <w:spacing w:val="-1"/>
          <w:sz w:val="19"/>
        </w:rPr>
        <w:t>供应商对已提交的加密文件进行解密，由采购人或者采购代理机构工作人员当众宣布供应商名称和磋商文件规定的</w:t>
      </w:r>
      <w:r>
        <w:rPr>
          <w:rFonts w:hint="eastAsia" w:ascii="宋体" w:hAnsi="宋体" w:eastAsia="宋体" w:cs="宋体"/>
          <w:sz w:val="19"/>
        </w:rPr>
        <w:t>需要宣布的其他内容（以开标一览表要求为准）</w:t>
      </w:r>
    </w:p>
    <w:p>
      <w:pPr>
        <w:pStyle w:val="18"/>
        <w:numPr>
          <w:ilvl w:val="0"/>
          <w:numId w:val="23"/>
        </w:numPr>
        <w:tabs>
          <w:tab w:val="left" w:pos="1016"/>
        </w:tabs>
        <w:spacing w:before="0" w:after="0" w:line="242" w:lineRule="exact"/>
        <w:ind w:left="1015" w:right="0" w:hanging="506"/>
        <w:jc w:val="left"/>
        <w:rPr>
          <w:rFonts w:hint="eastAsia" w:ascii="宋体" w:hAnsi="宋体" w:eastAsia="宋体" w:cs="宋体"/>
          <w:sz w:val="19"/>
        </w:rPr>
      </w:pPr>
      <w:r>
        <w:rPr>
          <w:rFonts w:hint="eastAsia" w:ascii="宋体" w:hAnsi="宋体" w:eastAsia="宋体" w:cs="宋体"/>
          <w:sz w:val="19"/>
        </w:rPr>
        <w:t>参加开标会议人员对开标情况确认；</w:t>
      </w:r>
    </w:p>
    <w:p>
      <w:pPr>
        <w:pStyle w:val="18"/>
        <w:numPr>
          <w:ilvl w:val="0"/>
          <w:numId w:val="23"/>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开标结束，响应文件移交磋商小组。</w:t>
      </w:r>
    </w:p>
    <w:p>
      <w:pPr>
        <w:pStyle w:val="18"/>
        <w:numPr>
          <w:ilvl w:val="1"/>
          <w:numId w:val="22"/>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开标异议</w:t>
      </w:r>
    </w:p>
    <w:p>
      <w:pPr>
        <w:pStyle w:val="9"/>
        <w:spacing w:before="141" w:line="379" w:lineRule="auto"/>
        <w:ind w:left="126" w:right="109" w:firstLine="384"/>
        <w:rPr>
          <w:rFonts w:hint="eastAsia" w:ascii="宋体" w:hAnsi="宋体" w:eastAsia="宋体" w:cs="宋体"/>
        </w:rPr>
      </w:pPr>
      <w:r>
        <w:rPr>
          <w:rFonts w:hint="eastAsia" w:ascii="宋体" w:hAnsi="宋体" w:eastAsia="宋体" w:cs="宋体"/>
        </w:rPr>
        <w:t>供应商代表对开标过程和开标记录有疑义，以及认为采购人、采购代理机构相关工作人员有需要回避的情形的，应当当场提出询问或者回避申请，开标会议结束后不再接受相关询问、质疑或者回避申请。</w:t>
      </w:r>
    </w:p>
    <w:p>
      <w:pPr>
        <w:pStyle w:val="18"/>
        <w:numPr>
          <w:ilvl w:val="1"/>
          <w:numId w:val="22"/>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备注说明：</w:t>
      </w:r>
    </w:p>
    <w:p>
      <w:pPr>
        <w:pStyle w:val="18"/>
        <w:numPr>
          <w:ilvl w:val="0"/>
          <w:numId w:val="24"/>
        </w:numPr>
        <w:tabs>
          <w:tab w:val="left" w:pos="1016"/>
        </w:tabs>
        <w:spacing w:before="141" w:after="0" w:line="379" w:lineRule="auto"/>
        <w:ind w:left="126" w:right="169" w:firstLine="384"/>
        <w:jc w:val="left"/>
        <w:rPr>
          <w:rFonts w:hint="eastAsia" w:ascii="宋体" w:hAnsi="宋体" w:eastAsia="宋体" w:cs="宋体"/>
          <w:sz w:val="19"/>
        </w:rPr>
      </w:pPr>
      <w:r>
        <w:rPr>
          <w:rFonts w:hint="eastAsia" w:ascii="宋体" w:hAnsi="宋体" w:eastAsia="宋体" w:cs="宋体"/>
          <w:spacing w:val="3"/>
          <w:sz w:val="19"/>
        </w:rPr>
        <w:t xml:space="preserve">若本项目采用不见面开标，开标时供应商使用 </w:t>
      </w:r>
      <w:r>
        <w:rPr>
          <w:rFonts w:hint="eastAsia" w:ascii="宋体" w:hAnsi="宋体" w:eastAsia="宋体" w:cs="宋体"/>
          <w:sz w:val="19"/>
        </w:rPr>
        <w:t>CA证书参与远程响应文件解密。供应商用于解密的CA</w:t>
      </w:r>
      <w:r>
        <w:rPr>
          <w:rFonts w:hint="eastAsia" w:ascii="宋体" w:hAnsi="宋体" w:eastAsia="宋体" w:cs="宋体"/>
          <w:spacing w:val="-3"/>
          <w:sz w:val="19"/>
        </w:rPr>
        <w:t xml:space="preserve">证书应为该响应文件生成加密、上传的同一把 </w:t>
      </w:r>
      <w:r>
        <w:rPr>
          <w:rFonts w:hint="eastAsia" w:ascii="宋体" w:hAnsi="宋体" w:eastAsia="宋体" w:cs="宋体"/>
          <w:sz w:val="19"/>
        </w:rPr>
        <w:t>CA证书。</w:t>
      </w:r>
    </w:p>
    <w:p>
      <w:pPr>
        <w:pStyle w:val="18"/>
        <w:numPr>
          <w:ilvl w:val="0"/>
          <w:numId w:val="24"/>
        </w:numPr>
        <w:tabs>
          <w:tab w:val="left" w:pos="1016"/>
        </w:tabs>
        <w:spacing w:before="0" w:after="0" w:line="379" w:lineRule="auto"/>
        <w:ind w:left="126" w:right="133" w:firstLine="384"/>
        <w:jc w:val="left"/>
        <w:rPr>
          <w:rFonts w:hint="eastAsia" w:ascii="宋体" w:hAnsi="宋体" w:eastAsia="宋体" w:cs="宋体"/>
          <w:sz w:val="19"/>
        </w:rPr>
      </w:pPr>
      <w:r>
        <w:rPr>
          <w:rFonts w:hint="eastAsia" w:ascii="宋体" w:hAnsi="宋体" w:eastAsia="宋体" w:cs="宋体"/>
          <w:sz w:val="19"/>
        </w:rPr>
        <w:t>若本项目采用不见面开标，供应商在开标时间前</w:t>
      </w:r>
      <w:r>
        <w:rPr>
          <w:rFonts w:hint="eastAsia" w:ascii="宋体" w:hAnsi="宋体" w:eastAsia="宋体" w:cs="宋体"/>
          <w:spacing w:val="-3"/>
          <w:sz w:val="19"/>
        </w:rPr>
        <w:t>30</w:t>
      </w:r>
      <w:r>
        <w:rPr>
          <w:rFonts w:hint="eastAsia" w:ascii="宋体" w:hAnsi="宋体" w:eastAsia="宋体" w:cs="宋体"/>
          <w:spacing w:val="-1"/>
          <w:sz w:val="19"/>
        </w:rPr>
        <w:t>分钟，应当提前登录开标系统进行签到，填写联系人姓名与联系</w:t>
      </w:r>
      <w:r>
        <w:rPr>
          <w:rFonts w:hint="eastAsia" w:ascii="宋体" w:hAnsi="宋体" w:eastAsia="宋体" w:cs="宋体"/>
          <w:w w:val="110"/>
          <w:sz w:val="19"/>
        </w:rPr>
        <w:t>号码；在系统约定时间内使用CA证书签到以及解密，未成功签到或未成功解密的视为其无效投标。</w:t>
      </w:r>
    </w:p>
    <w:p>
      <w:pPr>
        <w:pStyle w:val="18"/>
        <w:numPr>
          <w:ilvl w:val="0"/>
          <w:numId w:val="24"/>
        </w:numPr>
        <w:tabs>
          <w:tab w:val="left" w:pos="1016"/>
        </w:tabs>
        <w:spacing w:before="0" w:after="0" w:line="379" w:lineRule="auto"/>
        <w:ind w:left="126" w:right="181" w:firstLine="384"/>
        <w:jc w:val="left"/>
        <w:rPr>
          <w:rFonts w:hint="eastAsia" w:ascii="宋体" w:hAnsi="宋体" w:eastAsia="宋体" w:cs="宋体"/>
          <w:sz w:val="19"/>
        </w:rPr>
      </w:pPr>
      <w:r>
        <w:rPr>
          <w:rFonts w:hint="eastAsia" w:ascii="宋体" w:hAnsi="宋体" w:eastAsia="宋体" w:cs="宋体"/>
          <w:spacing w:val="-1"/>
          <w:sz w:val="19"/>
        </w:rPr>
        <w:t>供应商对不见面开标过程和开标记录有疑义，应在开标系统规定时间内在不见面开标室提出异议，采购代理机构在</w:t>
      </w:r>
      <w:r>
        <w:rPr>
          <w:rFonts w:hint="eastAsia" w:ascii="宋体" w:hAnsi="宋体" w:eastAsia="宋体" w:cs="宋体"/>
          <w:sz w:val="19"/>
        </w:rPr>
        <w:t>网上开标系统中进行查看及回复。开标会议结束后不再接受相关询问、质疑或者回避申请。</w:t>
      </w:r>
    </w:p>
    <w:p>
      <w:pPr>
        <w:pStyle w:val="5"/>
        <w:numPr>
          <w:ilvl w:val="0"/>
          <w:numId w:val="22"/>
        </w:numPr>
        <w:tabs>
          <w:tab w:val="left" w:pos="333"/>
        </w:tabs>
        <w:spacing w:before="56" w:after="0" w:line="240" w:lineRule="auto"/>
        <w:ind w:left="332" w:right="0" w:hanging="207"/>
        <w:jc w:val="left"/>
        <w:rPr>
          <w:rFonts w:hint="eastAsia" w:ascii="宋体" w:hAnsi="宋体" w:eastAsia="宋体" w:cs="宋体"/>
        </w:rPr>
      </w:pPr>
      <w:r>
        <w:rPr>
          <w:rFonts w:hint="eastAsia" w:ascii="宋体" w:hAnsi="宋体" w:eastAsia="宋体" w:cs="宋体"/>
          <w:spacing w:val="12"/>
        </w:rPr>
        <w:t>评审（详见第六章</w:t>
      </w:r>
      <w:r>
        <w:rPr>
          <w:rFonts w:hint="eastAsia" w:ascii="宋体" w:hAnsi="宋体" w:eastAsia="宋体" w:cs="宋体"/>
        </w:rPr>
        <w:t>）</w:t>
      </w:r>
    </w:p>
    <w:p>
      <w:pPr>
        <w:pStyle w:val="18"/>
        <w:numPr>
          <w:ilvl w:val="0"/>
          <w:numId w:val="22"/>
        </w:numPr>
        <w:tabs>
          <w:tab w:val="left" w:pos="333"/>
        </w:tabs>
        <w:spacing w:before="130" w:after="0" w:line="240" w:lineRule="auto"/>
        <w:ind w:left="332" w:right="0" w:hanging="207"/>
        <w:jc w:val="left"/>
        <w:rPr>
          <w:rFonts w:hint="eastAsia" w:ascii="宋体" w:hAnsi="宋体" w:eastAsia="宋体" w:cs="宋体"/>
          <w:b/>
          <w:sz w:val="19"/>
        </w:rPr>
      </w:pPr>
      <w:r>
        <w:rPr>
          <w:rFonts w:hint="eastAsia" w:ascii="宋体" w:hAnsi="宋体" w:eastAsia="宋体" w:cs="宋体"/>
          <w:b/>
          <w:spacing w:val="8"/>
          <w:sz w:val="19"/>
        </w:rPr>
        <w:t>结果公告</w:t>
      </w:r>
    </w:p>
    <w:p>
      <w:pPr>
        <w:pStyle w:val="18"/>
        <w:numPr>
          <w:ilvl w:val="1"/>
          <w:numId w:val="22"/>
        </w:numPr>
        <w:tabs>
          <w:tab w:val="left" w:pos="814"/>
        </w:tabs>
        <w:spacing w:before="7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成交供应商确定后，采购代理机构将在黑龙江省政府采购网上发布成交结果公告，同时将成交结果以公告形式通知未</w:t>
      </w:r>
    </w:p>
    <w:p>
      <w:pPr>
        <w:spacing w:after="0" w:line="240" w:lineRule="auto"/>
        <w:jc w:val="left"/>
        <w:rPr>
          <w:rFonts w:hint="eastAsia" w:ascii="宋体" w:hAnsi="宋体" w:eastAsia="宋体" w:cs="宋体"/>
          <w:sz w:val="19"/>
        </w:rPr>
        <w:sectPr>
          <w:footerReference r:id="rId7" w:type="default"/>
          <w:pgSz w:w="11900" w:h="16840"/>
          <w:pgMar w:top="540" w:right="560" w:bottom="200" w:left="540" w:header="0" w:footer="13" w:gutter="0"/>
          <w:pgNumType w:start="10"/>
          <w:cols w:space="720" w:num="1"/>
        </w:sectPr>
      </w:pPr>
    </w:p>
    <w:p>
      <w:pPr>
        <w:pStyle w:val="9"/>
        <w:spacing w:before="60"/>
        <w:ind w:left="126"/>
        <w:rPr>
          <w:rFonts w:hint="eastAsia" w:ascii="宋体" w:hAnsi="宋体" w:eastAsia="宋体" w:cs="宋体"/>
        </w:rPr>
      </w:pPr>
      <w:r>
        <w:rPr>
          <w:rFonts w:hint="eastAsia" w:ascii="宋体" w:hAnsi="宋体" w:eastAsia="宋体" w:cs="宋体"/>
        </w:rPr>
        <w:t xml:space="preserve">成交的供应商，成交结果公告期为 </w:t>
      </w:r>
      <w:r>
        <w:rPr>
          <w:rFonts w:hint="eastAsia" w:ascii="宋体" w:hAnsi="宋体" w:eastAsia="宋体" w:cs="宋体"/>
          <w:w w:val="110"/>
        </w:rPr>
        <w:t xml:space="preserve">1 </w:t>
      </w:r>
      <w:r>
        <w:rPr>
          <w:rFonts w:hint="eastAsia" w:ascii="宋体" w:hAnsi="宋体" w:eastAsia="宋体" w:cs="宋体"/>
        </w:rPr>
        <w:t>个工作日。</w:t>
      </w:r>
    </w:p>
    <w:p>
      <w:pPr>
        <w:pStyle w:val="18"/>
        <w:numPr>
          <w:ilvl w:val="1"/>
          <w:numId w:val="22"/>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pacing w:val="-1"/>
          <w:sz w:val="19"/>
        </w:rPr>
        <w:t xml:space="preserve">项目废标后，采购代理机构将在黑龙江省政府采购网上发布废标公告，废标结果公告期为 </w:t>
      </w:r>
      <w:r>
        <w:rPr>
          <w:rFonts w:hint="eastAsia" w:ascii="宋体" w:hAnsi="宋体" w:eastAsia="宋体" w:cs="宋体"/>
          <w:w w:val="110"/>
          <w:sz w:val="19"/>
        </w:rPr>
        <w:t>1</w:t>
      </w:r>
      <w:r>
        <w:rPr>
          <w:rFonts w:hint="eastAsia" w:ascii="宋体" w:hAnsi="宋体" w:eastAsia="宋体" w:cs="宋体"/>
          <w:spacing w:val="-2"/>
          <w:w w:val="110"/>
          <w:sz w:val="19"/>
        </w:rPr>
        <w:t xml:space="preserve"> </w:t>
      </w:r>
      <w:r>
        <w:rPr>
          <w:rFonts w:hint="eastAsia" w:ascii="宋体" w:hAnsi="宋体" w:eastAsia="宋体" w:cs="宋体"/>
          <w:sz w:val="19"/>
        </w:rPr>
        <w:t>个工作日。</w:t>
      </w:r>
    </w:p>
    <w:p>
      <w:pPr>
        <w:pStyle w:val="9"/>
        <w:spacing w:before="8"/>
        <w:rPr>
          <w:rFonts w:hint="eastAsia" w:ascii="宋体" w:hAnsi="宋体" w:eastAsia="宋体" w:cs="宋体"/>
          <w:sz w:val="15"/>
        </w:rPr>
      </w:pPr>
    </w:p>
    <w:p>
      <w:pPr>
        <w:pStyle w:val="5"/>
        <w:numPr>
          <w:ilvl w:val="0"/>
          <w:numId w:val="22"/>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10"/>
        </w:rPr>
        <w:t>中标通知书发放</w:t>
      </w:r>
    </w:p>
    <w:p>
      <w:pPr>
        <w:pStyle w:val="9"/>
        <w:spacing w:before="71" w:line="379" w:lineRule="auto"/>
        <w:ind w:left="126" w:right="157" w:firstLine="384"/>
        <w:rPr>
          <w:rFonts w:hint="eastAsia" w:ascii="宋体" w:hAnsi="宋体" w:eastAsia="宋体" w:cs="宋体"/>
        </w:rPr>
      </w:pPr>
      <w:r>
        <w:rPr>
          <w:rFonts w:hint="eastAsia" w:ascii="宋体" w:hAnsi="宋体" w:eastAsia="宋体" w:cs="宋体"/>
        </w:rPr>
        <w:t>发布中标结果的同时，成交供应商可自行登录“黑龙江省政府采购网--政府采购管理平台”打印中标通知书，中标通知书是合同的组成部分，中标通知书对采购人和成交供应商具有同等法律效力。</w:t>
      </w:r>
    </w:p>
    <w:p>
      <w:pPr>
        <w:pStyle w:val="9"/>
        <w:spacing w:line="242" w:lineRule="exact"/>
        <w:ind w:left="510"/>
        <w:rPr>
          <w:rFonts w:hint="eastAsia" w:ascii="宋体" w:hAnsi="宋体" w:eastAsia="宋体" w:cs="宋体"/>
        </w:rPr>
      </w:pPr>
      <w:r>
        <w:rPr>
          <w:rFonts w:hint="eastAsia" w:ascii="宋体" w:hAnsi="宋体" w:eastAsia="宋体" w:cs="宋体"/>
        </w:rPr>
        <w:t>成交通知书发出后，采购人不得违法改变成交结果，供应商无正当理由不得放弃成交。</w:t>
      </w:r>
    </w:p>
    <w:p>
      <w:pPr>
        <w:pStyle w:val="9"/>
        <w:spacing w:before="3"/>
        <w:rPr>
          <w:rFonts w:hint="eastAsia" w:ascii="宋体" w:hAnsi="宋体" w:eastAsia="宋体" w:cs="宋体"/>
          <w:sz w:val="24"/>
        </w:rPr>
      </w:pPr>
    </w:p>
    <w:p>
      <w:pPr>
        <w:pStyle w:val="4"/>
        <w:rPr>
          <w:rFonts w:hint="eastAsia" w:ascii="宋体" w:hAnsi="宋体" w:eastAsia="宋体" w:cs="宋体"/>
        </w:rPr>
      </w:pPr>
      <w:r>
        <w:rPr>
          <w:rFonts w:hint="eastAsia" w:ascii="宋体" w:hAnsi="宋体" w:eastAsia="宋体" w:cs="宋体"/>
        </w:rPr>
        <w:t>七、询问、质疑与投诉</w:t>
      </w:r>
    </w:p>
    <w:p>
      <w:pPr>
        <w:pStyle w:val="5"/>
        <w:numPr>
          <w:ilvl w:val="0"/>
          <w:numId w:val="25"/>
        </w:numPr>
        <w:tabs>
          <w:tab w:val="left" w:pos="333"/>
        </w:tabs>
        <w:spacing w:before="173" w:after="0" w:line="240" w:lineRule="auto"/>
        <w:ind w:left="332" w:right="0" w:hanging="207"/>
        <w:jc w:val="left"/>
        <w:rPr>
          <w:rFonts w:hint="eastAsia" w:ascii="宋体" w:hAnsi="宋体" w:eastAsia="宋体" w:cs="宋体"/>
        </w:rPr>
      </w:pPr>
      <w:r>
        <w:rPr>
          <w:rFonts w:hint="eastAsia" w:ascii="宋体" w:hAnsi="宋体" w:eastAsia="宋体" w:cs="宋体"/>
          <w:spacing w:val="6"/>
        </w:rPr>
        <w:t>询问</w:t>
      </w:r>
    </w:p>
    <w:p>
      <w:pPr>
        <w:pStyle w:val="18"/>
        <w:numPr>
          <w:ilvl w:val="1"/>
          <w:numId w:val="25"/>
        </w:numPr>
        <w:tabs>
          <w:tab w:val="left" w:pos="814"/>
        </w:tabs>
        <w:spacing w:before="71"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供应商对政府采购活动事项有疑问的，可以向采购人或采购代理机构提出询问，采购人或采购代理机构应当在</w:t>
      </w:r>
      <w:r>
        <w:rPr>
          <w:rFonts w:hint="eastAsia" w:ascii="宋体" w:hAnsi="宋体" w:eastAsia="宋体" w:cs="宋体"/>
          <w:spacing w:val="-3"/>
          <w:w w:val="110"/>
          <w:sz w:val="19"/>
        </w:rPr>
        <w:t>3</w:t>
      </w:r>
      <w:r>
        <w:rPr>
          <w:rFonts w:hint="eastAsia" w:ascii="宋体" w:hAnsi="宋体" w:eastAsia="宋体" w:cs="宋体"/>
          <w:sz w:val="19"/>
        </w:rPr>
        <w:t xml:space="preserve">个工 </w:t>
      </w:r>
      <w:r>
        <w:rPr>
          <w:rFonts w:hint="eastAsia" w:ascii="宋体" w:hAnsi="宋体" w:eastAsia="宋体" w:cs="宋体"/>
          <w:spacing w:val="-1"/>
          <w:sz w:val="19"/>
        </w:rPr>
        <w:t>作日内做出答复，但答复的内容不得涉及商业秘密。供应商提出的询问超出采购人对采购代理机构委托授权范围的，采购代理</w:t>
      </w:r>
      <w:r>
        <w:rPr>
          <w:rFonts w:hint="eastAsia" w:ascii="宋体" w:hAnsi="宋体" w:eastAsia="宋体" w:cs="宋体"/>
          <w:sz w:val="19"/>
        </w:rPr>
        <w:t>机构应当告知其向采购人提出。</w:t>
      </w:r>
    </w:p>
    <w:p>
      <w:pPr>
        <w:pStyle w:val="18"/>
        <w:numPr>
          <w:ilvl w:val="1"/>
          <w:numId w:val="25"/>
        </w:numPr>
        <w:tabs>
          <w:tab w:val="left" w:pos="814"/>
        </w:tabs>
        <w:spacing w:before="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为了使提出的询问事项在规定时间内得到有效回复，询问采用实名制，询问内容以书面材料的形式亲自递交到采购代</w:t>
      </w:r>
      <w:r>
        <w:rPr>
          <w:rFonts w:hint="eastAsia" w:ascii="宋体" w:hAnsi="宋体" w:eastAsia="宋体" w:cs="宋体"/>
          <w:sz w:val="19"/>
        </w:rPr>
        <w:t>理机构，正式受理后方可生效，否则，为无效询问。</w:t>
      </w:r>
    </w:p>
    <w:p>
      <w:pPr>
        <w:pStyle w:val="5"/>
        <w:numPr>
          <w:ilvl w:val="0"/>
          <w:numId w:val="25"/>
        </w:numPr>
        <w:tabs>
          <w:tab w:val="left" w:pos="333"/>
        </w:tabs>
        <w:spacing w:before="56" w:after="0" w:line="240" w:lineRule="auto"/>
        <w:ind w:left="332" w:right="0" w:hanging="207"/>
        <w:jc w:val="left"/>
        <w:rPr>
          <w:rFonts w:hint="eastAsia" w:ascii="宋体" w:hAnsi="宋体" w:eastAsia="宋体" w:cs="宋体"/>
        </w:rPr>
      </w:pPr>
      <w:r>
        <w:rPr>
          <w:rFonts w:hint="eastAsia" w:ascii="宋体" w:hAnsi="宋体" w:eastAsia="宋体" w:cs="宋体"/>
          <w:spacing w:val="6"/>
        </w:rPr>
        <w:t>质疑</w:t>
      </w:r>
    </w:p>
    <w:p>
      <w:pPr>
        <w:pStyle w:val="18"/>
        <w:numPr>
          <w:ilvl w:val="1"/>
          <w:numId w:val="25"/>
        </w:numPr>
        <w:tabs>
          <w:tab w:val="left" w:pos="814"/>
        </w:tabs>
        <w:spacing w:before="71"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潜在供应商已依法获取招标文件，且满足参加采购项目基本条件的潜在供应商，可以对招标文件提出质疑；递交响应</w:t>
      </w:r>
      <w:r>
        <w:rPr>
          <w:rFonts w:hint="eastAsia" w:ascii="宋体" w:hAnsi="宋体" w:eastAsia="宋体" w:cs="宋体"/>
          <w:spacing w:val="-1"/>
          <w:sz w:val="19"/>
        </w:rPr>
        <w:t>文件的供应商，可以对该项目采购过程和中标结果提出质疑。采购中心应当在正式受理供应商的书面质疑后七个工作日作出答</w:t>
      </w:r>
      <w:r>
        <w:rPr>
          <w:rFonts w:hint="eastAsia" w:ascii="宋体" w:hAnsi="宋体" w:eastAsia="宋体" w:cs="宋体"/>
          <w:sz w:val="19"/>
        </w:rPr>
        <w:t>复，但答复的内容不得涉及商业秘密。</w:t>
      </w:r>
    </w:p>
    <w:p>
      <w:pPr>
        <w:pStyle w:val="18"/>
        <w:numPr>
          <w:ilvl w:val="1"/>
          <w:numId w:val="25"/>
        </w:numPr>
        <w:tabs>
          <w:tab w:val="left" w:pos="814"/>
        </w:tabs>
        <w:spacing w:before="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对招标文件提出质疑的，应当在首次获取招标文件之日起七个工作日内提出；对采购过程提出质疑的，为各采购程序</w:t>
      </w:r>
      <w:r>
        <w:rPr>
          <w:rFonts w:hint="eastAsia" w:ascii="宋体" w:hAnsi="宋体" w:eastAsia="宋体" w:cs="宋体"/>
          <w:sz w:val="19"/>
        </w:rPr>
        <w:t>环节结束之日起七个工作日内提出；对中标结果提出质疑的，为中标结果公告期届满之日起七个工作日内提出。</w:t>
      </w:r>
    </w:p>
    <w:p>
      <w:pPr>
        <w:pStyle w:val="18"/>
        <w:numPr>
          <w:ilvl w:val="1"/>
          <w:numId w:val="25"/>
        </w:numPr>
        <w:tabs>
          <w:tab w:val="left" w:pos="814"/>
        </w:tabs>
        <w:spacing w:before="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质疑供应商应当在规定的时限内，以书面形式一次性地向采购中心递交《质疑函》和必要的证明材料，不得重复提交</w:t>
      </w:r>
      <w:r>
        <w:rPr>
          <w:rFonts w:hint="eastAsia" w:ascii="宋体" w:hAnsi="宋体" w:eastAsia="宋体" w:cs="宋体"/>
          <w:sz w:val="19"/>
        </w:rPr>
        <w:t>质疑材料，《质疑函》应按标准格式规范填写。</w:t>
      </w:r>
    </w:p>
    <w:p>
      <w:pPr>
        <w:pStyle w:val="18"/>
        <w:numPr>
          <w:ilvl w:val="1"/>
          <w:numId w:val="25"/>
        </w:numPr>
        <w:tabs>
          <w:tab w:val="left" w:pos="814"/>
        </w:tabs>
        <w:spacing w:before="0"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供应商可以委托代理人进行质疑。代理人提出质疑，应当递交供应商法定代表人签署的授权委托书，其授权委托书应</w:t>
      </w:r>
      <w:r>
        <w:rPr>
          <w:rFonts w:hint="eastAsia" w:ascii="宋体" w:hAnsi="宋体" w:eastAsia="宋体" w:cs="宋体"/>
          <w:spacing w:val="-1"/>
          <w:sz w:val="19"/>
        </w:rPr>
        <w:t>当载明代理人的姓名或者名称、代理事项、具体权限、期限和相关事项。供应商为自然人的，应当由本人签字；供应商为法人</w:t>
      </w:r>
      <w:r>
        <w:rPr>
          <w:rFonts w:hint="eastAsia" w:ascii="宋体" w:hAnsi="宋体" w:eastAsia="宋体" w:cs="宋体"/>
          <w:sz w:val="19"/>
        </w:rPr>
        <w:t>或者其他组织的，应当由法定代表人、主要负责人签字或者盖章，并加盖公章。</w:t>
      </w:r>
    </w:p>
    <w:p>
      <w:pPr>
        <w:pStyle w:val="18"/>
        <w:numPr>
          <w:ilvl w:val="1"/>
          <w:numId w:val="25"/>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供应商提出质疑应当递交《质疑函》和必要的证明材料。《质疑函》应当包括下列内容：</w:t>
      </w:r>
    </w:p>
    <w:p>
      <w:pPr>
        <w:pStyle w:val="18"/>
        <w:numPr>
          <w:ilvl w:val="0"/>
          <w:numId w:val="26"/>
        </w:numPr>
        <w:tabs>
          <w:tab w:val="left" w:pos="1016"/>
        </w:tabs>
        <w:spacing w:before="137"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供应商的姓名或者名称、地址、联系人及联系电话；</w:t>
      </w:r>
    </w:p>
    <w:p>
      <w:pPr>
        <w:pStyle w:val="18"/>
        <w:numPr>
          <w:ilvl w:val="0"/>
          <w:numId w:val="26"/>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质疑项目的名称、编号；</w:t>
      </w:r>
    </w:p>
    <w:p>
      <w:pPr>
        <w:pStyle w:val="18"/>
        <w:numPr>
          <w:ilvl w:val="0"/>
          <w:numId w:val="26"/>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具体、明确的质疑事项和与质疑事项相关的请求；</w:t>
      </w:r>
    </w:p>
    <w:p>
      <w:pPr>
        <w:pStyle w:val="18"/>
        <w:numPr>
          <w:ilvl w:val="0"/>
          <w:numId w:val="26"/>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事实依据；</w:t>
      </w:r>
    </w:p>
    <w:p>
      <w:pPr>
        <w:pStyle w:val="18"/>
        <w:numPr>
          <w:ilvl w:val="0"/>
          <w:numId w:val="26"/>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必要的法律依据；</w:t>
      </w:r>
    </w:p>
    <w:p>
      <w:pPr>
        <w:pStyle w:val="18"/>
        <w:numPr>
          <w:ilvl w:val="0"/>
          <w:numId w:val="26"/>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提出质疑的日期；</w:t>
      </w:r>
    </w:p>
    <w:p>
      <w:pPr>
        <w:pStyle w:val="18"/>
        <w:numPr>
          <w:ilvl w:val="0"/>
          <w:numId w:val="26"/>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供应商首次下载招标文件的时间截图。</w:t>
      </w:r>
    </w:p>
    <w:p>
      <w:pPr>
        <w:pStyle w:val="18"/>
        <w:numPr>
          <w:ilvl w:val="1"/>
          <w:numId w:val="25"/>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有下列情形之一的，采购中心不予受理：</w:t>
      </w:r>
    </w:p>
    <w:p>
      <w:pPr>
        <w:pStyle w:val="18"/>
        <w:numPr>
          <w:ilvl w:val="0"/>
          <w:numId w:val="27"/>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按照</w:t>
      </w:r>
      <w:r>
        <w:rPr>
          <w:rFonts w:hint="eastAsia" w:ascii="宋体" w:hAnsi="宋体" w:eastAsia="宋体" w:cs="宋体"/>
          <w:spacing w:val="-4"/>
          <w:sz w:val="19"/>
        </w:rPr>
        <w:t>“</w:t>
      </w:r>
      <w:r>
        <w:rPr>
          <w:rFonts w:hint="eastAsia" w:ascii="宋体" w:hAnsi="宋体" w:eastAsia="宋体" w:cs="宋体"/>
          <w:sz w:val="19"/>
        </w:rPr>
        <w:t>谁主张、谁举证</w:t>
      </w:r>
      <w:r>
        <w:rPr>
          <w:rFonts w:hint="eastAsia" w:ascii="宋体" w:hAnsi="宋体" w:eastAsia="宋体" w:cs="宋体"/>
          <w:spacing w:val="-4"/>
          <w:sz w:val="19"/>
        </w:rPr>
        <w:t>”</w:t>
      </w:r>
      <w:r>
        <w:rPr>
          <w:rFonts w:hint="eastAsia" w:ascii="宋体" w:hAnsi="宋体" w:eastAsia="宋体" w:cs="宋体"/>
          <w:sz w:val="19"/>
        </w:rPr>
        <w:t>的原则，应由质疑供应商提供质疑事项的相关证据、依据和其他有关材料，未能提供的；</w:t>
      </w:r>
    </w:p>
    <w:p>
      <w:pPr>
        <w:pStyle w:val="18"/>
        <w:numPr>
          <w:ilvl w:val="0"/>
          <w:numId w:val="27"/>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未按照补正期限进行补正或者补正后仍不符合规定的；</w:t>
      </w:r>
    </w:p>
    <w:p>
      <w:pPr>
        <w:pStyle w:val="18"/>
        <w:numPr>
          <w:ilvl w:val="0"/>
          <w:numId w:val="27"/>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未在质疑有效期限内提出的；</w:t>
      </w:r>
    </w:p>
    <w:p>
      <w:pPr>
        <w:pStyle w:val="18"/>
        <w:numPr>
          <w:ilvl w:val="0"/>
          <w:numId w:val="27"/>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超范围提出质疑的；</w:t>
      </w:r>
    </w:p>
    <w:p>
      <w:pPr>
        <w:pStyle w:val="18"/>
        <w:numPr>
          <w:ilvl w:val="0"/>
          <w:numId w:val="27"/>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同一质疑供应商一次性提出质疑后又提出新质疑的。</w:t>
      </w:r>
    </w:p>
    <w:p>
      <w:pPr>
        <w:pStyle w:val="18"/>
        <w:numPr>
          <w:ilvl w:val="1"/>
          <w:numId w:val="25"/>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有下列情形之一的，质疑不成立：</w:t>
      </w:r>
    </w:p>
    <w:p>
      <w:pPr>
        <w:spacing w:after="0" w:line="240" w:lineRule="auto"/>
        <w:jc w:val="left"/>
        <w:rPr>
          <w:rFonts w:hint="eastAsia" w:ascii="宋体" w:hAnsi="宋体" w:eastAsia="宋体" w:cs="宋体"/>
          <w:sz w:val="19"/>
        </w:rPr>
        <w:sectPr>
          <w:pgSz w:w="11900" w:h="16840"/>
          <w:pgMar w:top="560" w:right="560" w:bottom="280" w:left="540" w:header="0" w:footer="13" w:gutter="0"/>
          <w:cols w:space="720" w:num="1"/>
        </w:sectPr>
      </w:pPr>
    </w:p>
    <w:p>
      <w:pPr>
        <w:pStyle w:val="18"/>
        <w:numPr>
          <w:ilvl w:val="0"/>
          <w:numId w:val="28"/>
        </w:numPr>
        <w:tabs>
          <w:tab w:val="left" w:pos="1016"/>
        </w:tabs>
        <w:spacing w:before="72"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质疑事项缺乏事实依据的；</w:t>
      </w:r>
    </w:p>
    <w:p>
      <w:pPr>
        <w:pStyle w:val="18"/>
        <w:numPr>
          <w:ilvl w:val="0"/>
          <w:numId w:val="28"/>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质疑供应商捏造事实或者提供虚假材料的；</w:t>
      </w:r>
    </w:p>
    <w:p>
      <w:pPr>
        <w:pStyle w:val="18"/>
        <w:numPr>
          <w:ilvl w:val="0"/>
          <w:numId w:val="28"/>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质疑供应商以非法手段取得证明材料的。</w:t>
      </w:r>
    </w:p>
    <w:p>
      <w:pPr>
        <w:pStyle w:val="18"/>
        <w:numPr>
          <w:ilvl w:val="1"/>
          <w:numId w:val="25"/>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质疑的撤销。质疑正式受理后，质疑供应商申请撤销质疑的，采购中心应当终止质疑受理程序并告知相关当事人。</w:t>
      </w:r>
    </w:p>
    <w:p>
      <w:pPr>
        <w:pStyle w:val="18"/>
        <w:numPr>
          <w:ilvl w:val="1"/>
          <w:numId w:val="25"/>
        </w:numPr>
        <w:tabs>
          <w:tab w:val="left" w:pos="814"/>
        </w:tabs>
        <w:spacing w:before="14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对虚假和恶意质疑的处理。对虚假和恶意质疑的供应商，报省级财政部门依法处理，记入政府采购不良记录，推送省</w:t>
      </w:r>
      <w:r>
        <w:rPr>
          <w:rFonts w:hint="eastAsia" w:ascii="宋体" w:hAnsi="宋体" w:eastAsia="宋体" w:cs="宋体"/>
          <w:sz w:val="19"/>
        </w:rPr>
        <w:t>级信用平台，限制参与政府采购活动。有下列情形之一的，属于虚假和恶意质疑：</w:t>
      </w:r>
    </w:p>
    <w:p>
      <w:pPr>
        <w:pStyle w:val="18"/>
        <w:numPr>
          <w:ilvl w:val="0"/>
          <w:numId w:val="29"/>
        </w:numPr>
        <w:tabs>
          <w:tab w:val="left" w:pos="1016"/>
        </w:tabs>
        <w:spacing w:before="0" w:after="0" w:line="242" w:lineRule="exact"/>
        <w:ind w:left="1015" w:right="0" w:hanging="506"/>
        <w:jc w:val="left"/>
        <w:rPr>
          <w:rFonts w:hint="eastAsia" w:ascii="宋体" w:hAnsi="宋体" w:eastAsia="宋体" w:cs="宋体"/>
          <w:sz w:val="19"/>
        </w:rPr>
      </w:pPr>
      <w:r>
        <w:rPr>
          <w:rFonts w:hint="eastAsia" w:ascii="宋体" w:hAnsi="宋体" w:eastAsia="宋体" w:cs="宋体"/>
          <w:sz w:val="19"/>
        </w:rPr>
        <w:t>主观臆造、无事实依据进行质疑的；</w:t>
      </w:r>
    </w:p>
    <w:p>
      <w:pPr>
        <w:pStyle w:val="18"/>
        <w:numPr>
          <w:ilvl w:val="0"/>
          <w:numId w:val="29"/>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捏造事实或提供虚假材料进行质疑的；</w:t>
      </w:r>
    </w:p>
    <w:p>
      <w:pPr>
        <w:pStyle w:val="18"/>
        <w:numPr>
          <w:ilvl w:val="0"/>
          <w:numId w:val="29"/>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恶意攻击、歪曲事实进行质疑的；</w:t>
      </w:r>
    </w:p>
    <w:p>
      <w:pPr>
        <w:pStyle w:val="18"/>
        <w:numPr>
          <w:ilvl w:val="0"/>
          <w:numId w:val="29"/>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以非法手段取得证明材料的。</w:t>
      </w:r>
    </w:p>
    <w:p>
      <w:pPr>
        <w:pStyle w:val="9"/>
        <w:spacing w:before="8"/>
        <w:rPr>
          <w:rFonts w:hint="eastAsia" w:ascii="宋体" w:hAnsi="宋体" w:eastAsia="宋体" w:cs="宋体"/>
          <w:sz w:val="15"/>
        </w:rPr>
      </w:pPr>
    </w:p>
    <w:p>
      <w:pPr>
        <w:pStyle w:val="5"/>
        <w:numPr>
          <w:ilvl w:val="0"/>
          <w:numId w:val="25"/>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6"/>
        </w:rPr>
        <w:t>投诉</w:t>
      </w:r>
    </w:p>
    <w:p>
      <w:pPr>
        <w:pStyle w:val="18"/>
        <w:numPr>
          <w:ilvl w:val="1"/>
          <w:numId w:val="25"/>
        </w:numPr>
        <w:tabs>
          <w:tab w:val="left" w:pos="814"/>
        </w:tabs>
        <w:spacing w:before="71"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质疑人对采购人、采购代理机构的答复不满意或者采购人、采购代理机构未在规定的时间内做出书面答复的，可以在</w:t>
      </w:r>
      <w:r>
        <w:rPr>
          <w:rFonts w:hint="eastAsia" w:ascii="宋体" w:hAnsi="宋体" w:eastAsia="宋体" w:cs="宋体"/>
          <w:sz w:val="19"/>
        </w:rPr>
        <w:t>答复期满后十五个工作日内向监督部门进行投诉。投诉程序按《政府采购法》及相关规定执行。</w:t>
      </w:r>
    </w:p>
    <w:p>
      <w:pPr>
        <w:pStyle w:val="18"/>
        <w:numPr>
          <w:ilvl w:val="1"/>
          <w:numId w:val="25"/>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供应商投诉的事项不得超出已质疑事项的范围。</w:t>
      </w:r>
    </w:p>
    <w:p>
      <w:pPr>
        <w:pStyle w:val="9"/>
        <w:rPr>
          <w:rFonts w:hint="eastAsia" w:ascii="宋体" w:hAnsi="宋体" w:eastAsia="宋体" w:cs="宋体"/>
          <w:sz w:val="22"/>
        </w:rPr>
      </w:pPr>
    </w:p>
    <w:p>
      <w:pPr>
        <w:pStyle w:val="3"/>
        <w:spacing w:before="175"/>
        <w:rPr>
          <w:rFonts w:hint="eastAsia" w:ascii="宋体" w:hAnsi="宋体" w:eastAsia="宋体" w:cs="宋体"/>
        </w:rPr>
      </w:pPr>
      <w:r>
        <w:rPr>
          <w:rFonts w:hint="eastAsia" w:ascii="宋体" w:hAnsi="宋体" w:eastAsia="宋体" w:cs="宋体"/>
        </w:rPr>
        <w:t>第三章 合同与验收</w:t>
      </w:r>
    </w:p>
    <w:p>
      <w:pPr>
        <w:pStyle w:val="9"/>
        <w:rPr>
          <w:rFonts w:hint="eastAsia" w:ascii="宋体" w:hAnsi="宋体" w:eastAsia="宋体" w:cs="宋体"/>
          <w:b/>
          <w:sz w:val="22"/>
        </w:rPr>
      </w:pPr>
    </w:p>
    <w:p>
      <w:pPr>
        <w:pStyle w:val="9"/>
        <w:spacing w:before="3"/>
        <w:rPr>
          <w:rFonts w:hint="eastAsia" w:ascii="宋体" w:hAnsi="宋体" w:eastAsia="宋体" w:cs="宋体"/>
          <w:b/>
          <w:sz w:val="25"/>
        </w:rPr>
      </w:pPr>
    </w:p>
    <w:p>
      <w:pPr>
        <w:pStyle w:val="4"/>
        <w:rPr>
          <w:rFonts w:hint="eastAsia" w:ascii="宋体" w:hAnsi="宋体" w:eastAsia="宋体" w:cs="宋体"/>
        </w:rPr>
      </w:pPr>
      <w:r>
        <w:rPr>
          <w:rFonts w:hint="eastAsia" w:ascii="宋体" w:hAnsi="宋体" w:eastAsia="宋体" w:cs="宋体"/>
        </w:rPr>
        <w:t>一、合同要求</w:t>
      </w:r>
    </w:p>
    <w:p>
      <w:pPr>
        <w:pStyle w:val="5"/>
        <w:numPr>
          <w:ilvl w:val="0"/>
          <w:numId w:val="30"/>
        </w:numPr>
        <w:tabs>
          <w:tab w:val="left" w:pos="333"/>
        </w:tabs>
        <w:spacing w:before="173" w:after="0" w:line="240" w:lineRule="auto"/>
        <w:ind w:left="332" w:right="0" w:hanging="207"/>
        <w:jc w:val="left"/>
        <w:rPr>
          <w:rFonts w:hint="eastAsia" w:ascii="宋体" w:hAnsi="宋体" w:eastAsia="宋体" w:cs="宋体"/>
        </w:rPr>
      </w:pPr>
      <w:r>
        <w:rPr>
          <w:rFonts w:hint="eastAsia" w:ascii="宋体" w:hAnsi="宋体" w:eastAsia="宋体" w:cs="宋体"/>
          <w:spacing w:val="8"/>
        </w:rPr>
        <w:t>一般要求</w:t>
      </w:r>
    </w:p>
    <w:p>
      <w:pPr>
        <w:pStyle w:val="18"/>
        <w:numPr>
          <w:ilvl w:val="1"/>
          <w:numId w:val="30"/>
        </w:numPr>
        <w:tabs>
          <w:tab w:val="left" w:pos="814"/>
        </w:tabs>
        <w:spacing w:before="70" w:after="0" w:line="379" w:lineRule="auto"/>
        <w:ind w:left="126" w:right="145" w:firstLine="384"/>
        <w:jc w:val="left"/>
        <w:rPr>
          <w:rFonts w:hint="eastAsia" w:ascii="宋体" w:hAnsi="宋体" w:eastAsia="宋体" w:cs="宋体"/>
          <w:sz w:val="19"/>
        </w:rPr>
      </w:pPr>
      <w:r>
        <w:rPr>
          <w:rFonts w:hint="eastAsia" w:ascii="宋体" w:hAnsi="宋体" w:eastAsia="宋体" w:cs="宋体"/>
          <w:sz w:val="19"/>
        </w:rPr>
        <w:t>采购人应当自中标通知书发出之日起</w:t>
      </w:r>
      <w:r>
        <w:rPr>
          <w:rFonts w:hint="eastAsia" w:ascii="宋体" w:hAnsi="宋体" w:eastAsia="宋体" w:cs="宋体"/>
          <w:spacing w:val="-3"/>
          <w:sz w:val="19"/>
        </w:rPr>
        <w:t>30</w:t>
      </w:r>
      <w:r>
        <w:rPr>
          <w:rFonts w:hint="eastAsia" w:ascii="宋体" w:hAnsi="宋体" w:eastAsia="宋体" w:cs="宋体"/>
          <w:spacing w:val="-1"/>
          <w:sz w:val="19"/>
        </w:rPr>
        <w:t>日内，按照磋商文件和成交供应商响应文件的规定，与成交供应商签订书面合</w:t>
      </w:r>
      <w:r>
        <w:rPr>
          <w:rFonts w:hint="eastAsia" w:ascii="宋体" w:hAnsi="宋体" w:eastAsia="宋体" w:cs="宋体"/>
          <w:w w:val="110"/>
          <w:sz w:val="19"/>
        </w:rPr>
        <w:t>同。所签订的合同不得对磋商文件确定的事项和成交供应商响应文件作实质性修改。</w:t>
      </w:r>
    </w:p>
    <w:p>
      <w:pPr>
        <w:pStyle w:val="18"/>
        <w:numPr>
          <w:ilvl w:val="1"/>
          <w:numId w:val="30"/>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合同签订双方不得提出任何不合理的要求作为签订合同的条件。</w:t>
      </w:r>
    </w:p>
    <w:p>
      <w:pPr>
        <w:pStyle w:val="18"/>
        <w:numPr>
          <w:ilvl w:val="1"/>
          <w:numId w:val="30"/>
        </w:numPr>
        <w:tabs>
          <w:tab w:val="left" w:pos="814"/>
        </w:tabs>
        <w:spacing w:before="141"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政府采购合同应当包括采购人与成交供应商的名称和住所、标的、数量、质量、价款或者报酬、履行期限及地点和方</w:t>
      </w:r>
      <w:r>
        <w:rPr>
          <w:rFonts w:hint="eastAsia" w:ascii="宋体" w:hAnsi="宋体" w:eastAsia="宋体" w:cs="宋体"/>
          <w:sz w:val="19"/>
        </w:rPr>
        <w:t>式、验收要求、违约责任、解决争议的方法等内容。</w:t>
      </w:r>
    </w:p>
    <w:p>
      <w:pPr>
        <w:pStyle w:val="18"/>
        <w:numPr>
          <w:ilvl w:val="1"/>
          <w:numId w:val="30"/>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采购人与成交供应商应当根据合同的约定依法履行合同义务。</w:t>
      </w:r>
    </w:p>
    <w:p>
      <w:pPr>
        <w:pStyle w:val="18"/>
        <w:numPr>
          <w:ilvl w:val="1"/>
          <w:numId w:val="30"/>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政府采购合同的履行、违约责任和解决争议的方法等适用《中华人民共和国民法典》。</w:t>
      </w:r>
    </w:p>
    <w:p>
      <w:pPr>
        <w:pStyle w:val="18"/>
        <w:numPr>
          <w:ilvl w:val="1"/>
          <w:numId w:val="30"/>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政府采购合同的双方当事人不得擅自变更、中止或者终止合同。</w:t>
      </w:r>
    </w:p>
    <w:p>
      <w:pPr>
        <w:pStyle w:val="18"/>
        <w:numPr>
          <w:ilvl w:val="1"/>
          <w:numId w:val="30"/>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拒绝签订采购合同的按照相关规定处理，并承担相应法律责任。</w:t>
      </w:r>
    </w:p>
    <w:p>
      <w:pPr>
        <w:pStyle w:val="18"/>
        <w:numPr>
          <w:ilvl w:val="1"/>
          <w:numId w:val="30"/>
        </w:numPr>
        <w:tabs>
          <w:tab w:val="left" w:pos="814"/>
        </w:tabs>
        <w:spacing w:before="141" w:after="0" w:line="379" w:lineRule="auto"/>
        <w:ind w:left="126" w:right="265" w:firstLine="384"/>
        <w:jc w:val="left"/>
        <w:rPr>
          <w:rFonts w:hint="eastAsia" w:ascii="宋体" w:hAnsi="宋体" w:eastAsia="宋体" w:cs="宋体"/>
          <w:sz w:val="19"/>
        </w:rPr>
      </w:pPr>
      <w:r>
        <w:rPr>
          <w:rFonts w:hint="eastAsia" w:ascii="宋体" w:hAnsi="宋体" w:eastAsia="宋体" w:cs="宋体"/>
          <w:sz w:val="19"/>
        </w:rPr>
        <w:t>采购人应当自政府采购合同签订之日起</w:t>
      </w:r>
      <w:r>
        <w:rPr>
          <w:rFonts w:hint="eastAsia" w:ascii="宋体" w:hAnsi="宋体" w:eastAsia="宋体" w:cs="宋体"/>
          <w:spacing w:val="-3"/>
          <w:w w:val="110"/>
          <w:sz w:val="19"/>
        </w:rPr>
        <w:t>2</w:t>
      </w:r>
      <w:r>
        <w:rPr>
          <w:rFonts w:hint="eastAsia" w:ascii="宋体" w:hAnsi="宋体" w:eastAsia="宋体" w:cs="宋体"/>
          <w:spacing w:val="-1"/>
          <w:sz w:val="19"/>
        </w:rPr>
        <w:t>个工作日内，将政府采购合同在省级以上人民政府财政部门指定的媒体上公</w:t>
      </w:r>
      <w:r>
        <w:rPr>
          <w:rFonts w:hint="eastAsia" w:ascii="宋体" w:hAnsi="宋体" w:eastAsia="宋体" w:cs="宋体"/>
          <w:sz w:val="19"/>
        </w:rPr>
        <w:t>告，但政府采购合同中涉及国家秘密、商业秘密的内容除外。</w:t>
      </w:r>
    </w:p>
    <w:p>
      <w:pPr>
        <w:pStyle w:val="5"/>
        <w:numPr>
          <w:ilvl w:val="0"/>
          <w:numId w:val="30"/>
        </w:numPr>
        <w:tabs>
          <w:tab w:val="left" w:pos="333"/>
        </w:tabs>
        <w:spacing w:before="58" w:after="0" w:line="240" w:lineRule="auto"/>
        <w:ind w:left="332" w:right="0" w:hanging="207"/>
        <w:jc w:val="left"/>
        <w:rPr>
          <w:rFonts w:hint="eastAsia" w:ascii="宋体" w:hAnsi="宋体" w:eastAsia="宋体" w:cs="宋体"/>
        </w:rPr>
      </w:pPr>
      <w:r>
        <w:rPr>
          <w:rFonts w:hint="eastAsia" w:ascii="宋体" w:hAnsi="宋体" w:eastAsia="宋体" w:cs="宋体"/>
          <w:spacing w:val="10"/>
        </w:rPr>
        <w:t>合同格式及内容</w:t>
      </w:r>
    </w:p>
    <w:p>
      <w:pPr>
        <w:pStyle w:val="18"/>
        <w:numPr>
          <w:ilvl w:val="1"/>
          <w:numId w:val="30"/>
        </w:numPr>
        <w:tabs>
          <w:tab w:val="left" w:pos="814"/>
        </w:tabs>
        <w:spacing w:before="7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具体格式见本磋商文件后附拟签订的《合同文本》（部分合同条款），响应文件中可以不提供《合同文本》。</w:t>
      </w:r>
    </w:p>
    <w:p>
      <w:pPr>
        <w:pStyle w:val="18"/>
        <w:numPr>
          <w:ilvl w:val="1"/>
          <w:numId w:val="30"/>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《合同文本》的内容可以根据《民法典》和合同签订双方的实际要求进行修改，但不得改变范本中的实质性内容。</w:t>
      </w:r>
    </w:p>
    <w:p>
      <w:pPr>
        <w:pStyle w:val="9"/>
        <w:spacing w:before="3"/>
        <w:rPr>
          <w:rFonts w:hint="eastAsia" w:ascii="宋体" w:hAnsi="宋体" w:eastAsia="宋体" w:cs="宋体"/>
          <w:sz w:val="24"/>
        </w:rPr>
      </w:pPr>
    </w:p>
    <w:p>
      <w:pPr>
        <w:pStyle w:val="4"/>
        <w:spacing w:before="1"/>
        <w:rPr>
          <w:rFonts w:hint="eastAsia" w:ascii="宋体" w:hAnsi="宋体" w:eastAsia="宋体" w:cs="宋体"/>
        </w:rPr>
      </w:pPr>
      <w:r>
        <w:rPr>
          <w:rFonts w:hint="eastAsia" w:ascii="宋体" w:hAnsi="宋体" w:eastAsia="宋体" w:cs="宋体"/>
        </w:rPr>
        <w:t>二、验收</w:t>
      </w:r>
    </w:p>
    <w:p>
      <w:pPr>
        <w:pStyle w:val="9"/>
        <w:spacing w:before="113"/>
        <w:ind w:left="510"/>
        <w:rPr>
          <w:rFonts w:hint="eastAsia" w:ascii="宋体" w:hAnsi="宋体" w:eastAsia="宋体" w:cs="宋体"/>
        </w:rPr>
      </w:pPr>
      <w:r>
        <w:rPr>
          <w:rFonts w:hint="eastAsia" w:ascii="宋体" w:hAnsi="宋体" w:eastAsia="宋体" w:cs="宋体"/>
        </w:rPr>
        <w:t>成交供应商在供货、工程竣工或服务结束后，采购人应及时组织验收，并按照磋商文件、响应文件及合同约定填写验收</w:t>
      </w:r>
    </w:p>
    <w:p>
      <w:pPr>
        <w:pStyle w:val="9"/>
        <w:spacing w:before="141"/>
        <w:ind w:left="126"/>
        <w:rPr>
          <w:rFonts w:hint="eastAsia" w:ascii="宋体" w:hAnsi="宋体" w:eastAsia="宋体" w:cs="宋体"/>
        </w:rPr>
      </w:pPr>
      <w:r>
        <w:rPr>
          <w:rFonts w:hint="eastAsia" w:ascii="宋体" w:hAnsi="宋体" w:eastAsia="宋体" w:cs="宋体"/>
        </w:rPr>
        <w:t>单。</w:t>
      </w:r>
    </w:p>
    <w:p>
      <w:pPr>
        <w:pStyle w:val="9"/>
        <w:rPr>
          <w:rFonts w:hint="eastAsia" w:ascii="宋体" w:hAnsi="宋体" w:eastAsia="宋体" w:cs="宋体"/>
          <w:sz w:val="18"/>
        </w:rPr>
      </w:pPr>
    </w:p>
    <w:p>
      <w:pPr>
        <w:pStyle w:val="9"/>
        <w:spacing w:before="8"/>
        <w:rPr>
          <w:rFonts w:hint="eastAsia" w:ascii="宋体" w:hAnsi="宋体" w:eastAsia="宋体" w:cs="宋体"/>
          <w:sz w:val="17"/>
        </w:rPr>
      </w:pPr>
    </w:p>
    <w:p>
      <w:pPr>
        <w:pStyle w:val="3"/>
        <w:spacing w:before="0"/>
        <w:rPr>
          <w:rFonts w:hint="eastAsia" w:ascii="宋体" w:hAnsi="宋体" w:eastAsia="宋体" w:cs="宋体"/>
        </w:rPr>
      </w:pPr>
      <w:r>
        <w:rPr>
          <w:rFonts w:hint="eastAsia" w:ascii="宋体" w:hAnsi="宋体" w:eastAsia="宋体" w:cs="宋体"/>
        </w:rPr>
        <w:t>政府采购合同（合同文本）</w:t>
      </w:r>
    </w:p>
    <w:p>
      <w:pPr>
        <w:pStyle w:val="9"/>
        <w:spacing w:before="8"/>
        <w:rPr>
          <w:rFonts w:hint="eastAsia" w:ascii="宋体" w:hAnsi="宋体" w:eastAsia="宋体" w:cs="宋体"/>
          <w:b/>
          <w:sz w:val="23"/>
        </w:rPr>
      </w:pPr>
    </w:p>
    <w:p>
      <w:pPr>
        <w:pStyle w:val="5"/>
        <w:rPr>
          <w:rFonts w:hint="eastAsia" w:ascii="宋体" w:hAnsi="宋体" w:eastAsia="宋体" w:cs="宋体"/>
        </w:rPr>
      </w:pPr>
      <w:r>
        <w:rPr>
          <w:rFonts w:hint="eastAsia" w:ascii="宋体" w:hAnsi="宋体" w:eastAsia="宋体" w:cs="宋体"/>
        </w:rPr>
        <w:t>甲方：***（填写采购单位）</w:t>
      </w:r>
    </w:p>
    <w:p>
      <w:pPr>
        <w:spacing w:after="0"/>
        <w:rPr>
          <w:rFonts w:hint="eastAsia" w:ascii="宋体" w:hAnsi="宋体" w:eastAsia="宋体" w:cs="宋体"/>
        </w:rPr>
        <w:sectPr>
          <w:pgSz w:w="11900" w:h="16840"/>
          <w:pgMar w:top="560" w:right="560" w:bottom="280" w:left="540" w:header="0" w:footer="13" w:gutter="0"/>
          <w:cols w:space="720" w:num="1"/>
        </w:sectPr>
      </w:pPr>
    </w:p>
    <w:p>
      <w:pPr>
        <w:spacing w:before="60" w:line="205" w:lineRule="exact"/>
        <w:ind w:left="120" w:right="0" w:firstLine="0"/>
        <w:jc w:val="left"/>
        <w:rPr>
          <w:rFonts w:hint="eastAsia" w:ascii="宋体" w:hAnsi="宋体" w:eastAsia="宋体" w:cs="宋体"/>
          <w:b/>
          <w:sz w:val="19"/>
        </w:rPr>
      </w:pPr>
      <w:r>
        <w:rPr>
          <w:rFonts w:hint="eastAsia" w:ascii="宋体" w:hAnsi="宋体" w:eastAsia="宋体" w:cs="宋体"/>
          <w:b/>
          <w:spacing w:val="12"/>
          <w:sz w:val="19"/>
        </w:rPr>
        <w:t>地址（详细地址</w:t>
      </w:r>
      <w:r>
        <w:rPr>
          <w:rFonts w:hint="eastAsia" w:ascii="宋体" w:hAnsi="宋体" w:eastAsia="宋体" w:cs="宋体"/>
          <w:b/>
          <w:spacing w:val="6"/>
          <w:sz w:val="19"/>
        </w:rPr>
        <w:t>）：</w:t>
      </w:r>
    </w:p>
    <w:p>
      <w:pPr>
        <w:spacing w:before="14" w:line="189" w:lineRule="auto"/>
        <w:ind w:left="120" w:right="7953" w:firstLine="0"/>
        <w:jc w:val="left"/>
        <w:rPr>
          <w:rFonts w:hint="eastAsia" w:ascii="宋体" w:hAnsi="宋体" w:eastAsia="宋体" w:cs="宋体"/>
          <w:b/>
          <w:sz w:val="19"/>
        </w:rPr>
      </w:pPr>
      <w:r>
        <w:rPr>
          <w:rFonts w:hint="eastAsia" w:ascii="宋体" w:hAnsi="宋体" w:eastAsia="宋体" w:cs="宋体"/>
          <w:b/>
          <w:spacing w:val="7"/>
          <w:sz w:val="19"/>
        </w:rPr>
        <w:t>乙方：</w:t>
      </w:r>
      <w:r>
        <w:rPr>
          <w:rFonts w:hint="eastAsia" w:ascii="宋体" w:hAnsi="宋体" w:eastAsia="宋体" w:cs="宋体"/>
          <w:b/>
          <w:sz w:val="19"/>
        </w:rPr>
        <w:t>***（</w:t>
      </w:r>
      <w:r>
        <w:rPr>
          <w:rFonts w:hint="eastAsia" w:ascii="宋体" w:hAnsi="宋体" w:eastAsia="宋体" w:cs="宋体"/>
          <w:b/>
          <w:spacing w:val="12"/>
          <w:sz w:val="19"/>
        </w:rPr>
        <w:t>填写中标供应商</w:t>
      </w:r>
      <w:r>
        <w:rPr>
          <w:rFonts w:hint="eastAsia" w:ascii="宋体" w:hAnsi="宋体" w:eastAsia="宋体" w:cs="宋体"/>
          <w:b/>
          <w:spacing w:val="-16"/>
          <w:sz w:val="19"/>
        </w:rPr>
        <w:t xml:space="preserve">） </w:t>
      </w:r>
      <w:r>
        <w:rPr>
          <w:rFonts w:hint="eastAsia" w:ascii="宋体" w:hAnsi="宋体" w:eastAsia="宋体" w:cs="宋体"/>
          <w:b/>
          <w:spacing w:val="12"/>
          <w:sz w:val="19"/>
        </w:rPr>
        <w:t>地址（详细地址</w:t>
      </w:r>
      <w:r>
        <w:rPr>
          <w:rFonts w:hint="eastAsia" w:ascii="宋体" w:hAnsi="宋体" w:eastAsia="宋体" w:cs="宋体"/>
          <w:b/>
          <w:spacing w:val="6"/>
          <w:sz w:val="19"/>
        </w:rPr>
        <w:t>）：</w:t>
      </w:r>
    </w:p>
    <w:p>
      <w:pPr>
        <w:spacing w:before="0" w:line="239" w:lineRule="exact"/>
        <w:ind w:left="120" w:right="0" w:firstLine="0"/>
        <w:jc w:val="left"/>
        <w:rPr>
          <w:rFonts w:hint="eastAsia" w:ascii="宋体" w:hAnsi="宋体" w:eastAsia="宋体" w:cs="宋体"/>
          <w:b/>
          <w:sz w:val="19"/>
        </w:rPr>
      </w:pPr>
      <w:r>
        <w:rPr>
          <w:rFonts w:hint="eastAsia" w:ascii="宋体" w:hAnsi="宋体" w:eastAsia="宋体" w:cs="宋体"/>
          <w:b/>
          <w:sz w:val="19"/>
        </w:rPr>
        <w:t>合同号：</w:t>
      </w:r>
    </w:p>
    <w:p>
      <w:pPr>
        <w:pStyle w:val="9"/>
        <w:tabs>
          <w:tab w:val="left" w:pos="9608"/>
        </w:tabs>
        <w:spacing w:before="57"/>
        <w:ind w:left="990"/>
        <w:rPr>
          <w:rFonts w:hint="eastAsia" w:ascii="宋体" w:hAnsi="宋体" w:eastAsia="宋体" w:cs="宋体"/>
        </w:rPr>
      </w:pPr>
      <w:r>
        <w:rPr>
          <w:rFonts w:hint="eastAsia" w:ascii="宋体" w:hAnsi="宋体" w:eastAsia="宋体" w:cs="宋体"/>
        </w:rPr>
        <w:t>根据《中华人民共和国政府采购法》、《中华人民共和国民法典》等相关法律法规，甲、乙双方就</w:t>
      </w:r>
      <w:r>
        <w:rPr>
          <w:rFonts w:hint="eastAsia" w:ascii="宋体" w:hAnsi="宋体" w:eastAsia="宋体" w:cs="宋体"/>
        </w:rPr>
        <w:tab/>
      </w:r>
      <w:r>
        <w:rPr>
          <w:rFonts w:hint="eastAsia" w:ascii="宋体" w:hAnsi="宋体" w:eastAsia="宋体" w:cs="宋体"/>
        </w:rPr>
        <w:t>（填写项目</w:t>
      </w:r>
    </w:p>
    <w:p>
      <w:pPr>
        <w:pStyle w:val="9"/>
        <w:tabs>
          <w:tab w:val="left" w:pos="1062"/>
          <w:tab w:val="left" w:pos="5263"/>
        </w:tabs>
        <w:spacing w:before="141"/>
        <w:ind w:left="126"/>
        <w:rPr>
          <w:rFonts w:hint="eastAsia" w:ascii="宋体" w:hAnsi="宋体" w:eastAsia="宋体" w:cs="宋体"/>
        </w:rPr>
      </w:pPr>
      <w:r>
        <w:rPr>
          <w:rFonts w:hint="eastAsia" w:ascii="宋体" w:hAnsi="宋体" w:eastAsia="宋体" w:cs="宋体"/>
        </w:rPr>
        <w:t>名称）</w:t>
      </w:r>
      <w:r>
        <w:rPr>
          <w:rFonts w:hint="eastAsia" w:ascii="宋体" w:hAnsi="宋体" w:eastAsia="宋体" w:cs="宋体"/>
        </w:rPr>
        <w:tab/>
      </w:r>
      <w:r>
        <w:rPr>
          <w:rFonts w:hint="eastAsia" w:ascii="宋体" w:hAnsi="宋体" w:eastAsia="宋体" w:cs="宋体"/>
        </w:rPr>
        <w:t>（政府采购项目编号、备案编号：</w:t>
      </w:r>
      <w:r>
        <w:rPr>
          <w:rFonts w:hint="eastAsia" w:ascii="宋体" w:hAnsi="宋体" w:eastAsia="宋体" w:cs="宋体"/>
        </w:rPr>
        <w:tab/>
      </w:r>
      <w:r>
        <w:rPr>
          <w:rFonts w:hint="eastAsia" w:ascii="宋体" w:hAnsi="宋体" w:eastAsia="宋体" w:cs="宋体"/>
        </w:rPr>
        <w:t>），经平等自愿协商一致达成合同如下：</w:t>
      </w:r>
    </w:p>
    <w:p>
      <w:pPr>
        <w:pStyle w:val="18"/>
        <w:numPr>
          <w:ilvl w:val="0"/>
          <w:numId w:val="2"/>
        </w:numPr>
        <w:tabs>
          <w:tab w:val="left" w:pos="789"/>
        </w:tabs>
        <w:spacing w:before="68" w:after="0" w:line="240" w:lineRule="auto"/>
        <w:ind w:left="788" w:right="0" w:hanging="183"/>
        <w:jc w:val="left"/>
        <w:rPr>
          <w:rFonts w:hint="eastAsia" w:ascii="宋体" w:hAnsi="宋体" w:eastAsia="宋体" w:cs="宋体"/>
          <w:sz w:val="19"/>
        </w:rPr>
      </w:pPr>
      <w:r>
        <w:rPr>
          <w:rFonts w:hint="eastAsia" w:ascii="宋体" w:hAnsi="宋体" w:eastAsia="宋体" w:cs="宋体"/>
          <w:sz w:val="19"/>
        </w:rPr>
        <w:t>合同文件</w:t>
      </w:r>
    </w:p>
    <w:p>
      <w:pPr>
        <w:pStyle w:val="9"/>
        <w:spacing w:before="57"/>
        <w:ind w:left="990"/>
        <w:rPr>
          <w:rFonts w:hint="eastAsia" w:ascii="宋体" w:hAnsi="宋体" w:eastAsia="宋体" w:cs="宋体"/>
        </w:rPr>
      </w:pPr>
      <w:r>
        <w:rPr>
          <w:rFonts w:hint="eastAsia" w:ascii="宋体" w:hAnsi="宋体" w:eastAsia="宋体" w:cs="宋体"/>
        </w:rPr>
        <w:t>本合同所附下列文件是构成本合同不可分割的部分：</w:t>
      </w:r>
    </w:p>
    <w:p>
      <w:pPr>
        <w:pStyle w:val="18"/>
        <w:numPr>
          <w:ilvl w:val="0"/>
          <w:numId w:val="31"/>
        </w:numPr>
        <w:tabs>
          <w:tab w:val="left" w:pos="935"/>
        </w:tabs>
        <w:spacing w:before="141" w:after="0" w:line="240" w:lineRule="auto"/>
        <w:ind w:left="934" w:right="0" w:hanging="269"/>
        <w:jc w:val="left"/>
        <w:rPr>
          <w:rFonts w:hint="eastAsia" w:ascii="宋体" w:hAnsi="宋体" w:eastAsia="宋体" w:cs="宋体"/>
          <w:sz w:val="19"/>
        </w:rPr>
      </w:pPr>
      <w:r>
        <w:rPr>
          <w:rFonts w:hint="eastAsia" w:ascii="宋体" w:hAnsi="宋体" w:eastAsia="宋体" w:cs="宋体"/>
          <w:sz w:val="19"/>
        </w:rPr>
        <w:t>合同格式以及合同条款</w:t>
      </w:r>
    </w:p>
    <w:p>
      <w:pPr>
        <w:pStyle w:val="18"/>
        <w:numPr>
          <w:ilvl w:val="0"/>
          <w:numId w:val="31"/>
        </w:numPr>
        <w:tabs>
          <w:tab w:val="left" w:pos="935"/>
        </w:tabs>
        <w:spacing w:before="140" w:after="0" w:line="379" w:lineRule="auto"/>
        <w:ind w:left="666" w:right="7563" w:firstLine="0"/>
        <w:jc w:val="left"/>
        <w:rPr>
          <w:rFonts w:hint="eastAsia" w:ascii="宋体" w:hAnsi="宋体" w:eastAsia="宋体" w:cs="宋体"/>
          <w:sz w:val="19"/>
        </w:rPr>
      </w:pPr>
      <w:r>
        <w:rPr>
          <w:rFonts w:hint="eastAsia" w:ascii="宋体" w:hAnsi="宋体" w:eastAsia="宋体" w:cs="宋体"/>
          <w:spacing w:val="-2"/>
          <w:sz w:val="19"/>
        </w:rPr>
        <w:t>中标结果公告及中标通知书</w:t>
      </w:r>
      <w:r>
        <w:rPr>
          <w:rFonts w:hint="eastAsia" w:ascii="宋体" w:hAnsi="宋体" w:eastAsia="宋体" w:cs="宋体"/>
          <w:spacing w:val="-3"/>
          <w:w w:val="110"/>
          <w:sz w:val="19"/>
        </w:rPr>
        <w:t>(3)</w:t>
      </w:r>
      <w:r>
        <w:rPr>
          <w:rFonts w:hint="eastAsia" w:ascii="宋体" w:hAnsi="宋体" w:eastAsia="宋体" w:cs="宋体"/>
          <w:w w:val="110"/>
          <w:sz w:val="19"/>
        </w:rPr>
        <w:t>磋商文件</w:t>
      </w:r>
    </w:p>
    <w:p>
      <w:pPr>
        <w:pStyle w:val="9"/>
        <w:spacing w:line="379" w:lineRule="auto"/>
        <w:ind w:left="666" w:right="9099"/>
        <w:rPr>
          <w:rFonts w:hint="eastAsia" w:ascii="宋体" w:hAnsi="宋体" w:eastAsia="宋体" w:cs="宋体"/>
        </w:rPr>
      </w:pPr>
      <w:r>
        <w:rPr>
          <w:rFonts w:hint="eastAsia" w:ascii="宋体" w:hAnsi="宋体" w:eastAsia="宋体" w:cs="宋体"/>
          <w:w w:val="105"/>
        </w:rPr>
        <w:t>(4)响应文件(5)变更合同</w:t>
      </w:r>
    </w:p>
    <w:p>
      <w:pPr>
        <w:pStyle w:val="18"/>
        <w:numPr>
          <w:ilvl w:val="0"/>
          <w:numId w:val="2"/>
        </w:numPr>
        <w:tabs>
          <w:tab w:val="left" w:pos="849"/>
        </w:tabs>
        <w:spacing w:before="0" w:after="0" w:line="242" w:lineRule="exact"/>
        <w:ind w:left="848" w:right="0" w:hanging="183"/>
        <w:jc w:val="left"/>
        <w:rPr>
          <w:rFonts w:hint="eastAsia" w:ascii="宋体" w:hAnsi="宋体" w:eastAsia="宋体" w:cs="宋体"/>
          <w:sz w:val="19"/>
        </w:rPr>
      </w:pPr>
      <w:r>
        <w:rPr>
          <w:rFonts w:hint="eastAsia" w:ascii="宋体" w:hAnsi="宋体" w:eastAsia="宋体" w:cs="宋体"/>
          <w:sz w:val="19"/>
        </w:rPr>
        <w:t>本合同所提供的标的物、数量及规格等详见中标结果公告及后附清单。</w:t>
      </w:r>
    </w:p>
    <w:p>
      <w:pPr>
        <w:pStyle w:val="18"/>
        <w:numPr>
          <w:ilvl w:val="0"/>
          <w:numId w:val="2"/>
        </w:numPr>
        <w:tabs>
          <w:tab w:val="left" w:pos="849"/>
        </w:tabs>
        <w:spacing w:before="140" w:after="0" w:line="240" w:lineRule="auto"/>
        <w:ind w:left="848" w:right="0" w:hanging="183"/>
        <w:jc w:val="left"/>
        <w:rPr>
          <w:rFonts w:hint="eastAsia" w:ascii="宋体" w:hAnsi="宋体" w:eastAsia="宋体" w:cs="宋体"/>
          <w:sz w:val="19"/>
        </w:rPr>
      </w:pPr>
      <w:r>
        <w:rPr>
          <w:rFonts w:hint="eastAsia" w:ascii="宋体" w:hAnsi="宋体" w:eastAsia="宋体" w:cs="宋体"/>
          <w:sz w:val="19"/>
        </w:rPr>
        <w:t>合同金额</w:t>
      </w:r>
    </w:p>
    <w:p>
      <w:pPr>
        <w:pStyle w:val="9"/>
        <w:tabs>
          <w:tab w:val="left" w:pos="3582"/>
        </w:tabs>
        <w:spacing w:before="141"/>
        <w:ind w:left="606"/>
        <w:rPr>
          <w:rFonts w:hint="eastAsia" w:ascii="宋体" w:hAnsi="宋体" w:eastAsia="宋体" w:cs="宋体"/>
        </w:rPr>
      </w:pPr>
      <w:r>
        <w:rPr>
          <w:rFonts w:hint="eastAsia" w:ascii="宋体" w:hAnsi="宋体" w:eastAsia="宋体" w:cs="宋体"/>
        </w:rPr>
        <w:t>合同金额为人民币</w:t>
      </w:r>
      <w:r>
        <w:rPr>
          <w:rFonts w:hint="eastAsia" w:ascii="宋体" w:hAnsi="宋体" w:eastAsia="宋体" w:cs="宋体"/>
        </w:rPr>
        <w:tab/>
      </w:r>
      <w:r>
        <w:rPr>
          <w:rFonts w:hint="eastAsia" w:ascii="宋体" w:hAnsi="宋体" w:eastAsia="宋体" w:cs="宋体"/>
        </w:rPr>
        <w:t>万元，大写：</w:t>
      </w:r>
    </w:p>
    <w:p>
      <w:pPr>
        <w:pStyle w:val="18"/>
        <w:numPr>
          <w:ilvl w:val="0"/>
          <w:numId w:val="2"/>
        </w:numPr>
        <w:tabs>
          <w:tab w:val="left" w:pos="789"/>
        </w:tabs>
        <w:spacing w:before="140" w:after="0" w:line="240" w:lineRule="auto"/>
        <w:ind w:left="788" w:right="0" w:hanging="183"/>
        <w:jc w:val="left"/>
        <w:rPr>
          <w:rFonts w:hint="eastAsia" w:ascii="宋体" w:hAnsi="宋体" w:eastAsia="宋体" w:cs="宋体"/>
          <w:sz w:val="19"/>
        </w:rPr>
      </w:pPr>
      <w:r>
        <w:rPr>
          <w:rFonts w:hint="eastAsia" w:ascii="宋体" w:hAnsi="宋体" w:eastAsia="宋体" w:cs="宋体"/>
          <w:sz w:val="19"/>
        </w:rPr>
        <w:t>付款方式及时间</w:t>
      </w:r>
    </w:p>
    <w:p>
      <w:pPr>
        <w:pStyle w:val="9"/>
        <w:spacing w:before="141" w:line="379" w:lineRule="auto"/>
        <w:ind w:left="666" w:right="7983" w:hanging="61"/>
        <w:rPr>
          <w:rFonts w:hint="eastAsia" w:ascii="宋体" w:hAnsi="宋体" w:eastAsia="宋体" w:cs="宋体"/>
        </w:rPr>
      </w:pPr>
      <w:r>
        <w:rPr>
          <w:rFonts w:hint="eastAsia" w:ascii="宋体" w:hAnsi="宋体" w:eastAsia="宋体" w:cs="宋体"/>
        </w:rPr>
        <w:t xml:space="preserve">***（见磋商文件第四章） </w:t>
      </w:r>
      <w:r>
        <w:rPr>
          <w:rFonts w:hint="eastAsia" w:ascii="宋体" w:hAnsi="宋体" w:eastAsia="宋体" w:cs="宋体"/>
          <w:w w:val="120"/>
        </w:rPr>
        <w:t>5.</w:t>
      </w:r>
      <w:r>
        <w:rPr>
          <w:rFonts w:hint="eastAsia" w:ascii="宋体" w:hAnsi="宋体" w:eastAsia="宋体" w:cs="宋体"/>
        </w:rPr>
        <w:t>交货安装</w:t>
      </w:r>
    </w:p>
    <w:p>
      <w:pPr>
        <w:pStyle w:val="9"/>
        <w:spacing w:line="379" w:lineRule="auto"/>
        <w:ind w:left="606" w:right="9231"/>
        <w:jc w:val="both"/>
        <w:rPr>
          <w:rFonts w:hint="eastAsia" w:ascii="宋体" w:hAnsi="宋体" w:eastAsia="宋体" w:cs="宋体"/>
        </w:rPr>
      </w:pPr>
      <w:r>
        <w:rPr>
          <w:rFonts w:hint="eastAsia" w:ascii="宋体" w:hAnsi="宋体" w:eastAsia="宋体" w:cs="宋体"/>
        </w:rPr>
        <w:t xml:space="preserve">交货时间： 交货地点： </w:t>
      </w:r>
      <w:r>
        <w:rPr>
          <w:rFonts w:hint="eastAsia" w:ascii="宋体" w:hAnsi="宋体" w:eastAsia="宋体" w:cs="宋体"/>
          <w:w w:val="125"/>
        </w:rPr>
        <w:t>6.</w:t>
      </w:r>
      <w:r>
        <w:rPr>
          <w:rFonts w:hint="eastAsia" w:ascii="宋体" w:hAnsi="宋体" w:eastAsia="宋体" w:cs="宋体"/>
          <w:w w:val="110"/>
        </w:rPr>
        <w:t>质量</w:t>
      </w:r>
    </w:p>
    <w:p>
      <w:pPr>
        <w:pStyle w:val="9"/>
        <w:spacing w:line="379" w:lineRule="auto"/>
        <w:ind w:left="126" w:right="205" w:firstLine="480"/>
        <w:rPr>
          <w:rFonts w:hint="eastAsia" w:ascii="宋体" w:hAnsi="宋体" w:eastAsia="宋体" w:cs="宋体"/>
        </w:rPr>
      </w:pPr>
      <w:r>
        <w:rPr>
          <w:rFonts w:hint="eastAsia" w:ascii="宋体" w:hAnsi="宋体" w:eastAsia="宋体" w:cs="宋体"/>
        </w:rPr>
        <w:t>乙方提供的标的物应符合国家相关质量验收标准，且能够提供相关权威部门出具的产品质量检测报告；提供的相关服务符合国家（或行业）规定标准。</w:t>
      </w:r>
    </w:p>
    <w:p>
      <w:pPr>
        <w:pStyle w:val="18"/>
        <w:numPr>
          <w:ilvl w:val="0"/>
          <w:numId w:val="32"/>
        </w:numPr>
        <w:tabs>
          <w:tab w:val="left" w:pos="849"/>
        </w:tabs>
        <w:spacing w:before="0" w:after="0" w:line="242" w:lineRule="exact"/>
        <w:ind w:left="848" w:right="0" w:hanging="183"/>
        <w:jc w:val="left"/>
        <w:rPr>
          <w:rFonts w:hint="eastAsia" w:ascii="宋体" w:hAnsi="宋体" w:eastAsia="宋体" w:cs="宋体"/>
          <w:sz w:val="19"/>
        </w:rPr>
      </w:pPr>
      <w:r>
        <w:rPr>
          <w:rFonts w:hint="eastAsia" w:ascii="宋体" w:hAnsi="宋体" w:eastAsia="宋体" w:cs="宋体"/>
          <w:sz w:val="19"/>
        </w:rPr>
        <w:t>包装</w:t>
      </w:r>
    </w:p>
    <w:p>
      <w:pPr>
        <w:pStyle w:val="9"/>
        <w:spacing w:before="77" w:line="225" w:lineRule="auto"/>
        <w:ind w:left="126" w:right="265" w:firstLine="420"/>
        <w:rPr>
          <w:rFonts w:hint="eastAsia" w:ascii="宋体" w:hAnsi="宋体" w:eastAsia="宋体" w:cs="宋体"/>
        </w:rPr>
      </w:pPr>
      <w:r>
        <w:rPr>
          <w:rFonts w:hint="eastAsia" w:ascii="宋体" w:hAnsi="宋体" w:eastAsia="宋体" w:cs="宋体"/>
        </w:rPr>
        <w:t>标的物的包装应按照国家或者行业主管部门的技术规定执行，国家或业务主管部门无技术规定的，应当按双方约定采取足以保护标的物安全、完好的包装方式。</w:t>
      </w:r>
    </w:p>
    <w:p>
      <w:pPr>
        <w:pStyle w:val="18"/>
        <w:numPr>
          <w:ilvl w:val="0"/>
          <w:numId w:val="32"/>
        </w:numPr>
        <w:tabs>
          <w:tab w:val="left" w:pos="1173"/>
        </w:tabs>
        <w:spacing w:before="59" w:after="0" w:line="240" w:lineRule="auto"/>
        <w:ind w:left="1172" w:right="0" w:hanging="183"/>
        <w:jc w:val="left"/>
        <w:rPr>
          <w:rFonts w:hint="eastAsia" w:ascii="宋体" w:hAnsi="宋体" w:eastAsia="宋体" w:cs="宋体"/>
          <w:sz w:val="19"/>
        </w:rPr>
      </w:pPr>
      <w:r>
        <w:rPr>
          <w:rFonts w:hint="eastAsia" w:ascii="宋体" w:hAnsi="宋体" w:eastAsia="宋体" w:cs="宋体"/>
          <w:sz w:val="19"/>
        </w:rPr>
        <w:t>运输要求</w:t>
      </w:r>
    </w:p>
    <w:p>
      <w:pPr>
        <w:pStyle w:val="18"/>
        <w:numPr>
          <w:ilvl w:val="0"/>
          <w:numId w:val="3"/>
        </w:numPr>
        <w:tabs>
          <w:tab w:val="left" w:pos="1112"/>
        </w:tabs>
        <w:spacing w:before="141" w:after="0" w:line="240" w:lineRule="auto"/>
        <w:ind w:left="1111" w:right="0" w:hanging="506"/>
        <w:jc w:val="left"/>
        <w:rPr>
          <w:rFonts w:hint="eastAsia" w:ascii="宋体" w:hAnsi="宋体" w:eastAsia="宋体" w:cs="宋体"/>
          <w:sz w:val="19"/>
        </w:rPr>
      </w:pPr>
      <w:r>
        <w:rPr>
          <w:rFonts w:hint="eastAsia" w:ascii="宋体" w:hAnsi="宋体" w:eastAsia="宋体" w:cs="宋体"/>
          <w:sz w:val="19"/>
        </w:rPr>
        <w:t>运输方式及线路：</w:t>
      </w:r>
    </w:p>
    <w:p>
      <w:pPr>
        <w:pStyle w:val="18"/>
        <w:numPr>
          <w:ilvl w:val="0"/>
          <w:numId w:val="3"/>
        </w:numPr>
        <w:tabs>
          <w:tab w:val="left" w:pos="1112"/>
        </w:tabs>
        <w:spacing w:before="141" w:after="0" w:line="240" w:lineRule="auto"/>
        <w:ind w:left="1111" w:right="0" w:hanging="506"/>
        <w:jc w:val="left"/>
        <w:rPr>
          <w:rFonts w:hint="eastAsia" w:ascii="宋体" w:hAnsi="宋体" w:eastAsia="宋体" w:cs="宋体"/>
          <w:sz w:val="19"/>
        </w:rPr>
      </w:pPr>
      <w:r>
        <w:rPr>
          <w:rFonts w:hint="eastAsia" w:ascii="宋体" w:hAnsi="宋体" w:eastAsia="宋体" w:cs="宋体"/>
          <w:sz w:val="19"/>
        </w:rPr>
        <w:t>运输及相关费用由乙方承担。</w:t>
      </w:r>
    </w:p>
    <w:p>
      <w:pPr>
        <w:pStyle w:val="18"/>
        <w:numPr>
          <w:ilvl w:val="0"/>
          <w:numId w:val="32"/>
        </w:numPr>
        <w:tabs>
          <w:tab w:val="left" w:pos="849"/>
        </w:tabs>
        <w:spacing w:before="140" w:after="0" w:line="240" w:lineRule="auto"/>
        <w:ind w:left="848" w:right="0" w:hanging="183"/>
        <w:jc w:val="left"/>
        <w:rPr>
          <w:rFonts w:hint="eastAsia" w:ascii="宋体" w:hAnsi="宋体" w:eastAsia="宋体" w:cs="宋体"/>
          <w:sz w:val="19"/>
        </w:rPr>
      </w:pPr>
      <w:r>
        <w:rPr>
          <w:rFonts w:hint="eastAsia" w:ascii="宋体" w:hAnsi="宋体" w:eastAsia="宋体" w:cs="宋体"/>
          <w:sz w:val="19"/>
        </w:rPr>
        <w:t>知识产权</w:t>
      </w:r>
    </w:p>
    <w:p>
      <w:pPr>
        <w:pStyle w:val="9"/>
        <w:spacing w:before="141"/>
        <w:ind w:left="606"/>
        <w:rPr>
          <w:rFonts w:hint="eastAsia" w:ascii="宋体" w:hAnsi="宋体" w:eastAsia="宋体" w:cs="宋体"/>
        </w:rPr>
      </w:pPr>
      <w:r>
        <w:rPr>
          <w:rFonts w:hint="eastAsia" w:ascii="宋体" w:hAnsi="宋体" w:eastAsia="宋体" w:cs="宋体"/>
        </w:rPr>
        <w:t>乙方应保证甲方在中国境内使用标的物或标的物的任何一部分时，免受第三方提出的侵犯其知识产权的诉讼。</w:t>
      </w:r>
    </w:p>
    <w:p>
      <w:pPr>
        <w:pStyle w:val="18"/>
        <w:numPr>
          <w:ilvl w:val="0"/>
          <w:numId w:val="32"/>
        </w:numPr>
        <w:tabs>
          <w:tab w:val="left" w:pos="969"/>
        </w:tabs>
        <w:spacing w:before="141" w:after="0" w:line="240" w:lineRule="auto"/>
        <w:ind w:left="968" w:right="0" w:hanging="303"/>
        <w:jc w:val="left"/>
        <w:rPr>
          <w:rFonts w:hint="eastAsia" w:ascii="宋体" w:hAnsi="宋体" w:eastAsia="宋体" w:cs="宋体"/>
          <w:sz w:val="19"/>
        </w:rPr>
      </w:pPr>
      <w:r>
        <w:rPr>
          <w:rFonts w:hint="eastAsia" w:ascii="宋体" w:hAnsi="宋体" w:eastAsia="宋体" w:cs="宋体"/>
          <w:sz w:val="19"/>
        </w:rPr>
        <w:t>验收</w:t>
      </w:r>
    </w:p>
    <w:p>
      <w:pPr>
        <w:pStyle w:val="18"/>
        <w:numPr>
          <w:ilvl w:val="0"/>
          <w:numId w:val="4"/>
        </w:numPr>
        <w:tabs>
          <w:tab w:val="left" w:pos="1172"/>
        </w:tabs>
        <w:spacing w:before="140" w:after="0" w:line="240" w:lineRule="auto"/>
        <w:ind w:left="1171" w:right="0" w:hanging="506"/>
        <w:jc w:val="left"/>
        <w:rPr>
          <w:rFonts w:hint="eastAsia" w:ascii="宋体" w:hAnsi="宋体" w:eastAsia="宋体" w:cs="宋体"/>
          <w:sz w:val="19"/>
        </w:rPr>
      </w:pPr>
      <w:r>
        <w:rPr>
          <w:rFonts w:hint="eastAsia" w:ascii="宋体" w:hAnsi="宋体" w:eastAsia="宋体" w:cs="宋体"/>
          <w:sz w:val="19"/>
        </w:rPr>
        <w:t>乙方将标的物送达至甲方指定的地点后，由甲乙双方及第三方（如有）一同验收并签字确认。</w:t>
      </w:r>
    </w:p>
    <w:p>
      <w:pPr>
        <w:pStyle w:val="18"/>
        <w:numPr>
          <w:ilvl w:val="0"/>
          <w:numId w:val="4"/>
        </w:numPr>
        <w:tabs>
          <w:tab w:val="left" w:pos="1172"/>
          <w:tab w:val="left" w:pos="9764"/>
        </w:tabs>
        <w:spacing w:before="141" w:after="0" w:line="379" w:lineRule="auto"/>
        <w:ind w:left="126" w:right="109" w:firstLine="540"/>
        <w:jc w:val="left"/>
        <w:rPr>
          <w:rFonts w:hint="eastAsia" w:ascii="宋体" w:hAnsi="宋体" w:eastAsia="宋体" w:cs="宋体"/>
          <w:sz w:val="19"/>
        </w:rPr>
      </w:pPr>
      <w:r>
        <w:rPr>
          <w:rFonts w:hint="eastAsia" w:ascii="宋体" w:hAnsi="宋体" w:eastAsia="宋体" w:cs="宋体"/>
          <w:sz w:val="19"/>
        </w:rPr>
        <w:t>对标的物的质量问题，甲方应在发现后向乙方提出书面异议，乙方在接到书面异议后，应当在</w:t>
      </w:r>
      <w:r>
        <w:rPr>
          <w:rFonts w:hint="eastAsia" w:ascii="宋体" w:hAnsi="宋体" w:eastAsia="宋体" w:cs="宋体"/>
          <w:sz w:val="19"/>
        </w:rPr>
        <w:tab/>
      </w:r>
      <w:r>
        <w:rPr>
          <w:rFonts w:hint="eastAsia" w:ascii="宋体" w:hAnsi="宋体" w:eastAsia="宋体" w:cs="宋体"/>
          <w:sz w:val="19"/>
        </w:rPr>
        <w:t>日内负责处理。甲方逾期提出的，对所交标的物视为符合合同的规定。如果乙方在响应文件及磋商过程中做出的书面说明及承诺中，</w:t>
      </w:r>
      <w:r>
        <w:rPr>
          <w:rFonts w:hint="eastAsia" w:ascii="宋体" w:hAnsi="宋体" w:eastAsia="宋体" w:cs="宋体"/>
          <w:spacing w:val="-18"/>
          <w:sz w:val="19"/>
        </w:rPr>
        <w:t>有</w:t>
      </w:r>
      <w:r>
        <w:rPr>
          <w:rFonts w:hint="eastAsia" w:ascii="宋体" w:hAnsi="宋体" w:eastAsia="宋体" w:cs="宋体"/>
          <w:sz w:val="19"/>
        </w:rPr>
        <w:t>明确质量保证期的，适用质量保证期。</w:t>
      </w:r>
    </w:p>
    <w:p>
      <w:pPr>
        <w:pStyle w:val="18"/>
        <w:numPr>
          <w:ilvl w:val="0"/>
          <w:numId w:val="4"/>
        </w:numPr>
        <w:tabs>
          <w:tab w:val="left" w:pos="1172"/>
        </w:tabs>
        <w:spacing w:before="0" w:after="0" w:line="242" w:lineRule="exact"/>
        <w:ind w:left="1171" w:right="0" w:hanging="506"/>
        <w:jc w:val="left"/>
        <w:rPr>
          <w:rFonts w:hint="eastAsia" w:ascii="宋体" w:hAnsi="宋体" w:eastAsia="宋体" w:cs="宋体"/>
          <w:sz w:val="19"/>
        </w:rPr>
      </w:pPr>
      <w:r>
        <w:rPr>
          <w:rFonts w:hint="eastAsia" w:ascii="宋体" w:hAnsi="宋体" w:eastAsia="宋体" w:cs="宋体"/>
          <w:sz w:val="19"/>
        </w:rPr>
        <w:t>经双方共同验收，标的物达不到质量或规格要求的，甲方可以拒收，并可解除合同且不承担任何法律责任，</w:t>
      </w:r>
    </w:p>
    <w:p>
      <w:pPr>
        <w:pStyle w:val="18"/>
        <w:numPr>
          <w:ilvl w:val="0"/>
          <w:numId w:val="32"/>
        </w:numPr>
        <w:tabs>
          <w:tab w:val="left" w:pos="969"/>
        </w:tabs>
        <w:spacing w:before="141" w:after="0" w:line="240" w:lineRule="auto"/>
        <w:ind w:left="968" w:right="0" w:hanging="303"/>
        <w:jc w:val="left"/>
        <w:rPr>
          <w:rFonts w:hint="eastAsia" w:ascii="宋体" w:hAnsi="宋体" w:eastAsia="宋体" w:cs="宋体"/>
          <w:sz w:val="19"/>
        </w:rPr>
      </w:pPr>
      <w:r>
        <w:rPr>
          <w:rFonts w:hint="eastAsia" w:ascii="宋体" w:hAnsi="宋体" w:eastAsia="宋体" w:cs="宋体"/>
          <w:sz w:val="19"/>
        </w:rPr>
        <w:t>售后服务</w:t>
      </w:r>
    </w:p>
    <w:p>
      <w:pPr>
        <w:pStyle w:val="18"/>
        <w:numPr>
          <w:ilvl w:val="0"/>
          <w:numId w:val="5"/>
        </w:numPr>
        <w:tabs>
          <w:tab w:val="left" w:pos="1172"/>
        </w:tabs>
        <w:spacing w:before="140" w:after="0" w:line="240" w:lineRule="auto"/>
        <w:ind w:left="1171" w:right="0" w:hanging="506"/>
        <w:jc w:val="left"/>
        <w:rPr>
          <w:rFonts w:hint="eastAsia" w:ascii="宋体" w:hAnsi="宋体" w:eastAsia="宋体" w:cs="宋体"/>
          <w:sz w:val="19"/>
        </w:rPr>
      </w:pPr>
      <w:r>
        <w:rPr>
          <w:rFonts w:hint="eastAsia" w:ascii="宋体" w:hAnsi="宋体" w:eastAsia="宋体" w:cs="宋体"/>
          <w:sz w:val="19"/>
        </w:rPr>
        <w:t>乙方应按磋商文件、响应文件及乙方在磋商过程中做出的书面说明或承诺提供及时、快速、优质的售后服务。</w:t>
      </w:r>
    </w:p>
    <w:p>
      <w:pPr>
        <w:pStyle w:val="18"/>
        <w:numPr>
          <w:ilvl w:val="0"/>
          <w:numId w:val="5"/>
        </w:numPr>
        <w:tabs>
          <w:tab w:val="left" w:pos="1232"/>
          <w:tab w:val="left" w:pos="3498"/>
        </w:tabs>
        <w:spacing w:before="141" w:after="0" w:line="240" w:lineRule="auto"/>
        <w:ind w:left="1231" w:right="0" w:hanging="506"/>
        <w:jc w:val="left"/>
        <w:rPr>
          <w:rFonts w:hint="eastAsia" w:ascii="宋体" w:hAnsi="宋体" w:eastAsia="宋体" w:cs="宋体"/>
          <w:sz w:val="19"/>
        </w:rPr>
      </w:pPr>
      <w:r>
        <w:rPr>
          <w:rFonts w:hint="eastAsia" w:ascii="宋体" w:hAnsi="宋体" w:eastAsia="宋体" w:cs="宋体"/>
          <w:sz w:val="19"/>
        </w:rPr>
        <w:t>其他售后服务内容：</w:t>
      </w:r>
      <w:r>
        <w:rPr>
          <w:rFonts w:hint="eastAsia" w:ascii="宋体" w:hAnsi="宋体" w:eastAsia="宋体" w:cs="宋体"/>
          <w:sz w:val="19"/>
        </w:rPr>
        <w:tab/>
      </w:r>
      <w:r>
        <w:rPr>
          <w:rFonts w:hint="eastAsia" w:ascii="宋体" w:hAnsi="宋体" w:eastAsia="宋体" w:cs="宋体"/>
          <w:sz w:val="19"/>
        </w:rPr>
        <w:t>（响应文件售后承诺等）</w:t>
      </w:r>
    </w:p>
    <w:p>
      <w:pPr>
        <w:pStyle w:val="18"/>
        <w:numPr>
          <w:ilvl w:val="0"/>
          <w:numId w:val="32"/>
        </w:numPr>
        <w:tabs>
          <w:tab w:val="left" w:pos="909"/>
        </w:tabs>
        <w:spacing w:before="141" w:after="0" w:line="240" w:lineRule="auto"/>
        <w:ind w:left="908" w:right="0" w:hanging="303"/>
        <w:jc w:val="left"/>
        <w:rPr>
          <w:rFonts w:hint="eastAsia" w:ascii="宋体" w:hAnsi="宋体" w:eastAsia="宋体" w:cs="宋体"/>
          <w:sz w:val="19"/>
        </w:rPr>
      </w:pPr>
      <w:r>
        <w:rPr>
          <w:rFonts w:hint="eastAsia" w:ascii="宋体" w:hAnsi="宋体" w:eastAsia="宋体" w:cs="宋体"/>
          <w:sz w:val="19"/>
        </w:rPr>
        <w:t>违约条款</w:t>
      </w:r>
    </w:p>
    <w:p>
      <w:pPr>
        <w:pStyle w:val="18"/>
        <w:numPr>
          <w:ilvl w:val="0"/>
          <w:numId w:val="6"/>
        </w:numPr>
        <w:tabs>
          <w:tab w:val="left" w:pos="1172"/>
        </w:tabs>
        <w:spacing w:before="140" w:after="0" w:line="240" w:lineRule="auto"/>
        <w:ind w:left="1171" w:right="0" w:hanging="506"/>
        <w:jc w:val="left"/>
        <w:rPr>
          <w:rFonts w:hint="eastAsia" w:ascii="宋体" w:hAnsi="宋体" w:eastAsia="宋体" w:cs="宋体"/>
          <w:sz w:val="19"/>
        </w:rPr>
      </w:pPr>
      <w:r>
        <w:rPr>
          <w:rFonts w:hint="eastAsia" w:ascii="宋体" w:hAnsi="宋体" w:eastAsia="宋体" w:cs="宋体"/>
          <w:sz w:val="19"/>
        </w:rPr>
        <w:t>乙方逾期交付标的物、甲方逾期付款，按日承担违约部分合同金额的违约金。</w:t>
      </w:r>
    </w:p>
    <w:p>
      <w:pPr>
        <w:spacing w:after="0" w:line="240" w:lineRule="auto"/>
        <w:jc w:val="left"/>
        <w:rPr>
          <w:rFonts w:hint="eastAsia" w:ascii="宋体" w:hAnsi="宋体" w:eastAsia="宋体" w:cs="宋体"/>
          <w:sz w:val="19"/>
        </w:rPr>
        <w:sectPr>
          <w:pgSz w:w="11900" w:h="16840"/>
          <w:pgMar w:top="500" w:right="560" w:bottom="280" w:left="540" w:header="0" w:footer="13" w:gutter="0"/>
          <w:cols w:space="720" w:num="1"/>
        </w:sectPr>
      </w:pPr>
    </w:p>
    <w:p>
      <w:pPr>
        <w:pStyle w:val="18"/>
        <w:numPr>
          <w:ilvl w:val="0"/>
          <w:numId w:val="6"/>
        </w:numPr>
        <w:tabs>
          <w:tab w:val="left" w:pos="1232"/>
        </w:tabs>
        <w:spacing w:before="60" w:after="0" w:line="240" w:lineRule="auto"/>
        <w:ind w:left="1231" w:right="0" w:hanging="506"/>
        <w:jc w:val="left"/>
        <w:rPr>
          <w:rFonts w:hint="eastAsia" w:ascii="宋体" w:hAnsi="宋体" w:eastAsia="宋体" w:cs="宋体"/>
          <w:sz w:val="19"/>
        </w:rPr>
      </w:pPr>
      <w:r>
        <w:rPr>
          <w:rFonts w:hint="eastAsia" w:ascii="宋体" w:hAnsi="宋体" w:eastAsia="宋体" w:cs="宋体"/>
          <w:sz w:val="19"/>
        </w:rPr>
        <w:t>其他违约责任以相关法律法规规定为准，无相关规定的，双方协商解决。</w:t>
      </w:r>
    </w:p>
    <w:p>
      <w:pPr>
        <w:pStyle w:val="18"/>
        <w:numPr>
          <w:ilvl w:val="0"/>
          <w:numId w:val="32"/>
        </w:numPr>
        <w:tabs>
          <w:tab w:val="left" w:pos="969"/>
        </w:tabs>
        <w:spacing w:before="140" w:after="0" w:line="240" w:lineRule="auto"/>
        <w:ind w:left="968" w:right="0" w:hanging="303"/>
        <w:jc w:val="left"/>
        <w:rPr>
          <w:rFonts w:hint="eastAsia" w:ascii="宋体" w:hAnsi="宋体" w:eastAsia="宋体" w:cs="宋体"/>
          <w:sz w:val="19"/>
        </w:rPr>
      </w:pPr>
      <w:r>
        <w:rPr>
          <w:rFonts w:hint="eastAsia" w:ascii="宋体" w:hAnsi="宋体" w:eastAsia="宋体" w:cs="宋体"/>
          <w:sz w:val="19"/>
        </w:rPr>
        <w:t>不可抗力条款</w:t>
      </w:r>
    </w:p>
    <w:p>
      <w:pPr>
        <w:pStyle w:val="9"/>
        <w:tabs>
          <w:tab w:val="left" w:pos="9152"/>
        </w:tabs>
        <w:spacing w:before="141" w:line="379" w:lineRule="auto"/>
        <w:ind w:left="126" w:right="109" w:firstLine="480"/>
        <w:rPr>
          <w:rFonts w:hint="eastAsia" w:ascii="宋体" w:hAnsi="宋体" w:eastAsia="宋体" w:cs="宋体"/>
        </w:rPr>
      </w:pPr>
      <w:r>
        <w:rPr>
          <w:rFonts w:hint="eastAsia" w:ascii="宋体" w:hAnsi="宋体" w:eastAsia="宋体" w:cs="宋体"/>
        </w:rPr>
        <w:t>因不可抗力致使一方不能及时或完全履行合同的，应及时通知另一方，双方互不承担责任，并在</w:t>
      </w:r>
      <w:r>
        <w:rPr>
          <w:rFonts w:hint="eastAsia" w:ascii="宋体" w:hAnsi="宋体" w:eastAsia="宋体" w:cs="宋体"/>
        </w:rPr>
        <w:tab/>
      </w:r>
      <w:r>
        <w:rPr>
          <w:rFonts w:hint="eastAsia" w:ascii="宋体" w:hAnsi="宋体" w:eastAsia="宋体" w:cs="宋体"/>
        </w:rPr>
        <w:t>天内提供有关不</w:t>
      </w:r>
      <w:r>
        <w:rPr>
          <w:rFonts w:hint="eastAsia" w:ascii="宋体" w:hAnsi="宋体" w:eastAsia="宋体" w:cs="宋体"/>
          <w:spacing w:val="-18"/>
        </w:rPr>
        <w:t>可</w:t>
      </w:r>
      <w:r>
        <w:rPr>
          <w:rFonts w:hint="eastAsia" w:ascii="宋体" w:hAnsi="宋体" w:eastAsia="宋体" w:cs="宋体"/>
        </w:rPr>
        <w:t>抗力的相关证明。合同未履行部分是否继续履行、如何履行等问题，双方协商解决。</w:t>
      </w:r>
    </w:p>
    <w:p>
      <w:pPr>
        <w:pStyle w:val="18"/>
        <w:numPr>
          <w:ilvl w:val="0"/>
          <w:numId w:val="32"/>
        </w:numPr>
        <w:tabs>
          <w:tab w:val="left" w:pos="969"/>
        </w:tabs>
        <w:spacing w:before="0" w:after="0" w:line="242" w:lineRule="exact"/>
        <w:ind w:left="968" w:right="0" w:hanging="303"/>
        <w:jc w:val="left"/>
        <w:rPr>
          <w:rFonts w:hint="eastAsia" w:ascii="宋体" w:hAnsi="宋体" w:eastAsia="宋体" w:cs="宋体"/>
          <w:sz w:val="19"/>
        </w:rPr>
      </w:pPr>
      <w:r>
        <w:rPr>
          <w:rFonts w:hint="eastAsia" w:ascii="宋体" w:hAnsi="宋体" w:eastAsia="宋体" w:cs="宋体"/>
          <w:sz w:val="19"/>
        </w:rPr>
        <w:t>争议的解决方式</w:t>
      </w:r>
    </w:p>
    <w:p>
      <w:pPr>
        <w:pStyle w:val="9"/>
        <w:spacing w:before="141"/>
        <w:ind w:left="606"/>
        <w:rPr>
          <w:rFonts w:hint="eastAsia" w:ascii="宋体" w:hAnsi="宋体" w:eastAsia="宋体" w:cs="宋体"/>
        </w:rPr>
      </w:pPr>
      <w:r>
        <w:rPr>
          <w:rFonts w:hint="eastAsia" w:ascii="宋体" w:hAnsi="宋体" w:eastAsia="宋体" w:cs="宋体"/>
        </w:rPr>
        <w:t>合同发生纠纷时，双方应协商解决，协商不成可以采用下列方式解决：</w:t>
      </w:r>
    </w:p>
    <w:p>
      <w:pPr>
        <w:pStyle w:val="9"/>
        <w:tabs>
          <w:tab w:val="left" w:pos="2874"/>
        </w:tabs>
        <w:spacing w:before="140"/>
        <w:ind w:left="666"/>
        <w:rPr>
          <w:rFonts w:hint="eastAsia" w:ascii="宋体" w:hAnsi="宋体" w:eastAsia="宋体" w:cs="宋体"/>
        </w:rPr>
      </w:pPr>
      <w:r>
        <w:rPr>
          <w:rFonts w:hint="eastAsia" w:ascii="宋体" w:hAnsi="宋体" w:eastAsia="宋体" w:cs="宋体"/>
        </w:rPr>
        <w:t>（1）提交</w:t>
      </w:r>
      <w:r>
        <w:rPr>
          <w:rFonts w:hint="eastAsia" w:ascii="宋体" w:hAnsi="宋体" w:eastAsia="宋体" w:cs="宋体"/>
        </w:rPr>
        <w:tab/>
      </w:r>
      <w:r>
        <w:rPr>
          <w:rFonts w:hint="eastAsia" w:ascii="宋体" w:hAnsi="宋体" w:eastAsia="宋体" w:cs="宋体"/>
        </w:rPr>
        <w:t>仲裁委员会仲裁。</w:t>
      </w:r>
    </w:p>
    <w:p>
      <w:pPr>
        <w:pStyle w:val="9"/>
        <w:tabs>
          <w:tab w:val="left" w:pos="2766"/>
        </w:tabs>
        <w:spacing w:before="141"/>
        <w:ind w:left="1050"/>
        <w:rPr>
          <w:rFonts w:hint="eastAsia" w:ascii="宋体" w:hAnsi="宋体" w:eastAsia="宋体" w:cs="宋体"/>
        </w:rPr>
      </w:pPr>
      <w:r>
        <w:rPr>
          <w:rFonts w:hint="eastAsia" w:ascii="宋体" w:hAnsi="宋体" w:eastAsia="宋体" w:cs="宋体"/>
        </w:rPr>
        <w:t>（2）向</w:t>
      </w:r>
      <w:r>
        <w:rPr>
          <w:rFonts w:hint="eastAsia" w:ascii="宋体" w:hAnsi="宋体" w:eastAsia="宋体" w:cs="宋体"/>
        </w:rPr>
        <w:tab/>
      </w:r>
      <w:r>
        <w:rPr>
          <w:rFonts w:hint="eastAsia" w:ascii="宋体" w:hAnsi="宋体" w:eastAsia="宋体" w:cs="宋体"/>
        </w:rPr>
        <w:t>人民法院起诉。</w:t>
      </w:r>
    </w:p>
    <w:p>
      <w:pPr>
        <w:pStyle w:val="18"/>
        <w:numPr>
          <w:ilvl w:val="0"/>
          <w:numId w:val="32"/>
        </w:numPr>
        <w:tabs>
          <w:tab w:val="left" w:pos="969"/>
        </w:tabs>
        <w:spacing w:before="141" w:after="0" w:line="240" w:lineRule="auto"/>
        <w:ind w:left="968" w:right="0" w:hanging="303"/>
        <w:jc w:val="left"/>
        <w:rPr>
          <w:rFonts w:hint="eastAsia" w:ascii="宋体" w:hAnsi="宋体" w:eastAsia="宋体" w:cs="宋体"/>
          <w:sz w:val="19"/>
        </w:rPr>
      </w:pPr>
      <w:r>
        <w:rPr>
          <w:rFonts w:hint="eastAsia" w:ascii="宋体" w:hAnsi="宋体" w:eastAsia="宋体" w:cs="宋体"/>
          <w:sz w:val="19"/>
        </w:rPr>
        <w:t>合同保存</w:t>
      </w:r>
    </w:p>
    <w:p>
      <w:pPr>
        <w:pStyle w:val="9"/>
        <w:spacing w:before="140" w:line="379" w:lineRule="auto"/>
        <w:ind w:left="126" w:right="205" w:firstLine="480"/>
        <w:rPr>
          <w:rFonts w:hint="eastAsia" w:ascii="宋体" w:hAnsi="宋体" w:eastAsia="宋体" w:cs="宋体"/>
        </w:rPr>
      </w:pPr>
      <w:r>
        <w:rPr>
          <w:rFonts w:hint="eastAsia" w:ascii="宋体" w:hAnsi="宋体" w:eastAsia="宋体" w:cs="宋体"/>
        </w:rPr>
        <w:t>合同文本一式五份，采购单位、供应商、政府采购监管部门、采购代理机构、国库支付执行机构各一份，自双方签订之日起生效。</w:t>
      </w:r>
    </w:p>
    <w:p>
      <w:pPr>
        <w:pStyle w:val="18"/>
        <w:numPr>
          <w:ilvl w:val="0"/>
          <w:numId w:val="32"/>
        </w:numPr>
        <w:tabs>
          <w:tab w:val="left" w:pos="909"/>
        </w:tabs>
        <w:spacing w:before="0" w:after="0" w:line="242" w:lineRule="exact"/>
        <w:ind w:left="908" w:right="0" w:hanging="303"/>
        <w:jc w:val="left"/>
        <w:rPr>
          <w:rFonts w:hint="eastAsia" w:ascii="宋体" w:hAnsi="宋体" w:eastAsia="宋体" w:cs="宋体"/>
          <w:sz w:val="19"/>
        </w:rPr>
      </w:pPr>
      <w:r>
        <w:rPr>
          <w:rFonts w:hint="eastAsia" w:ascii="宋体" w:hAnsi="宋体" w:eastAsia="宋体" w:cs="宋体"/>
          <w:sz w:val="19"/>
        </w:rPr>
        <w:t>合同未尽事宜，双方另行签订补充协议，补充协议是合同的组成部分。</w:t>
      </w:r>
    </w:p>
    <w:p>
      <w:pPr>
        <w:pStyle w:val="9"/>
        <w:spacing w:before="12"/>
        <w:rPr>
          <w:rFonts w:hint="eastAsia" w:ascii="宋体" w:hAnsi="宋体" w:eastAsia="宋体" w:cs="宋体"/>
          <w:sz w:val="12"/>
        </w:rPr>
      </w:pPr>
    </w:p>
    <w:tbl>
      <w:tblPr>
        <w:tblStyle w:val="16"/>
        <w:tblW w:w="0" w:type="auto"/>
        <w:tblInd w:w="56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445"/>
        <w:gridCol w:w="1579"/>
        <w:gridCol w:w="34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8" w:hRule="atLeast"/>
        </w:trPr>
        <w:tc>
          <w:tcPr>
            <w:tcW w:w="2445" w:type="dxa"/>
          </w:tcPr>
          <w:p>
            <w:pPr>
              <w:pStyle w:val="19"/>
              <w:tabs>
                <w:tab w:val="left" w:pos="1406"/>
              </w:tabs>
              <w:spacing w:line="218" w:lineRule="exact"/>
              <w:ind w:left="50"/>
              <w:rPr>
                <w:rFonts w:hint="eastAsia" w:ascii="宋体" w:hAnsi="宋体" w:eastAsia="宋体" w:cs="宋体"/>
                <w:sz w:val="19"/>
              </w:rPr>
            </w:pPr>
            <w:r>
              <w:rPr>
                <w:rFonts w:hint="eastAsia" w:ascii="宋体" w:hAnsi="宋体" w:eastAsia="宋体" w:cs="宋体"/>
                <w:sz w:val="19"/>
              </w:rPr>
              <w:t>甲方：</w:t>
            </w:r>
            <w:r>
              <w:rPr>
                <w:rFonts w:hint="eastAsia" w:ascii="宋体" w:hAnsi="宋体" w:eastAsia="宋体" w:cs="宋体"/>
                <w:sz w:val="19"/>
              </w:rPr>
              <w:tab/>
            </w:r>
            <w:r>
              <w:rPr>
                <w:rFonts w:hint="eastAsia" w:ascii="宋体" w:hAnsi="宋体" w:eastAsia="宋体" w:cs="宋体"/>
                <w:sz w:val="19"/>
              </w:rPr>
              <w:t>（章）</w:t>
            </w:r>
          </w:p>
        </w:tc>
        <w:tc>
          <w:tcPr>
            <w:tcW w:w="1579" w:type="dxa"/>
          </w:tcPr>
          <w:p>
            <w:pPr>
              <w:pStyle w:val="19"/>
              <w:rPr>
                <w:rFonts w:hint="eastAsia" w:ascii="宋体" w:hAnsi="宋体" w:eastAsia="宋体" w:cs="宋体"/>
                <w:sz w:val="18"/>
              </w:rPr>
            </w:pPr>
          </w:p>
        </w:tc>
        <w:tc>
          <w:tcPr>
            <w:tcW w:w="3448" w:type="dxa"/>
          </w:tcPr>
          <w:p>
            <w:pPr>
              <w:pStyle w:val="19"/>
              <w:spacing w:line="218" w:lineRule="exact"/>
              <w:ind w:left="1079"/>
              <w:rPr>
                <w:rFonts w:hint="eastAsia" w:ascii="宋体" w:hAnsi="宋体" w:eastAsia="宋体" w:cs="宋体"/>
                <w:sz w:val="19"/>
              </w:rPr>
            </w:pPr>
            <w:r>
              <w:rPr>
                <w:rFonts w:hint="eastAsia" w:ascii="宋体" w:hAnsi="宋体" w:eastAsia="宋体" w:cs="宋体"/>
                <w:sz w:val="19"/>
              </w:rPr>
              <w:t>乙 方： （章）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rPr>
        <w:tc>
          <w:tcPr>
            <w:tcW w:w="2445" w:type="dxa"/>
          </w:tcPr>
          <w:p>
            <w:pPr>
              <w:pStyle w:val="19"/>
              <w:spacing w:before="71"/>
              <w:ind w:left="50"/>
              <w:rPr>
                <w:rFonts w:hint="eastAsia" w:ascii="宋体" w:hAnsi="宋体" w:eastAsia="宋体" w:cs="宋体"/>
                <w:sz w:val="19"/>
              </w:rPr>
            </w:pPr>
            <w:r>
              <w:rPr>
                <w:rFonts w:hint="eastAsia" w:ascii="宋体" w:hAnsi="宋体" w:eastAsia="宋体" w:cs="宋体"/>
                <w:sz w:val="19"/>
              </w:rPr>
              <w:t>采购方法人代表：</w:t>
            </w:r>
          </w:p>
        </w:tc>
        <w:tc>
          <w:tcPr>
            <w:tcW w:w="1579" w:type="dxa"/>
          </w:tcPr>
          <w:p>
            <w:pPr>
              <w:pStyle w:val="19"/>
              <w:spacing w:before="71"/>
              <w:ind w:left="461"/>
              <w:rPr>
                <w:rFonts w:hint="eastAsia" w:ascii="宋体" w:hAnsi="宋体" w:eastAsia="宋体" w:cs="宋体"/>
                <w:sz w:val="19"/>
              </w:rPr>
            </w:pPr>
            <w:r>
              <w:rPr>
                <w:rFonts w:hint="eastAsia" w:ascii="宋体" w:hAnsi="宋体" w:eastAsia="宋体" w:cs="宋体"/>
                <w:sz w:val="19"/>
              </w:rPr>
              <w:t>（签字）</w:t>
            </w:r>
          </w:p>
        </w:tc>
        <w:tc>
          <w:tcPr>
            <w:tcW w:w="3448" w:type="dxa"/>
          </w:tcPr>
          <w:p>
            <w:pPr>
              <w:pStyle w:val="19"/>
              <w:spacing w:before="71"/>
              <w:ind w:left="1031"/>
              <w:rPr>
                <w:rFonts w:hint="eastAsia" w:ascii="宋体" w:hAnsi="宋体" w:eastAsia="宋体" w:cs="宋体"/>
                <w:sz w:val="19"/>
              </w:rPr>
            </w:pPr>
            <w:r>
              <w:rPr>
                <w:rFonts w:hint="eastAsia" w:ascii="宋体" w:hAnsi="宋体" w:eastAsia="宋体" w:cs="宋体"/>
                <w:sz w:val="19"/>
              </w:rPr>
              <w:t>供应商法人代表： （签字）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rPr>
        <w:tc>
          <w:tcPr>
            <w:tcW w:w="2445" w:type="dxa"/>
          </w:tcPr>
          <w:p>
            <w:pPr>
              <w:pStyle w:val="19"/>
              <w:spacing w:before="71"/>
              <w:ind w:left="50"/>
              <w:rPr>
                <w:rFonts w:hint="eastAsia" w:ascii="宋体" w:hAnsi="宋体" w:eastAsia="宋体" w:cs="宋体"/>
                <w:sz w:val="19"/>
              </w:rPr>
            </w:pPr>
            <w:r>
              <w:rPr>
                <w:rFonts w:hint="eastAsia" w:ascii="宋体" w:hAnsi="宋体" w:eastAsia="宋体" w:cs="宋体"/>
                <w:sz w:val="19"/>
              </w:rPr>
              <w:t>开户银行：</w:t>
            </w:r>
          </w:p>
        </w:tc>
        <w:tc>
          <w:tcPr>
            <w:tcW w:w="1579" w:type="dxa"/>
          </w:tcPr>
          <w:p>
            <w:pPr>
              <w:pStyle w:val="19"/>
              <w:rPr>
                <w:rFonts w:hint="eastAsia" w:ascii="宋体" w:hAnsi="宋体" w:eastAsia="宋体" w:cs="宋体"/>
                <w:sz w:val="18"/>
              </w:rPr>
            </w:pPr>
          </w:p>
        </w:tc>
        <w:tc>
          <w:tcPr>
            <w:tcW w:w="3448" w:type="dxa"/>
          </w:tcPr>
          <w:p>
            <w:pPr>
              <w:pStyle w:val="19"/>
              <w:spacing w:before="71"/>
              <w:ind w:left="1174" w:right="1284"/>
              <w:jc w:val="center"/>
              <w:rPr>
                <w:rFonts w:hint="eastAsia" w:ascii="宋体" w:hAnsi="宋体" w:eastAsia="宋体" w:cs="宋体"/>
                <w:sz w:val="19"/>
              </w:rPr>
            </w:pPr>
            <w:r>
              <w:rPr>
                <w:rFonts w:hint="eastAsia" w:ascii="宋体" w:hAnsi="宋体" w:eastAsia="宋体" w:cs="宋体"/>
                <w:sz w:val="19"/>
              </w:rPr>
              <w:t>开户银行：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rPr>
        <w:tc>
          <w:tcPr>
            <w:tcW w:w="2445" w:type="dxa"/>
          </w:tcPr>
          <w:p>
            <w:pPr>
              <w:pStyle w:val="19"/>
              <w:spacing w:before="71"/>
              <w:ind w:left="50"/>
              <w:rPr>
                <w:rFonts w:hint="eastAsia" w:ascii="宋体" w:hAnsi="宋体" w:eastAsia="宋体" w:cs="宋体"/>
                <w:sz w:val="19"/>
              </w:rPr>
            </w:pPr>
            <w:r>
              <w:rPr>
                <w:rFonts w:hint="eastAsia" w:ascii="宋体" w:hAnsi="宋体" w:eastAsia="宋体" w:cs="宋体"/>
                <w:sz w:val="19"/>
              </w:rPr>
              <w:t>帐 号：</w:t>
            </w:r>
          </w:p>
        </w:tc>
        <w:tc>
          <w:tcPr>
            <w:tcW w:w="1579" w:type="dxa"/>
          </w:tcPr>
          <w:p>
            <w:pPr>
              <w:pStyle w:val="19"/>
              <w:rPr>
                <w:rFonts w:hint="eastAsia" w:ascii="宋体" w:hAnsi="宋体" w:eastAsia="宋体" w:cs="宋体"/>
                <w:sz w:val="18"/>
              </w:rPr>
            </w:pPr>
          </w:p>
        </w:tc>
        <w:tc>
          <w:tcPr>
            <w:tcW w:w="3448" w:type="dxa"/>
          </w:tcPr>
          <w:p>
            <w:pPr>
              <w:pStyle w:val="19"/>
              <w:spacing w:before="71"/>
              <w:ind w:left="1042" w:right="1284"/>
              <w:jc w:val="center"/>
              <w:rPr>
                <w:rFonts w:hint="eastAsia" w:ascii="宋体" w:hAnsi="宋体" w:eastAsia="宋体" w:cs="宋体"/>
                <w:sz w:val="19"/>
              </w:rPr>
            </w:pPr>
            <w:r>
              <w:rPr>
                <w:rFonts w:hint="eastAsia" w:ascii="宋体" w:hAnsi="宋体" w:eastAsia="宋体" w:cs="宋体"/>
                <w:sz w:val="19"/>
              </w:rPr>
              <w:t>帐 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rPr>
        <w:tc>
          <w:tcPr>
            <w:tcW w:w="2445" w:type="dxa"/>
          </w:tcPr>
          <w:p>
            <w:pPr>
              <w:pStyle w:val="19"/>
              <w:spacing w:before="71"/>
              <w:ind w:left="50"/>
              <w:rPr>
                <w:rFonts w:hint="eastAsia" w:ascii="宋体" w:hAnsi="宋体" w:eastAsia="宋体" w:cs="宋体"/>
                <w:sz w:val="19"/>
              </w:rPr>
            </w:pPr>
            <w:r>
              <w:rPr>
                <w:rFonts w:hint="eastAsia" w:ascii="宋体" w:hAnsi="宋体" w:eastAsia="宋体" w:cs="宋体"/>
                <w:sz w:val="19"/>
              </w:rPr>
              <w:t>联系电话：</w:t>
            </w:r>
          </w:p>
        </w:tc>
        <w:tc>
          <w:tcPr>
            <w:tcW w:w="1579" w:type="dxa"/>
          </w:tcPr>
          <w:p>
            <w:pPr>
              <w:pStyle w:val="19"/>
              <w:rPr>
                <w:rFonts w:hint="eastAsia" w:ascii="宋体" w:hAnsi="宋体" w:eastAsia="宋体" w:cs="宋体"/>
                <w:sz w:val="18"/>
              </w:rPr>
            </w:pPr>
          </w:p>
        </w:tc>
        <w:tc>
          <w:tcPr>
            <w:tcW w:w="3448" w:type="dxa"/>
          </w:tcPr>
          <w:p>
            <w:pPr>
              <w:pStyle w:val="19"/>
              <w:spacing w:before="71"/>
              <w:ind w:left="1127"/>
              <w:rPr>
                <w:rFonts w:hint="eastAsia" w:ascii="宋体" w:hAnsi="宋体" w:eastAsia="宋体" w:cs="宋体"/>
                <w:sz w:val="19"/>
              </w:rPr>
            </w:pPr>
            <w:r>
              <w:rPr>
                <w:rFonts w:hint="eastAsia" w:ascii="宋体" w:hAnsi="宋体" w:eastAsia="宋体" w:cs="宋体"/>
                <w:sz w:val="19"/>
              </w:rPr>
              <w:t>联系电话：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8" w:hRule="atLeast"/>
        </w:trPr>
        <w:tc>
          <w:tcPr>
            <w:tcW w:w="2445" w:type="dxa"/>
          </w:tcPr>
          <w:p>
            <w:pPr>
              <w:pStyle w:val="19"/>
              <w:rPr>
                <w:rFonts w:hint="eastAsia" w:ascii="宋体" w:hAnsi="宋体" w:eastAsia="宋体" w:cs="宋体"/>
                <w:sz w:val="18"/>
              </w:rPr>
            </w:pPr>
          </w:p>
        </w:tc>
        <w:tc>
          <w:tcPr>
            <w:tcW w:w="1579" w:type="dxa"/>
          </w:tcPr>
          <w:p>
            <w:pPr>
              <w:pStyle w:val="19"/>
              <w:rPr>
                <w:rFonts w:hint="eastAsia" w:ascii="宋体" w:hAnsi="宋体" w:eastAsia="宋体" w:cs="宋体"/>
                <w:sz w:val="18"/>
              </w:rPr>
            </w:pPr>
          </w:p>
        </w:tc>
        <w:tc>
          <w:tcPr>
            <w:tcW w:w="3448" w:type="dxa"/>
          </w:tcPr>
          <w:p>
            <w:pPr>
              <w:pStyle w:val="19"/>
              <w:tabs>
                <w:tab w:val="left" w:pos="2015"/>
                <w:tab w:val="left" w:pos="2507"/>
                <w:tab w:val="left" w:pos="2939"/>
              </w:tabs>
              <w:spacing w:before="71" w:line="197" w:lineRule="exact"/>
              <w:ind w:left="347"/>
              <w:rPr>
                <w:rFonts w:hint="eastAsia" w:ascii="宋体" w:hAnsi="宋体" w:eastAsia="宋体" w:cs="宋体"/>
                <w:sz w:val="19"/>
              </w:rPr>
            </w:pPr>
            <w:r>
              <w:rPr>
                <w:rFonts w:hint="eastAsia" w:ascii="宋体" w:hAnsi="宋体" w:eastAsia="宋体" w:cs="宋体"/>
                <w:sz w:val="19"/>
              </w:rPr>
              <w:t>签订时间</w:t>
            </w:r>
            <w:r>
              <w:rPr>
                <w:rFonts w:hint="eastAsia" w:ascii="宋体" w:hAnsi="宋体" w:eastAsia="宋体" w:cs="宋体"/>
                <w:sz w:val="19"/>
              </w:rPr>
              <w:tab/>
            </w:r>
            <w:r>
              <w:rPr>
                <w:rFonts w:hint="eastAsia" w:ascii="宋体" w:hAnsi="宋体" w:eastAsia="宋体" w:cs="宋体"/>
                <w:sz w:val="19"/>
              </w:rPr>
              <w:t>年</w:t>
            </w:r>
            <w:r>
              <w:rPr>
                <w:rFonts w:hint="eastAsia" w:ascii="宋体" w:hAnsi="宋体" w:eastAsia="宋体" w:cs="宋体"/>
                <w:sz w:val="19"/>
              </w:rPr>
              <w:tab/>
            </w:r>
            <w:r>
              <w:rPr>
                <w:rFonts w:hint="eastAsia" w:ascii="宋体" w:hAnsi="宋体" w:eastAsia="宋体" w:cs="宋体"/>
                <w:sz w:val="19"/>
              </w:rPr>
              <w:t>月</w:t>
            </w:r>
            <w:r>
              <w:rPr>
                <w:rFonts w:hint="eastAsia" w:ascii="宋体" w:hAnsi="宋体" w:eastAsia="宋体" w:cs="宋体"/>
                <w:sz w:val="19"/>
              </w:rPr>
              <w:tab/>
            </w:r>
            <w:r>
              <w:rPr>
                <w:rFonts w:hint="eastAsia" w:ascii="宋体" w:hAnsi="宋体" w:eastAsia="宋体" w:cs="宋体"/>
                <w:sz w:val="19"/>
              </w:rPr>
              <w:t>日</w:t>
            </w:r>
          </w:p>
        </w:tc>
      </w:tr>
    </w:tbl>
    <w:p>
      <w:pPr>
        <w:pStyle w:val="9"/>
        <w:rPr>
          <w:rFonts w:hint="eastAsia" w:ascii="宋体" w:hAnsi="宋体" w:eastAsia="宋体" w:cs="宋体"/>
          <w:sz w:val="22"/>
        </w:rPr>
      </w:pPr>
    </w:p>
    <w:p>
      <w:pPr>
        <w:pStyle w:val="9"/>
        <w:rPr>
          <w:rFonts w:hint="eastAsia" w:ascii="宋体" w:hAnsi="宋体" w:eastAsia="宋体" w:cs="宋体"/>
          <w:sz w:val="21"/>
        </w:rPr>
      </w:pPr>
    </w:p>
    <w:p>
      <w:pPr>
        <w:pStyle w:val="9"/>
        <w:ind w:left="606"/>
        <w:rPr>
          <w:rFonts w:hint="eastAsia" w:ascii="宋体" w:hAnsi="宋体" w:eastAsia="宋体" w:cs="宋体"/>
        </w:rPr>
      </w:pPr>
      <w:r>
        <w:rPr>
          <w:rFonts w:hint="eastAsia" w:ascii="宋体" w:hAnsi="宋体" w:eastAsia="宋体" w:cs="宋体"/>
        </w:rPr>
        <w:t>附表：标的物清单（主要技术指标需与响应文件相一致）（工程类的附工程量清单等）</w:t>
      </w:r>
    </w:p>
    <w:p>
      <w:pPr>
        <w:pStyle w:val="9"/>
        <w:rPr>
          <w:rFonts w:hint="eastAsia" w:ascii="宋体" w:hAnsi="宋体" w:eastAsia="宋体" w:cs="宋体"/>
          <w:sz w:val="20"/>
        </w:rPr>
      </w:pPr>
    </w:p>
    <w:p>
      <w:pPr>
        <w:pStyle w:val="9"/>
        <w:spacing w:before="6"/>
        <w:rPr>
          <w:rFonts w:hint="eastAsia" w:ascii="宋体" w:hAnsi="宋体" w:eastAsia="宋体" w:cs="宋体"/>
          <w:sz w:val="25"/>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972"/>
        <w:gridCol w:w="3457"/>
        <w:gridCol w:w="972"/>
        <w:gridCol w:w="984"/>
        <w:gridCol w:w="984"/>
        <w:gridCol w:w="1584"/>
        <w:gridCol w:w="159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972" w:type="dxa"/>
            <w:shd w:val="clear" w:color="auto" w:fill="F4F4F4"/>
          </w:tcPr>
          <w:p>
            <w:pPr>
              <w:pStyle w:val="19"/>
              <w:spacing w:before="60"/>
              <w:ind w:left="568"/>
              <w:rPr>
                <w:rFonts w:hint="eastAsia" w:ascii="宋体" w:hAnsi="宋体" w:eastAsia="宋体" w:cs="宋体"/>
                <w:b/>
                <w:sz w:val="19"/>
              </w:rPr>
            </w:pPr>
            <w:r>
              <w:rPr>
                <w:rFonts w:hint="eastAsia" w:ascii="宋体" w:hAnsi="宋体" w:eastAsia="宋体" w:cs="宋体"/>
                <w:b/>
                <w:w w:val="100"/>
                <w:sz w:val="19"/>
              </w:rPr>
              <w:t>名</w:t>
            </w:r>
          </w:p>
          <w:p>
            <w:pPr>
              <w:pStyle w:val="19"/>
              <w:spacing w:before="141"/>
              <w:ind w:right="9"/>
              <w:jc w:val="center"/>
              <w:rPr>
                <w:rFonts w:hint="eastAsia" w:ascii="宋体" w:hAnsi="宋体" w:eastAsia="宋体" w:cs="宋体"/>
                <w:b/>
                <w:sz w:val="19"/>
              </w:rPr>
            </w:pPr>
            <w:r>
              <w:rPr>
                <w:rFonts w:hint="eastAsia" w:ascii="宋体" w:hAnsi="宋体" w:eastAsia="宋体" w:cs="宋体"/>
                <w:b/>
                <w:w w:val="100"/>
                <w:sz w:val="19"/>
              </w:rPr>
              <w:t>称</w:t>
            </w:r>
          </w:p>
        </w:tc>
        <w:tc>
          <w:tcPr>
            <w:tcW w:w="3457" w:type="dxa"/>
            <w:shd w:val="clear" w:color="auto" w:fill="F4F4F4"/>
          </w:tcPr>
          <w:p>
            <w:pPr>
              <w:pStyle w:val="19"/>
              <w:ind w:left="602" w:right="230"/>
              <w:jc w:val="center"/>
              <w:rPr>
                <w:rFonts w:hint="eastAsia" w:ascii="宋体" w:hAnsi="宋体" w:eastAsia="宋体" w:cs="宋体"/>
                <w:b/>
                <w:sz w:val="19"/>
              </w:rPr>
            </w:pPr>
            <w:r>
              <w:rPr>
                <w:rFonts w:hint="eastAsia" w:ascii="宋体" w:hAnsi="宋体" w:eastAsia="宋体" w:cs="宋体"/>
                <w:b/>
                <w:sz w:val="19"/>
              </w:rPr>
              <w:t>品牌、规格、标准/主要服务内</w:t>
            </w:r>
          </w:p>
          <w:p>
            <w:pPr>
              <w:pStyle w:val="19"/>
              <w:spacing w:before="94"/>
              <w:ind w:right="9"/>
              <w:jc w:val="center"/>
              <w:rPr>
                <w:rFonts w:hint="eastAsia" w:ascii="宋体" w:hAnsi="宋体" w:eastAsia="宋体" w:cs="宋体"/>
                <w:b/>
                <w:sz w:val="19"/>
              </w:rPr>
            </w:pPr>
            <w:r>
              <w:rPr>
                <w:rFonts w:hint="eastAsia" w:ascii="宋体" w:hAnsi="宋体" w:eastAsia="宋体" w:cs="宋体"/>
                <w:b/>
                <w:w w:val="100"/>
                <w:sz w:val="19"/>
              </w:rPr>
              <w:t>容</w:t>
            </w:r>
          </w:p>
        </w:tc>
        <w:tc>
          <w:tcPr>
            <w:tcW w:w="972" w:type="dxa"/>
            <w:shd w:val="clear" w:color="auto" w:fill="F4F4F4"/>
          </w:tcPr>
          <w:p>
            <w:pPr>
              <w:pStyle w:val="19"/>
              <w:spacing w:before="60"/>
              <w:ind w:left="568"/>
              <w:rPr>
                <w:rFonts w:hint="eastAsia" w:ascii="宋体" w:hAnsi="宋体" w:eastAsia="宋体" w:cs="宋体"/>
                <w:b/>
                <w:sz w:val="19"/>
              </w:rPr>
            </w:pPr>
            <w:r>
              <w:rPr>
                <w:rFonts w:hint="eastAsia" w:ascii="宋体" w:hAnsi="宋体" w:eastAsia="宋体" w:cs="宋体"/>
                <w:b/>
                <w:w w:val="100"/>
                <w:sz w:val="19"/>
              </w:rPr>
              <w:t>产</w:t>
            </w:r>
          </w:p>
          <w:p>
            <w:pPr>
              <w:pStyle w:val="19"/>
              <w:spacing w:before="141"/>
              <w:ind w:right="9"/>
              <w:jc w:val="center"/>
              <w:rPr>
                <w:rFonts w:hint="eastAsia" w:ascii="宋体" w:hAnsi="宋体" w:eastAsia="宋体" w:cs="宋体"/>
                <w:b/>
                <w:sz w:val="19"/>
              </w:rPr>
            </w:pPr>
            <w:r>
              <w:rPr>
                <w:rFonts w:hint="eastAsia" w:ascii="宋体" w:hAnsi="宋体" w:eastAsia="宋体" w:cs="宋体"/>
                <w:b/>
                <w:w w:val="100"/>
                <w:sz w:val="19"/>
              </w:rPr>
              <w:t>地</w:t>
            </w:r>
          </w:p>
        </w:tc>
        <w:tc>
          <w:tcPr>
            <w:tcW w:w="984" w:type="dxa"/>
            <w:shd w:val="clear" w:color="auto" w:fill="F4F4F4"/>
          </w:tcPr>
          <w:p>
            <w:pPr>
              <w:pStyle w:val="19"/>
              <w:spacing w:before="60"/>
              <w:ind w:left="575"/>
              <w:rPr>
                <w:rFonts w:hint="eastAsia" w:ascii="宋体" w:hAnsi="宋体" w:eastAsia="宋体" w:cs="宋体"/>
                <w:b/>
                <w:sz w:val="19"/>
              </w:rPr>
            </w:pPr>
            <w:r>
              <w:rPr>
                <w:rFonts w:hint="eastAsia" w:ascii="宋体" w:hAnsi="宋体" w:eastAsia="宋体" w:cs="宋体"/>
                <w:b/>
                <w:w w:val="100"/>
                <w:sz w:val="19"/>
              </w:rPr>
              <w:t>数</w:t>
            </w:r>
          </w:p>
          <w:p>
            <w:pPr>
              <w:pStyle w:val="19"/>
              <w:spacing w:before="141"/>
              <w:ind w:right="8"/>
              <w:jc w:val="center"/>
              <w:rPr>
                <w:rFonts w:hint="eastAsia" w:ascii="宋体" w:hAnsi="宋体" w:eastAsia="宋体" w:cs="宋体"/>
                <w:b/>
                <w:sz w:val="19"/>
              </w:rPr>
            </w:pPr>
            <w:r>
              <w:rPr>
                <w:rFonts w:hint="eastAsia" w:ascii="宋体" w:hAnsi="宋体" w:eastAsia="宋体" w:cs="宋体"/>
                <w:b/>
                <w:w w:val="100"/>
                <w:sz w:val="19"/>
              </w:rPr>
              <w:t>量</w:t>
            </w:r>
          </w:p>
        </w:tc>
        <w:tc>
          <w:tcPr>
            <w:tcW w:w="984" w:type="dxa"/>
            <w:shd w:val="clear" w:color="auto" w:fill="F4F4F4"/>
          </w:tcPr>
          <w:p>
            <w:pPr>
              <w:pStyle w:val="19"/>
              <w:spacing w:before="60"/>
              <w:ind w:left="575"/>
              <w:rPr>
                <w:rFonts w:hint="eastAsia" w:ascii="宋体" w:hAnsi="宋体" w:eastAsia="宋体" w:cs="宋体"/>
                <w:b/>
                <w:sz w:val="19"/>
              </w:rPr>
            </w:pPr>
            <w:r>
              <w:rPr>
                <w:rFonts w:hint="eastAsia" w:ascii="宋体" w:hAnsi="宋体" w:eastAsia="宋体" w:cs="宋体"/>
                <w:b/>
                <w:w w:val="100"/>
                <w:sz w:val="19"/>
              </w:rPr>
              <w:t>单</w:t>
            </w:r>
          </w:p>
          <w:p>
            <w:pPr>
              <w:pStyle w:val="19"/>
              <w:spacing w:before="141"/>
              <w:ind w:right="8"/>
              <w:jc w:val="center"/>
              <w:rPr>
                <w:rFonts w:hint="eastAsia" w:ascii="宋体" w:hAnsi="宋体" w:eastAsia="宋体" w:cs="宋体"/>
                <w:b/>
                <w:sz w:val="19"/>
              </w:rPr>
            </w:pPr>
            <w:r>
              <w:rPr>
                <w:rFonts w:hint="eastAsia" w:ascii="宋体" w:hAnsi="宋体" w:eastAsia="宋体" w:cs="宋体"/>
                <w:b/>
                <w:w w:val="100"/>
                <w:sz w:val="19"/>
              </w:rPr>
              <w:t>位</w:t>
            </w:r>
          </w:p>
        </w:tc>
        <w:tc>
          <w:tcPr>
            <w:tcW w:w="1584" w:type="dxa"/>
            <w:shd w:val="clear" w:color="auto" w:fill="F4F4F4"/>
          </w:tcPr>
          <w:p>
            <w:pPr>
              <w:pStyle w:val="19"/>
              <w:spacing w:before="60"/>
              <w:ind w:left="569"/>
              <w:rPr>
                <w:rFonts w:hint="eastAsia" w:ascii="宋体" w:hAnsi="宋体" w:eastAsia="宋体" w:cs="宋体"/>
                <w:b/>
                <w:sz w:val="19"/>
              </w:rPr>
            </w:pPr>
            <w:r>
              <w:rPr>
                <w:rFonts w:hint="eastAsia" w:ascii="宋体" w:hAnsi="宋体" w:eastAsia="宋体" w:cs="宋体"/>
                <w:b/>
                <w:sz w:val="19"/>
              </w:rPr>
              <w:t>单价（元</w:t>
            </w:r>
          </w:p>
          <w:p>
            <w:pPr>
              <w:pStyle w:val="19"/>
              <w:spacing w:before="141"/>
              <w:ind w:right="7"/>
              <w:jc w:val="center"/>
              <w:rPr>
                <w:rFonts w:hint="eastAsia" w:ascii="宋体" w:hAnsi="宋体" w:eastAsia="宋体" w:cs="宋体"/>
                <w:b/>
                <w:sz w:val="19"/>
              </w:rPr>
            </w:pPr>
            <w:r>
              <w:rPr>
                <w:rFonts w:hint="eastAsia" w:ascii="宋体" w:hAnsi="宋体" w:eastAsia="宋体" w:cs="宋体"/>
                <w:b/>
                <w:w w:val="100"/>
                <w:sz w:val="19"/>
              </w:rPr>
              <w:t>）</w:t>
            </w:r>
          </w:p>
        </w:tc>
        <w:tc>
          <w:tcPr>
            <w:tcW w:w="1596" w:type="dxa"/>
            <w:shd w:val="clear" w:color="auto" w:fill="F4F4F4"/>
          </w:tcPr>
          <w:p>
            <w:pPr>
              <w:pStyle w:val="19"/>
              <w:spacing w:before="60"/>
              <w:ind w:left="576"/>
              <w:rPr>
                <w:rFonts w:hint="eastAsia" w:ascii="宋体" w:hAnsi="宋体" w:eastAsia="宋体" w:cs="宋体"/>
                <w:b/>
                <w:sz w:val="19"/>
              </w:rPr>
            </w:pPr>
            <w:r>
              <w:rPr>
                <w:rFonts w:hint="eastAsia" w:ascii="宋体" w:hAnsi="宋体" w:eastAsia="宋体" w:cs="宋体"/>
                <w:b/>
                <w:sz w:val="19"/>
              </w:rPr>
              <w:t>金额（元</w:t>
            </w:r>
          </w:p>
          <w:p>
            <w:pPr>
              <w:pStyle w:val="19"/>
              <w:spacing w:before="141"/>
              <w:ind w:right="6"/>
              <w:jc w:val="center"/>
              <w:rPr>
                <w:rFonts w:hint="eastAsia" w:ascii="宋体" w:hAnsi="宋体" w:eastAsia="宋体" w:cs="宋体"/>
                <w:b/>
                <w:sz w:val="19"/>
              </w:rPr>
            </w:pPr>
            <w:r>
              <w:rPr>
                <w:rFonts w:hint="eastAsia" w:ascii="宋体" w:hAnsi="宋体" w:eastAsia="宋体" w:cs="宋体"/>
                <w:b/>
                <w:w w:val="100"/>
                <w:sz w:val="19"/>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972" w:type="dxa"/>
          </w:tcPr>
          <w:p>
            <w:pPr>
              <w:pStyle w:val="19"/>
              <w:spacing w:before="60"/>
              <w:ind w:left="484"/>
              <w:rPr>
                <w:rFonts w:hint="eastAsia" w:ascii="宋体" w:hAnsi="宋体" w:eastAsia="宋体" w:cs="宋体"/>
                <w:sz w:val="19"/>
              </w:rPr>
            </w:pPr>
            <w:r>
              <w:rPr>
                <w:rFonts w:hint="eastAsia" w:ascii="宋体" w:hAnsi="宋体" w:eastAsia="宋体" w:cs="宋体"/>
                <w:sz w:val="19"/>
              </w:rPr>
              <w:t>**</w:t>
            </w:r>
          </w:p>
        </w:tc>
        <w:tc>
          <w:tcPr>
            <w:tcW w:w="3457" w:type="dxa"/>
          </w:tcPr>
          <w:p>
            <w:pPr>
              <w:pStyle w:val="19"/>
              <w:spacing w:before="60"/>
              <w:ind w:left="484"/>
              <w:rPr>
                <w:rFonts w:hint="eastAsia" w:ascii="宋体" w:hAnsi="宋体" w:eastAsia="宋体" w:cs="宋体"/>
                <w:sz w:val="19"/>
              </w:rPr>
            </w:pPr>
            <w:r>
              <w:rPr>
                <w:rFonts w:hint="eastAsia" w:ascii="宋体" w:hAnsi="宋体" w:eastAsia="宋体" w:cs="宋体"/>
                <w:sz w:val="19"/>
              </w:rPr>
              <w:t>**</w:t>
            </w:r>
          </w:p>
        </w:tc>
        <w:tc>
          <w:tcPr>
            <w:tcW w:w="972" w:type="dxa"/>
          </w:tcPr>
          <w:p>
            <w:pPr>
              <w:pStyle w:val="19"/>
              <w:spacing w:before="60"/>
              <w:ind w:left="484"/>
              <w:rPr>
                <w:rFonts w:hint="eastAsia" w:ascii="宋体" w:hAnsi="宋体" w:eastAsia="宋体" w:cs="宋体"/>
                <w:sz w:val="19"/>
              </w:rPr>
            </w:pPr>
            <w:r>
              <w:rPr>
                <w:rFonts w:hint="eastAsia" w:ascii="宋体" w:hAnsi="宋体" w:eastAsia="宋体" w:cs="宋体"/>
                <w:sz w:val="19"/>
              </w:rPr>
              <w:t>**</w:t>
            </w:r>
          </w:p>
        </w:tc>
        <w:tc>
          <w:tcPr>
            <w:tcW w:w="984" w:type="dxa"/>
          </w:tcPr>
          <w:p>
            <w:pPr>
              <w:pStyle w:val="19"/>
              <w:spacing w:before="60"/>
              <w:ind w:left="485"/>
              <w:rPr>
                <w:rFonts w:hint="eastAsia" w:ascii="宋体" w:hAnsi="宋体" w:eastAsia="宋体" w:cs="宋体"/>
                <w:sz w:val="19"/>
              </w:rPr>
            </w:pPr>
            <w:r>
              <w:rPr>
                <w:rFonts w:hint="eastAsia" w:ascii="宋体" w:hAnsi="宋体" w:eastAsia="宋体" w:cs="宋体"/>
                <w:sz w:val="19"/>
              </w:rPr>
              <w:t>**</w:t>
            </w:r>
          </w:p>
        </w:tc>
        <w:tc>
          <w:tcPr>
            <w:tcW w:w="984" w:type="dxa"/>
          </w:tcPr>
          <w:p>
            <w:pPr>
              <w:pStyle w:val="19"/>
              <w:spacing w:before="60"/>
              <w:ind w:left="485"/>
              <w:rPr>
                <w:rFonts w:hint="eastAsia" w:ascii="宋体" w:hAnsi="宋体" w:eastAsia="宋体" w:cs="宋体"/>
                <w:sz w:val="19"/>
              </w:rPr>
            </w:pPr>
            <w:r>
              <w:rPr>
                <w:rFonts w:hint="eastAsia" w:ascii="宋体" w:hAnsi="宋体" w:eastAsia="宋体" w:cs="宋体"/>
                <w:sz w:val="19"/>
              </w:rPr>
              <w:t>**</w:t>
            </w:r>
          </w:p>
        </w:tc>
        <w:tc>
          <w:tcPr>
            <w:tcW w:w="1584" w:type="dxa"/>
          </w:tcPr>
          <w:p>
            <w:pPr>
              <w:pStyle w:val="19"/>
              <w:spacing w:before="60"/>
              <w:ind w:left="485"/>
              <w:rPr>
                <w:rFonts w:hint="eastAsia" w:ascii="宋体" w:hAnsi="宋体" w:eastAsia="宋体" w:cs="宋体"/>
                <w:sz w:val="19"/>
              </w:rPr>
            </w:pPr>
            <w:r>
              <w:rPr>
                <w:rFonts w:hint="eastAsia" w:ascii="宋体" w:hAnsi="宋体" w:eastAsia="宋体" w:cs="宋体"/>
                <w:sz w:val="19"/>
              </w:rPr>
              <w:t>**</w:t>
            </w:r>
          </w:p>
        </w:tc>
        <w:tc>
          <w:tcPr>
            <w:tcW w:w="1596" w:type="dxa"/>
          </w:tcPr>
          <w:p>
            <w:pPr>
              <w:pStyle w:val="19"/>
              <w:spacing w:before="60"/>
              <w:ind w:left="486"/>
              <w:rPr>
                <w:rFonts w:hint="eastAsia" w:ascii="宋体" w:hAnsi="宋体" w:eastAsia="宋体" w:cs="宋体"/>
                <w:sz w:val="19"/>
              </w:rPr>
            </w:pPr>
            <w:r>
              <w:rPr>
                <w:rFonts w:hint="eastAsia" w:ascii="宋体" w:hAnsi="宋体" w:eastAsia="宋体" w:cs="宋体"/>
                <w:sz w:val="19"/>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972" w:type="dxa"/>
          </w:tcPr>
          <w:p>
            <w:pPr>
              <w:pStyle w:val="19"/>
              <w:rPr>
                <w:rFonts w:hint="eastAsia" w:ascii="宋体" w:hAnsi="宋体" w:eastAsia="宋体" w:cs="宋体"/>
                <w:sz w:val="18"/>
              </w:rPr>
            </w:pPr>
          </w:p>
        </w:tc>
        <w:tc>
          <w:tcPr>
            <w:tcW w:w="3457" w:type="dxa"/>
          </w:tcPr>
          <w:p>
            <w:pPr>
              <w:pStyle w:val="19"/>
              <w:rPr>
                <w:rFonts w:hint="eastAsia" w:ascii="宋体" w:hAnsi="宋体" w:eastAsia="宋体" w:cs="宋体"/>
                <w:sz w:val="18"/>
              </w:rPr>
            </w:pPr>
          </w:p>
        </w:tc>
        <w:tc>
          <w:tcPr>
            <w:tcW w:w="972"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1584" w:type="dxa"/>
          </w:tcPr>
          <w:p>
            <w:pPr>
              <w:pStyle w:val="19"/>
              <w:rPr>
                <w:rFonts w:hint="eastAsia" w:ascii="宋体" w:hAnsi="宋体" w:eastAsia="宋体" w:cs="宋体"/>
                <w:sz w:val="18"/>
              </w:rPr>
            </w:pPr>
          </w:p>
        </w:tc>
        <w:tc>
          <w:tcPr>
            <w:tcW w:w="1596" w:type="dxa"/>
          </w:tcPr>
          <w:p>
            <w:pPr>
              <w:pStyle w:val="19"/>
              <w:rPr>
                <w:rFonts w:hint="eastAsia" w:ascii="宋体" w:hAnsi="宋体" w:eastAsia="宋体" w:cs="宋体"/>
                <w:sz w:val="1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972" w:type="dxa"/>
          </w:tcPr>
          <w:p>
            <w:pPr>
              <w:pStyle w:val="19"/>
              <w:rPr>
                <w:rFonts w:hint="eastAsia" w:ascii="宋体" w:hAnsi="宋体" w:eastAsia="宋体" w:cs="宋体"/>
                <w:sz w:val="18"/>
              </w:rPr>
            </w:pPr>
          </w:p>
        </w:tc>
        <w:tc>
          <w:tcPr>
            <w:tcW w:w="3457" w:type="dxa"/>
          </w:tcPr>
          <w:p>
            <w:pPr>
              <w:pStyle w:val="19"/>
              <w:rPr>
                <w:rFonts w:hint="eastAsia" w:ascii="宋体" w:hAnsi="宋体" w:eastAsia="宋体" w:cs="宋体"/>
                <w:sz w:val="18"/>
              </w:rPr>
            </w:pPr>
          </w:p>
        </w:tc>
        <w:tc>
          <w:tcPr>
            <w:tcW w:w="972"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1584" w:type="dxa"/>
          </w:tcPr>
          <w:p>
            <w:pPr>
              <w:pStyle w:val="19"/>
              <w:rPr>
                <w:rFonts w:hint="eastAsia" w:ascii="宋体" w:hAnsi="宋体" w:eastAsia="宋体" w:cs="宋体"/>
                <w:sz w:val="18"/>
              </w:rPr>
            </w:pPr>
          </w:p>
        </w:tc>
        <w:tc>
          <w:tcPr>
            <w:tcW w:w="1596" w:type="dxa"/>
          </w:tcPr>
          <w:p>
            <w:pPr>
              <w:pStyle w:val="19"/>
              <w:rPr>
                <w:rFonts w:hint="eastAsia" w:ascii="宋体" w:hAnsi="宋体" w:eastAsia="宋体" w:cs="宋体"/>
                <w:sz w:val="1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972" w:type="dxa"/>
          </w:tcPr>
          <w:p>
            <w:pPr>
              <w:pStyle w:val="19"/>
              <w:rPr>
                <w:rFonts w:hint="eastAsia" w:ascii="宋体" w:hAnsi="宋体" w:eastAsia="宋体" w:cs="宋体"/>
                <w:sz w:val="18"/>
              </w:rPr>
            </w:pPr>
          </w:p>
        </w:tc>
        <w:tc>
          <w:tcPr>
            <w:tcW w:w="3457" w:type="dxa"/>
          </w:tcPr>
          <w:p>
            <w:pPr>
              <w:pStyle w:val="19"/>
              <w:rPr>
                <w:rFonts w:hint="eastAsia" w:ascii="宋体" w:hAnsi="宋体" w:eastAsia="宋体" w:cs="宋体"/>
                <w:sz w:val="18"/>
              </w:rPr>
            </w:pPr>
          </w:p>
        </w:tc>
        <w:tc>
          <w:tcPr>
            <w:tcW w:w="972"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1584" w:type="dxa"/>
          </w:tcPr>
          <w:p>
            <w:pPr>
              <w:pStyle w:val="19"/>
              <w:rPr>
                <w:rFonts w:hint="eastAsia" w:ascii="宋体" w:hAnsi="宋体" w:eastAsia="宋体" w:cs="宋体"/>
                <w:sz w:val="18"/>
              </w:rPr>
            </w:pPr>
          </w:p>
        </w:tc>
        <w:tc>
          <w:tcPr>
            <w:tcW w:w="1596" w:type="dxa"/>
          </w:tcPr>
          <w:p>
            <w:pPr>
              <w:pStyle w:val="19"/>
              <w:rPr>
                <w:rFonts w:hint="eastAsia" w:ascii="宋体" w:hAnsi="宋体" w:eastAsia="宋体" w:cs="宋体"/>
                <w:sz w:val="1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972" w:type="dxa"/>
          </w:tcPr>
          <w:p>
            <w:pPr>
              <w:pStyle w:val="19"/>
              <w:rPr>
                <w:rFonts w:hint="eastAsia" w:ascii="宋体" w:hAnsi="宋体" w:eastAsia="宋体" w:cs="宋体"/>
                <w:sz w:val="18"/>
              </w:rPr>
            </w:pPr>
          </w:p>
        </w:tc>
        <w:tc>
          <w:tcPr>
            <w:tcW w:w="3457" w:type="dxa"/>
          </w:tcPr>
          <w:p>
            <w:pPr>
              <w:pStyle w:val="19"/>
              <w:rPr>
                <w:rFonts w:hint="eastAsia" w:ascii="宋体" w:hAnsi="宋体" w:eastAsia="宋体" w:cs="宋体"/>
                <w:sz w:val="18"/>
              </w:rPr>
            </w:pPr>
          </w:p>
        </w:tc>
        <w:tc>
          <w:tcPr>
            <w:tcW w:w="972"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1584" w:type="dxa"/>
          </w:tcPr>
          <w:p>
            <w:pPr>
              <w:pStyle w:val="19"/>
              <w:rPr>
                <w:rFonts w:hint="eastAsia" w:ascii="宋体" w:hAnsi="宋体" w:eastAsia="宋体" w:cs="宋体"/>
                <w:sz w:val="18"/>
              </w:rPr>
            </w:pPr>
          </w:p>
        </w:tc>
        <w:tc>
          <w:tcPr>
            <w:tcW w:w="1596" w:type="dxa"/>
          </w:tcPr>
          <w:p>
            <w:pPr>
              <w:pStyle w:val="19"/>
              <w:rPr>
                <w:rFonts w:hint="eastAsia" w:ascii="宋体" w:hAnsi="宋体" w:eastAsia="宋体" w:cs="宋体"/>
                <w:sz w:val="1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972" w:type="dxa"/>
          </w:tcPr>
          <w:p>
            <w:pPr>
              <w:pStyle w:val="19"/>
              <w:rPr>
                <w:rFonts w:hint="eastAsia" w:ascii="宋体" w:hAnsi="宋体" w:eastAsia="宋体" w:cs="宋体"/>
                <w:sz w:val="18"/>
              </w:rPr>
            </w:pPr>
          </w:p>
        </w:tc>
        <w:tc>
          <w:tcPr>
            <w:tcW w:w="3457" w:type="dxa"/>
          </w:tcPr>
          <w:p>
            <w:pPr>
              <w:pStyle w:val="19"/>
              <w:rPr>
                <w:rFonts w:hint="eastAsia" w:ascii="宋体" w:hAnsi="宋体" w:eastAsia="宋体" w:cs="宋体"/>
                <w:sz w:val="18"/>
              </w:rPr>
            </w:pPr>
          </w:p>
        </w:tc>
        <w:tc>
          <w:tcPr>
            <w:tcW w:w="972"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984" w:type="dxa"/>
          </w:tcPr>
          <w:p>
            <w:pPr>
              <w:pStyle w:val="19"/>
              <w:rPr>
                <w:rFonts w:hint="eastAsia" w:ascii="宋体" w:hAnsi="宋体" w:eastAsia="宋体" w:cs="宋体"/>
                <w:sz w:val="18"/>
              </w:rPr>
            </w:pPr>
          </w:p>
        </w:tc>
        <w:tc>
          <w:tcPr>
            <w:tcW w:w="1584" w:type="dxa"/>
          </w:tcPr>
          <w:p>
            <w:pPr>
              <w:pStyle w:val="19"/>
              <w:rPr>
                <w:rFonts w:hint="eastAsia" w:ascii="宋体" w:hAnsi="宋体" w:eastAsia="宋体" w:cs="宋体"/>
                <w:sz w:val="18"/>
              </w:rPr>
            </w:pPr>
          </w:p>
        </w:tc>
        <w:tc>
          <w:tcPr>
            <w:tcW w:w="1596" w:type="dxa"/>
          </w:tcPr>
          <w:p>
            <w:pPr>
              <w:pStyle w:val="19"/>
              <w:rPr>
                <w:rFonts w:hint="eastAsia" w:ascii="宋体" w:hAnsi="宋体" w:eastAsia="宋体" w:cs="宋体"/>
                <w:sz w:val="1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8953" w:type="dxa"/>
            <w:gridSpan w:val="6"/>
          </w:tcPr>
          <w:p>
            <w:pPr>
              <w:pStyle w:val="19"/>
              <w:spacing w:before="60"/>
              <w:ind w:left="484"/>
              <w:rPr>
                <w:rFonts w:hint="eastAsia" w:ascii="宋体" w:hAnsi="宋体" w:eastAsia="宋体" w:cs="宋体"/>
                <w:sz w:val="19"/>
              </w:rPr>
            </w:pPr>
            <w:r>
              <w:rPr>
                <w:rFonts w:hint="eastAsia" w:ascii="宋体" w:hAnsi="宋体" w:eastAsia="宋体" w:cs="宋体"/>
                <w:sz w:val="19"/>
              </w:rPr>
              <w:t>合计：人民币大写：**元整</w:t>
            </w:r>
          </w:p>
        </w:tc>
        <w:tc>
          <w:tcPr>
            <w:tcW w:w="1596" w:type="dxa"/>
          </w:tcPr>
          <w:p>
            <w:pPr>
              <w:pStyle w:val="19"/>
              <w:spacing w:before="60"/>
              <w:ind w:left="486"/>
              <w:rPr>
                <w:rFonts w:hint="eastAsia" w:ascii="宋体" w:hAnsi="宋体" w:eastAsia="宋体" w:cs="宋体"/>
                <w:sz w:val="19"/>
              </w:rPr>
            </w:pPr>
            <w:r>
              <w:rPr>
                <w:rFonts w:hint="eastAsia" w:ascii="宋体" w:hAnsi="宋体" w:eastAsia="宋体" w:cs="宋体"/>
                <w:sz w:val="19"/>
              </w:rPr>
              <w:t>￥：**</w:t>
            </w:r>
          </w:p>
        </w:tc>
      </w:tr>
    </w:tbl>
    <w:p>
      <w:pPr>
        <w:spacing w:after="0"/>
        <w:rPr>
          <w:rFonts w:hint="eastAsia" w:ascii="宋体" w:hAnsi="宋体" w:eastAsia="宋体" w:cs="宋体"/>
          <w:sz w:val="19"/>
        </w:rPr>
        <w:sectPr>
          <w:pgSz w:w="11900" w:h="16840"/>
          <w:pgMar w:top="500" w:right="560" w:bottom="280" w:left="540" w:header="0" w:footer="13" w:gutter="0"/>
          <w:cols w:space="720" w:num="1"/>
        </w:sectPr>
      </w:pPr>
    </w:p>
    <w:p>
      <w:pPr>
        <w:pStyle w:val="3"/>
        <w:rPr>
          <w:rFonts w:hint="eastAsia" w:ascii="宋体" w:hAnsi="宋体" w:eastAsia="宋体" w:cs="宋体"/>
        </w:rPr>
      </w:pPr>
      <w:r>
        <w:rPr>
          <w:rFonts w:hint="eastAsia" w:ascii="宋体" w:hAnsi="宋体" w:eastAsia="宋体" w:cs="宋体"/>
        </w:rPr>
        <w:t>第四章 采购内容与技术要求</w:t>
      </w:r>
    </w:p>
    <w:p>
      <w:pPr>
        <w:pStyle w:val="9"/>
        <w:rPr>
          <w:rFonts w:hint="eastAsia" w:ascii="宋体" w:hAnsi="宋体" w:eastAsia="宋体" w:cs="宋体"/>
          <w:b/>
          <w:sz w:val="22"/>
        </w:rPr>
      </w:pPr>
    </w:p>
    <w:p>
      <w:pPr>
        <w:pStyle w:val="9"/>
        <w:spacing w:before="3"/>
        <w:rPr>
          <w:rFonts w:hint="eastAsia" w:ascii="宋体" w:hAnsi="宋体" w:eastAsia="宋体" w:cs="宋体"/>
          <w:b/>
          <w:sz w:val="25"/>
        </w:rPr>
      </w:pPr>
    </w:p>
    <w:p>
      <w:pPr>
        <w:pStyle w:val="4"/>
        <w:rPr>
          <w:rFonts w:hint="eastAsia" w:ascii="宋体" w:hAnsi="宋体" w:eastAsia="宋体" w:cs="宋体"/>
        </w:rPr>
      </w:pPr>
      <w:r>
        <w:rPr>
          <w:rFonts w:hint="eastAsia" w:ascii="宋体" w:hAnsi="宋体" w:eastAsia="宋体" w:cs="宋体"/>
        </w:rPr>
        <w:t>一、项目概况：</w:t>
      </w:r>
    </w:p>
    <w:p>
      <w:pPr>
        <w:spacing w:before="46"/>
        <w:ind w:left="552" w:right="0" w:firstLine="0"/>
        <w:jc w:val="left"/>
        <w:rPr>
          <w:rFonts w:hint="eastAsia" w:ascii="宋体" w:hAnsi="宋体" w:eastAsia="宋体" w:cs="宋体"/>
          <w:b/>
          <w:sz w:val="21"/>
        </w:rPr>
      </w:pPr>
      <w:r>
        <w:rPr>
          <w:rFonts w:hint="eastAsia" w:ascii="宋体" w:hAnsi="宋体" w:eastAsia="宋体" w:cs="宋体"/>
          <w:b/>
          <w:sz w:val="21"/>
        </w:rPr>
        <w:t>教师教育实训楼心理实训室采购项目</w:t>
      </w:r>
    </w:p>
    <w:p>
      <w:pPr>
        <w:pStyle w:val="9"/>
        <w:spacing w:before="183"/>
        <w:ind w:left="510"/>
        <w:rPr>
          <w:rFonts w:hint="eastAsia" w:ascii="宋体" w:hAnsi="宋体" w:eastAsia="宋体" w:cs="宋体"/>
        </w:rPr>
      </w:pPr>
      <w:r>
        <w:rPr>
          <w:rFonts w:hint="eastAsia" w:ascii="宋体" w:hAnsi="宋体" w:eastAsia="宋体" w:cs="宋体"/>
        </w:rPr>
        <w:t>合同包1（教师教育实训楼心理实训室教学设备）</w:t>
      </w:r>
    </w:p>
    <w:p>
      <w:pPr>
        <w:pStyle w:val="5"/>
        <w:numPr>
          <w:ilvl w:val="0"/>
          <w:numId w:val="33"/>
        </w:numPr>
        <w:tabs>
          <w:tab w:val="left" w:pos="333"/>
        </w:tabs>
        <w:spacing w:before="8" w:after="0" w:line="240" w:lineRule="auto"/>
        <w:ind w:left="332" w:right="0" w:hanging="207"/>
        <w:jc w:val="left"/>
        <w:rPr>
          <w:rFonts w:hint="eastAsia" w:ascii="宋体" w:hAnsi="宋体" w:eastAsia="宋体" w:cs="宋体"/>
        </w:rPr>
      </w:pPr>
      <w:r>
        <w:rPr>
          <w:rFonts w:hint="eastAsia" w:ascii="宋体" w:hAnsi="宋体" w:eastAsia="宋体" w:cs="宋体"/>
          <w:spacing w:val="10"/>
        </w:rPr>
        <w:t>主要商务要求</w:t>
      </w:r>
    </w:p>
    <w:p>
      <w:pPr>
        <w:pStyle w:val="9"/>
        <w:spacing w:before="4"/>
        <w:rPr>
          <w:rFonts w:hint="eastAsia" w:ascii="宋体" w:hAnsi="宋体" w:eastAsia="宋体" w:cs="宋体"/>
          <w:b/>
          <w:sz w:val="5"/>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3805"/>
        <w:gridCol w:w="674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3805" w:type="dxa"/>
          </w:tcPr>
          <w:p>
            <w:pPr>
              <w:pStyle w:val="19"/>
              <w:spacing w:before="60"/>
              <w:ind w:left="100"/>
              <w:rPr>
                <w:rFonts w:hint="eastAsia" w:ascii="宋体" w:hAnsi="宋体" w:eastAsia="宋体" w:cs="宋体"/>
                <w:sz w:val="19"/>
              </w:rPr>
            </w:pPr>
            <w:r>
              <w:rPr>
                <w:rFonts w:hint="eastAsia" w:ascii="宋体" w:hAnsi="宋体" w:eastAsia="宋体" w:cs="宋体"/>
                <w:sz w:val="19"/>
              </w:rPr>
              <w:t>标的提供的时间</w:t>
            </w:r>
          </w:p>
        </w:tc>
        <w:tc>
          <w:tcPr>
            <w:tcW w:w="6746" w:type="dxa"/>
          </w:tcPr>
          <w:p>
            <w:pPr>
              <w:pStyle w:val="19"/>
              <w:spacing w:before="60"/>
              <w:ind w:left="100"/>
              <w:rPr>
                <w:rFonts w:hint="eastAsia" w:ascii="宋体" w:hAnsi="宋体" w:eastAsia="宋体" w:cs="宋体"/>
                <w:sz w:val="19"/>
              </w:rPr>
            </w:pPr>
            <w:r>
              <w:rPr>
                <w:rFonts w:hint="eastAsia" w:ascii="宋体" w:hAnsi="宋体" w:eastAsia="宋体" w:cs="宋体"/>
                <w:sz w:val="19"/>
              </w:rPr>
              <w:t>合同签订后</w:t>
            </w:r>
            <w:r>
              <w:rPr>
                <w:rFonts w:hint="eastAsia" w:ascii="宋体" w:hAnsi="宋体" w:eastAsia="宋体" w:cs="宋体"/>
                <w:w w:val="110"/>
                <w:sz w:val="19"/>
              </w:rPr>
              <w:t>2</w:t>
            </w:r>
            <w:r>
              <w:rPr>
                <w:rFonts w:hint="eastAsia" w:ascii="宋体" w:hAnsi="宋体" w:eastAsia="宋体" w:cs="宋体"/>
                <w:sz w:val="19"/>
              </w:rPr>
              <w:t>个月内供货并调试安装完成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3805" w:type="dxa"/>
          </w:tcPr>
          <w:p>
            <w:pPr>
              <w:pStyle w:val="19"/>
              <w:spacing w:before="60"/>
              <w:ind w:left="100"/>
              <w:rPr>
                <w:rFonts w:hint="eastAsia" w:ascii="宋体" w:hAnsi="宋体" w:eastAsia="宋体" w:cs="宋体"/>
                <w:sz w:val="19"/>
              </w:rPr>
            </w:pPr>
            <w:r>
              <w:rPr>
                <w:rFonts w:hint="eastAsia" w:ascii="宋体" w:hAnsi="宋体" w:eastAsia="宋体" w:cs="宋体"/>
                <w:sz w:val="19"/>
              </w:rPr>
              <w:t>标的提供的地点</w:t>
            </w:r>
          </w:p>
        </w:tc>
        <w:tc>
          <w:tcPr>
            <w:tcW w:w="6746" w:type="dxa"/>
          </w:tcPr>
          <w:p>
            <w:pPr>
              <w:pStyle w:val="19"/>
              <w:spacing w:before="60"/>
              <w:ind w:left="100"/>
              <w:rPr>
                <w:rFonts w:hint="eastAsia" w:ascii="宋体" w:hAnsi="宋体" w:eastAsia="宋体" w:cs="宋体"/>
                <w:sz w:val="19"/>
              </w:rPr>
            </w:pPr>
            <w:r>
              <w:rPr>
                <w:rFonts w:hint="eastAsia" w:ascii="宋体" w:hAnsi="宋体" w:eastAsia="宋体" w:cs="宋体"/>
                <w:sz w:val="19"/>
              </w:rPr>
              <w:t>牡丹江师范学院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9" w:hRule="atLeast"/>
        </w:trPr>
        <w:tc>
          <w:tcPr>
            <w:tcW w:w="3805" w:type="dxa"/>
          </w:tcPr>
          <w:p>
            <w:pPr>
              <w:pStyle w:val="19"/>
              <w:spacing w:before="60"/>
              <w:ind w:left="100"/>
              <w:rPr>
                <w:rFonts w:hint="eastAsia" w:ascii="宋体" w:hAnsi="宋体" w:eastAsia="宋体" w:cs="宋体"/>
                <w:sz w:val="19"/>
              </w:rPr>
            </w:pPr>
            <w:r>
              <w:rPr>
                <w:rFonts w:hint="eastAsia" w:ascii="宋体" w:hAnsi="宋体" w:eastAsia="宋体" w:cs="宋体"/>
                <w:sz w:val="19"/>
              </w:rPr>
              <w:t>投标有效期</w:t>
            </w:r>
          </w:p>
        </w:tc>
        <w:tc>
          <w:tcPr>
            <w:tcW w:w="6746" w:type="dxa"/>
          </w:tcPr>
          <w:p>
            <w:pPr>
              <w:pStyle w:val="19"/>
              <w:spacing w:before="84"/>
              <w:ind w:left="100"/>
              <w:rPr>
                <w:rFonts w:hint="eastAsia" w:ascii="宋体" w:hAnsi="宋体" w:eastAsia="宋体" w:cs="宋体"/>
                <w:sz w:val="19"/>
              </w:rPr>
            </w:pPr>
            <w:r>
              <w:rPr>
                <w:rFonts w:hint="eastAsia" w:ascii="宋体" w:hAnsi="宋体" w:eastAsia="宋体" w:cs="宋体"/>
                <w:w w:val="110"/>
                <w:sz w:val="19"/>
              </w:rPr>
              <w:t>从提交投标（响应）文件的截止之日起90日历天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49" w:hRule="atLeast"/>
        </w:trPr>
        <w:tc>
          <w:tcPr>
            <w:tcW w:w="3805" w:type="dxa"/>
          </w:tcPr>
          <w:p>
            <w:pPr>
              <w:pStyle w:val="19"/>
              <w:rPr>
                <w:rFonts w:hint="eastAsia" w:ascii="宋体" w:hAnsi="宋体" w:eastAsia="宋体" w:cs="宋体"/>
                <w:b/>
                <w:sz w:val="18"/>
              </w:rPr>
            </w:pPr>
          </w:p>
          <w:p>
            <w:pPr>
              <w:pStyle w:val="19"/>
              <w:spacing w:before="9"/>
              <w:rPr>
                <w:rFonts w:hint="eastAsia" w:ascii="宋体" w:hAnsi="宋体" w:eastAsia="宋体" w:cs="宋体"/>
                <w:b/>
                <w:sz w:val="16"/>
              </w:rPr>
            </w:pPr>
          </w:p>
          <w:p>
            <w:pPr>
              <w:pStyle w:val="19"/>
              <w:ind w:left="100"/>
              <w:rPr>
                <w:rFonts w:hint="eastAsia" w:ascii="宋体" w:hAnsi="宋体" w:eastAsia="宋体" w:cs="宋体"/>
                <w:sz w:val="19"/>
              </w:rPr>
            </w:pPr>
            <w:r>
              <w:rPr>
                <w:rFonts w:hint="eastAsia" w:ascii="宋体" w:hAnsi="宋体" w:eastAsia="宋体" w:cs="宋体"/>
                <w:sz w:val="19"/>
              </w:rPr>
              <w:t>付款方式</w:t>
            </w:r>
          </w:p>
        </w:tc>
        <w:tc>
          <w:tcPr>
            <w:tcW w:w="6746" w:type="dxa"/>
          </w:tcPr>
          <w:p>
            <w:pPr>
              <w:pStyle w:val="19"/>
              <w:spacing w:before="60"/>
              <w:ind w:left="100"/>
              <w:rPr>
                <w:rFonts w:hint="eastAsia" w:ascii="宋体" w:hAnsi="宋体" w:eastAsia="宋体" w:cs="宋体"/>
                <w:sz w:val="19"/>
              </w:rPr>
            </w:pPr>
            <w:r>
              <w:rPr>
                <w:rFonts w:hint="eastAsia" w:ascii="宋体" w:hAnsi="宋体" w:eastAsia="宋体" w:cs="宋体"/>
                <w:w w:val="130"/>
                <w:sz w:val="19"/>
              </w:rPr>
              <w:t>1</w:t>
            </w:r>
            <w:r>
              <w:rPr>
                <w:rFonts w:hint="eastAsia" w:ascii="宋体" w:hAnsi="宋体" w:eastAsia="宋体" w:cs="宋体"/>
                <w:w w:val="110"/>
                <w:sz w:val="19"/>
              </w:rPr>
              <w:t>期：支付比例</w:t>
            </w:r>
            <w:r>
              <w:rPr>
                <w:rFonts w:hint="eastAsia" w:ascii="宋体" w:hAnsi="宋体" w:eastAsia="宋体" w:cs="宋体"/>
                <w:w w:val="130"/>
                <w:sz w:val="19"/>
              </w:rPr>
              <w:t>50%，</w:t>
            </w:r>
            <w:r>
              <w:rPr>
                <w:rFonts w:hint="eastAsia" w:ascii="宋体" w:hAnsi="宋体" w:eastAsia="宋体" w:cs="宋体"/>
                <w:w w:val="110"/>
                <w:sz w:val="19"/>
              </w:rPr>
              <w:t>货物全部到场后，支付合同价款的</w:t>
            </w:r>
            <w:r>
              <w:rPr>
                <w:rFonts w:hint="eastAsia" w:ascii="宋体" w:hAnsi="宋体" w:eastAsia="宋体" w:cs="宋体"/>
                <w:w w:val="130"/>
                <w:sz w:val="19"/>
              </w:rPr>
              <w:t>50%</w:t>
            </w:r>
          </w:p>
          <w:p>
            <w:pPr>
              <w:pStyle w:val="19"/>
              <w:spacing w:before="141"/>
              <w:ind w:left="100"/>
              <w:rPr>
                <w:rFonts w:hint="eastAsia" w:ascii="宋体" w:hAnsi="宋体" w:eastAsia="宋体" w:cs="宋体"/>
                <w:sz w:val="19"/>
              </w:rPr>
            </w:pPr>
            <w:r>
              <w:rPr>
                <w:rFonts w:hint="eastAsia" w:ascii="宋体" w:hAnsi="宋体" w:eastAsia="宋体" w:cs="宋体"/>
                <w:w w:val="105"/>
                <w:sz w:val="19"/>
              </w:rPr>
              <w:t>2期：支付比例50%，供货安装调试完成，并经验收合格后支付合同价款的50</w:t>
            </w:r>
          </w:p>
          <w:p>
            <w:pPr>
              <w:pStyle w:val="19"/>
              <w:spacing w:before="141"/>
              <w:ind w:left="100"/>
              <w:rPr>
                <w:rFonts w:hint="eastAsia" w:ascii="宋体" w:hAnsi="宋体" w:eastAsia="宋体" w:cs="宋体"/>
                <w:sz w:val="19"/>
              </w:rPr>
            </w:pPr>
            <w:r>
              <w:rPr>
                <w:rFonts w:hint="eastAsia" w:ascii="宋体" w:hAnsi="宋体" w:eastAsia="宋体" w:cs="宋体"/>
                <w:w w:val="175"/>
                <w:sz w:val="19"/>
              </w:rPr>
              <w:t>%</w:t>
            </w:r>
            <w:r>
              <w:rPr>
                <w:rFonts w:hint="eastAsia" w:ascii="宋体" w:hAnsi="宋体" w:eastAsia="宋体" w:cs="宋体"/>
                <w:w w:val="120"/>
                <w:sz w:val="19"/>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57" w:hRule="atLeast"/>
        </w:trPr>
        <w:tc>
          <w:tcPr>
            <w:tcW w:w="3805" w:type="dxa"/>
          </w:tcPr>
          <w:p>
            <w:pPr>
              <w:pStyle w:val="19"/>
              <w:rPr>
                <w:rFonts w:hint="eastAsia" w:ascii="宋体" w:hAnsi="宋体" w:eastAsia="宋体" w:cs="宋体"/>
                <w:b/>
                <w:sz w:val="18"/>
              </w:rPr>
            </w:pPr>
          </w:p>
          <w:p>
            <w:pPr>
              <w:pStyle w:val="19"/>
              <w:spacing w:before="118"/>
              <w:ind w:left="100"/>
              <w:rPr>
                <w:rFonts w:hint="eastAsia" w:ascii="宋体" w:hAnsi="宋体" w:eastAsia="宋体" w:cs="宋体"/>
                <w:sz w:val="19"/>
              </w:rPr>
            </w:pPr>
            <w:r>
              <w:rPr>
                <w:rFonts w:hint="eastAsia" w:ascii="宋体" w:hAnsi="宋体" w:eastAsia="宋体" w:cs="宋体"/>
                <w:sz w:val="19"/>
              </w:rPr>
              <w:t>验收要求</w:t>
            </w:r>
          </w:p>
        </w:tc>
        <w:tc>
          <w:tcPr>
            <w:tcW w:w="6746" w:type="dxa"/>
          </w:tcPr>
          <w:p>
            <w:pPr>
              <w:pStyle w:val="19"/>
              <w:spacing w:before="60"/>
              <w:ind w:left="100"/>
              <w:rPr>
                <w:rFonts w:hint="eastAsia" w:ascii="宋体" w:hAnsi="宋体" w:eastAsia="宋体" w:cs="宋体"/>
                <w:sz w:val="19"/>
              </w:rPr>
            </w:pPr>
            <w:r>
              <w:rPr>
                <w:rFonts w:hint="eastAsia" w:ascii="宋体" w:hAnsi="宋体" w:eastAsia="宋体" w:cs="宋体"/>
                <w:spacing w:val="-3"/>
                <w:sz w:val="19"/>
              </w:rPr>
              <w:t>1</w:t>
            </w:r>
            <w:r>
              <w:rPr>
                <w:rFonts w:hint="eastAsia" w:ascii="宋体" w:hAnsi="宋体" w:eastAsia="宋体" w:cs="宋体"/>
                <w:sz w:val="19"/>
              </w:rPr>
              <w:t>期：联合验收</w:t>
            </w:r>
          </w:p>
          <w:p>
            <w:pPr>
              <w:pStyle w:val="19"/>
              <w:spacing w:before="141"/>
              <w:ind w:left="100"/>
              <w:rPr>
                <w:rFonts w:hint="eastAsia" w:ascii="宋体" w:hAnsi="宋体" w:eastAsia="宋体" w:cs="宋体"/>
                <w:sz w:val="19"/>
              </w:rPr>
            </w:pPr>
            <w:r>
              <w:rPr>
                <w:rFonts w:hint="eastAsia" w:ascii="宋体" w:hAnsi="宋体" w:eastAsia="宋体" w:cs="宋体"/>
                <w:spacing w:val="-3"/>
                <w:sz w:val="19"/>
              </w:rPr>
              <w:t>2</w:t>
            </w:r>
            <w:r>
              <w:rPr>
                <w:rFonts w:hint="eastAsia" w:ascii="宋体" w:hAnsi="宋体" w:eastAsia="宋体" w:cs="宋体"/>
                <w:sz w:val="19"/>
              </w:rPr>
              <w:t>期：联合验收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3805"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履约保证金</w:t>
            </w:r>
          </w:p>
        </w:tc>
        <w:tc>
          <w:tcPr>
            <w:tcW w:w="6746" w:type="dxa"/>
          </w:tcPr>
          <w:p>
            <w:pPr>
              <w:pStyle w:val="19"/>
              <w:spacing w:before="60"/>
              <w:ind w:left="100"/>
              <w:rPr>
                <w:rFonts w:hint="eastAsia" w:ascii="宋体" w:hAnsi="宋体" w:eastAsia="宋体" w:cs="宋体"/>
                <w:sz w:val="19"/>
              </w:rPr>
            </w:pPr>
            <w:r>
              <w:rPr>
                <w:rFonts w:hint="eastAsia" w:ascii="宋体" w:hAnsi="宋体" w:eastAsia="宋体" w:cs="宋体"/>
                <w:sz w:val="19"/>
              </w:rPr>
              <w:t>收取比例</w:t>
            </w:r>
            <w:r>
              <w:rPr>
                <w:rFonts w:hint="eastAsia" w:ascii="宋体" w:hAnsi="宋体" w:eastAsia="宋体" w:cs="宋体"/>
                <w:w w:val="125"/>
                <w:sz w:val="19"/>
              </w:rPr>
              <w:t>：5%,</w:t>
            </w:r>
            <w:r>
              <w:rPr>
                <w:rFonts w:hint="eastAsia" w:ascii="宋体" w:hAnsi="宋体" w:eastAsia="宋体" w:cs="宋体"/>
                <w:sz w:val="19"/>
              </w:rPr>
              <w:t>说明：中标（成交）供应商签订合同前，应向采购人提交履约</w:t>
            </w:r>
          </w:p>
          <w:p>
            <w:pPr>
              <w:pStyle w:val="19"/>
              <w:spacing w:before="141"/>
              <w:ind w:left="100"/>
              <w:rPr>
                <w:rFonts w:hint="eastAsia" w:ascii="宋体" w:hAnsi="宋体" w:eastAsia="宋体" w:cs="宋体"/>
                <w:sz w:val="19"/>
              </w:rPr>
            </w:pPr>
            <w:r>
              <w:rPr>
                <w:rFonts w:hint="eastAsia" w:ascii="宋体" w:hAnsi="宋体" w:eastAsia="宋体" w:cs="宋体"/>
                <w:sz w:val="19"/>
              </w:rPr>
              <w:t>保证金；合同履约验收合格并办理资金结算后，采购人应退回履约保证金。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3805" w:type="dxa"/>
          </w:tcPr>
          <w:p>
            <w:pPr>
              <w:pStyle w:val="19"/>
              <w:spacing w:before="60"/>
              <w:ind w:left="100"/>
              <w:rPr>
                <w:rFonts w:hint="eastAsia" w:ascii="宋体" w:hAnsi="宋体" w:eastAsia="宋体" w:cs="宋体"/>
                <w:sz w:val="19"/>
              </w:rPr>
            </w:pPr>
            <w:r>
              <w:rPr>
                <w:rFonts w:hint="eastAsia" w:ascii="宋体" w:hAnsi="宋体" w:eastAsia="宋体" w:cs="宋体"/>
                <w:sz w:val="19"/>
              </w:rPr>
              <w:t>合同履行期限</w:t>
            </w:r>
          </w:p>
        </w:tc>
        <w:tc>
          <w:tcPr>
            <w:tcW w:w="6746" w:type="dxa"/>
          </w:tcPr>
          <w:p>
            <w:pPr>
              <w:pStyle w:val="19"/>
              <w:spacing w:before="60"/>
              <w:ind w:left="100"/>
              <w:rPr>
                <w:rFonts w:hint="eastAsia" w:ascii="宋体" w:hAnsi="宋体" w:eastAsia="宋体" w:cs="宋体"/>
                <w:sz w:val="19"/>
              </w:rPr>
            </w:pPr>
            <w:r>
              <w:rPr>
                <w:rFonts w:hint="eastAsia" w:ascii="宋体" w:hAnsi="宋体" w:eastAsia="宋体" w:cs="宋体"/>
                <w:sz w:val="19"/>
              </w:rPr>
              <w:t>合同签订后</w:t>
            </w:r>
            <w:r>
              <w:rPr>
                <w:rFonts w:hint="eastAsia" w:ascii="宋体" w:hAnsi="宋体" w:eastAsia="宋体" w:cs="宋体"/>
                <w:w w:val="110"/>
                <w:sz w:val="19"/>
              </w:rPr>
              <w:t>2</w:t>
            </w:r>
            <w:r>
              <w:rPr>
                <w:rFonts w:hint="eastAsia" w:ascii="宋体" w:hAnsi="宋体" w:eastAsia="宋体" w:cs="宋体"/>
                <w:sz w:val="19"/>
              </w:rPr>
              <w:t>个月内供货并调试安装完成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3805" w:type="dxa"/>
          </w:tcPr>
          <w:p>
            <w:pPr>
              <w:pStyle w:val="19"/>
              <w:spacing w:before="60"/>
              <w:ind w:left="100"/>
              <w:rPr>
                <w:rFonts w:hint="eastAsia" w:ascii="宋体" w:hAnsi="宋体" w:eastAsia="宋体" w:cs="宋体"/>
                <w:sz w:val="19"/>
              </w:rPr>
            </w:pPr>
            <w:r>
              <w:rPr>
                <w:rFonts w:hint="eastAsia" w:ascii="宋体" w:hAnsi="宋体" w:eastAsia="宋体" w:cs="宋体"/>
                <w:sz w:val="19"/>
              </w:rPr>
              <w:t>其他</w:t>
            </w:r>
          </w:p>
        </w:tc>
        <w:tc>
          <w:tcPr>
            <w:tcW w:w="6746" w:type="dxa"/>
          </w:tcPr>
          <w:p>
            <w:pPr>
              <w:pStyle w:val="19"/>
              <w:rPr>
                <w:rFonts w:hint="eastAsia" w:ascii="宋体" w:hAnsi="宋体" w:eastAsia="宋体" w:cs="宋体"/>
                <w:sz w:val="18"/>
              </w:rPr>
            </w:pPr>
          </w:p>
        </w:tc>
      </w:tr>
    </w:tbl>
    <w:p>
      <w:pPr>
        <w:pStyle w:val="18"/>
        <w:numPr>
          <w:ilvl w:val="0"/>
          <w:numId w:val="33"/>
        </w:numPr>
        <w:tabs>
          <w:tab w:val="left" w:pos="333"/>
        </w:tabs>
        <w:spacing w:before="0" w:after="0" w:line="240" w:lineRule="auto"/>
        <w:ind w:left="332" w:right="0" w:hanging="207"/>
        <w:jc w:val="left"/>
        <w:rPr>
          <w:rFonts w:hint="eastAsia" w:ascii="宋体" w:hAnsi="宋体" w:eastAsia="宋体" w:cs="宋体"/>
          <w:b/>
          <w:sz w:val="19"/>
        </w:rPr>
      </w:pPr>
      <w:r>
        <w:rPr>
          <w:rFonts w:hint="eastAsia" w:ascii="宋体" w:hAnsi="宋体" w:eastAsia="宋体" w:cs="宋体"/>
          <w:b/>
          <w:spacing w:val="10"/>
          <w:sz w:val="19"/>
        </w:rPr>
        <w:t>技术标准与要求</w:t>
      </w:r>
    </w:p>
    <w:p>
      <w:pPr>
        <w:pStyle w:val="9"/>
        <w:spacing w:before="4"/>
        <w:rPr>
          <w:rFonts w:hint="eastAsia" w:ascii="宋体" w:hAnsi="宋体" w:eastAsia="宋体" w:cs="宋体"/>
          <w:b/>
          <w:sz w:val="5"/>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32"/>
        <w:gridCol w:w="1308"/>
        <w:gridCol w:w="960"/>
        <w:gridCol w:w="1512"/>
        <w:gridCol w:w="432"/>
        <w:gridCol w:w="612"/>
        <w:gridCol w:w="1464"/>
        <w:gridCol w:w="1464"/>
        <w:gridCol w:w="1248"/>
        <w:gridCol w:w="111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shd w:val="clear" w:color="auto" w:fill="F4F4F4"/>
          </w:tcPr>
          <w:p>
            <w:pPr>
              <w:pStyle w:val="19"/>
              <w:spacing w:before="60"/>
              <w:ind w:left="106"/>
              <w:rPr>
                <w:rFonts w:hint="eastAsia" w:ascii="宋体" w:hAnsi="宋体" w:eastAsia="宋体" w:cs="宋体"/>
                <w:b/>
                <w:sz w:val="19"/>
              </w:rPr>
            </w:pPr>
            <w:r>
              <w:rPr>
                <w:rFonts w:hint="eastAsia" w:ascii="宋体" w:hAnsi="宋体" w:eastAsia="宋体" w:cs="宋体"/>
                <w:b/>
                <w:w w:val="100"/>
                <w:sz w:val="19"/>
              </w:rPr>
              <w:t>序</w:t>
            </w:r>
          </w:p>
          <w:p>
            <w:pPr>
              <w:pStyle w:val="19"/>
              <w:spacing w:before="141"/>
              <w:ind w:left="106"/>
              <w:rPr>
                <w:rFonts w:hint="eastAsia" w:ascii="宋体" w:hAnsi="宋体" w:eastAsia="宋体" w:cs="宋体"/>
                <w:b/>
                <w:sz w:val="19"/>
              </w:rPr>
            </w:pPr>
            <w:r>
              <w:rPr>
                <w:rFonts w:hint="eastAsia" w:ascii="宋体" w:hAnsi="宋体" w:eastAsia="宋体" w:cs="宋体"/>
                <w:b/>
                <w:w w:val="100"/>
                <w:sz w:val="19"/>
              </w:rPr>
              <w:t>号</w:t>
            </w:r>
          </w:p>
        </w:tc>
        <w:tc>
          <w:tcPr>
            <w:tcW w:w="1308" w:type="dxa"/>
            <w:shd w:val="clear" w:color="auto" w:fill="F4F4F4"/>
          </w:tcPr>
          <w:p>
            <w:pPr>
              <w:pStyle w:val="19"/>
              <w:spacing w:before="60"/>
              <w:ind w:left="145" w:right="154"/>
              <w:jc w:val="center"/>
              <w:rPr>
                <w:rFonts w:hint="eastAsia" w:ascii="宋体" w:hAnsi="宋体" w:eastAsia="宋体" w:cs="宋体"/>
                <w:b/>
                <w:sz w:val="19"/>
              </w:rPr>
            </w:pPr>
            <w:r>
              <w:rPr>
                <w:rFonts w:hint="eastAsia" w:ascii="宋体" w:hAnsi="宋体" w:eastAsia="宋体" w:cs="宋体"/>
                <w:b/>
                <w:sz w:val="19"/>
              </w:rPr>
              <w:t>核心产品（</w:t>
            </w:r>
          </w:p>
          <w:p>
            <w:pPr>
              <w:pStyle w:val="19"/>
              <w:spacing w:before="80"/>
              <w:ind w:left="145" w:right="148"/>
              <w:jc w:val="center"/>
              <w:rPr>
                <w:rFonts w:hint="eastAsia" w:ascii="宋体" w:hAnsi="宋体" w:eastAsia="宋体" w:cs="宋体"/>
                <w:b/>
                <w:sz w:val="19"/>
              </w:rPr>
            </w:pPr>
            <w:r>
              <w:rPr>
                <w:rFonts w:hint="eastAsia" w:ascii="宋体" w:hAnsi="宋体" w:eastAsia="宋体" w:cs="宋体"/>
                <w:b/>
                <w:sz w:val="19"/>
              </w:rPr>
              <w:t>“△”）</w:t>
            </w:r>
          </w:p>
        </w:tc>
        <w:tc>
          <w:tcPr>
            <w:tcW w:w="960" w:type="dxa"/>
            <w:shd w:val="clear" w:color="auto" w:fill="F4F4F4"/>
          </w:tcPr>
          <w:p>
            <w:pPr>
              <w:pStyle w:val="19"/>
              <w:spacing w:before="60"/>
              <w:ind w:left="162" w:right="170"/>
              <w:jc w:val="center"/>
              <w:rPr>
                <w:rFonts w:hint="eastAsia" w:ascii="宋体" w:hAnsi="宋体" w:eastAsia="宋体" w:cs="宋体"/>
                <w:b/>
                <w:sz w:val="19"/>
              </w:rPr>
            </w:pPr>
            <w:r>
              <w:rPr>
                <w:rFonts w:hint="eastAsia" w:ascii="宋体" w:hAnsi="宋体" w:eastAsia="宋体" w:cs="宋体"/>
                <w:b/>
                <w:sz w:val="19"/>
              </w:rPr>
              <w:t>品目名</w:t>
            </w:r>
          </w:p>
          <w:p>
            <w:pPr>
              <w:pStyle w:val="19"/>
              <w:spacing w:before="141"/>
              <w:ind w:right="8"/>
              <w:jc w:val="center"/>
              <w:rPr>
                <w:rFonts w:hint="eastAsia" w:ascii="宋体" w:hAnsi="宋体" w:eastAsia="宋体" w:cs="宋体"/>
                <w:b/>
                <w:sz w:val="19"/>
              </w:rPr>
            </w:pPr>
            <w:r>
              <w:rPr>
                <w:rFonts w:hint="eastAsia" w:ascii="宋体" w:hAnsi="宋体" w:eastAsia="宋体" w:cs="宋体"/>
                <w:b/>
                <w:w w:val="100"/>
                <w:sz w:val="19"/>
              </w:rPr>
              <w:t>称</w:t>
            </w:r>
          </w:p>
        </w:tc>
        <w:tc>
          <w:tcPr>
            <w:tcW w:w="1512" w:type="dxa"/>
            <w:shd w:val="clear" w:color="auto" w:fill="F4F4F4"/>
          </w:tcPr>
          <w:p>
            <w:pPr>
              <w:pStyle w:val="19"/>
              <w:spacing w:before="9"/>
              <w:rPr>
                <w:rFonts w:hint="eastAsia" w:ascii="宋体" w:hAnsi="宋体" w:eastAsia="宋体" w:cs="宋体"/>
                <w:b/>
                <w:sz w:val="19"/>
              </w:rPr>
            </w:pPr>
          </w:p>
          <w:p>
            <w:pPr>
              <w:pStyle w:val="19"/>
              <w:ind w:left="341"/>
              <w:rPr>
                <w:rFonts w:hint="eastAsia" w:ascii="宋体" w:hAnsi="宋体" w:eastAsia="宋体" w:cs="宋体"/>
                <w:b/>
                <w:sz w:val="19"/>
              </w:rPr>
            </w:pPr>
            <w:r>
              <w:rPr>
                <w:rFonts w:hint="eastAsia" w:ascii="宋体" w:hAnsi="宋体" w:eastAsia="宋体" w:cs="宋体"/>
                <w:b/>
                <w:sz w:val="19"/>
              </w:rPr>
              <w:t>标的名称</w:t>
            </w:r>
          </w:p>
        </w:tc>
        <w:tc>
          <w:tcPr>
            <w:tcW w:w="432" w:type="dxa"/>
            <w:shd w:val="clear" w:color="auto" w:fill="F4F4F4"/>
          </w:tcPr>
          <w:p>
            <w:pPr>
              <w:pStyle w:val="19"/>
              <w:spacing w:before="60"/>
              <w:ind w:left="107"/>
              <w:rPr>
                <w:rFonts w:hint="eastAsia" w:ascii="宋体" w:hAnsi="宋体" w:eastAsia="宋体" w:cs="宋体"/>
                <w:b/>
                <w:sz w:val="19"/>
              </w:rPr>
            </w:pPr>
            <w:r>
              <w:rPr>
                <w:rFonts w:hint="eastAsia" w:ascii="宋体" w:hAnsi="宋体" w:eastAsia="宋体" w:cs="宋体"/>
                <w:b/>
                <w:w w:val="100"/>
                <w:sz w:val="19"/>
              </w:rPr>
              <w:t>单</w:t>
            </w:r>
          </w:p>
          <w:p>
            <w:pPr>
              <w:pStyle w:val="19"/>
              <w:spacing w:before="141"/>
              <w:ind w:left="107"/>
              <w:rPr>
                <w:rFonts w:hint="eastAsia" w:ascii="宋体" w:hAnsi="宋体" w:eastAsia="宋体" w:cs="宋体"/>
                <w:b/>
                <w:sz w:val="19"/>
              </w:rPr>
            </w:pPr>
            <w:r>
              <w:rPr>
                <w:rFonts w:hint="eastAsia" w:ascii="宋体" w:hAnsi="宋体" w:eastAsia="宋体" w:cs="宋体"/>
                <w:b/>
                <w:w w:val="100"/>
                <w:sz w:val="19"/>
              </w:rPr>
              <w:t>位</w:t>
            </w:r>
          </w:p>
        </w:tc>
        <w:tc>
          <w:tcPr>
            <w:tcW w:w="612" w:type="dxa"/>
            <w:shd w:val="clear" w:color="auto" w:fill="F4F4F4"/>
          </w:tcPr>
          <w:p>
            <w:pPr>
              <w:pStyle w:val="19"/>
              <w:spacing w:before="9"/>
              <w:rPr>
                <w:rFonts w:hint="eastAsia" w:ascii="宋体" w:hAnsi="宋体" w:eastAsia="宋体" w:cs="宋体"/>
                <w:b/>
                <w:sz w:val="19"/>
              </w:rPr>
            </w:pPr>
          </w:p>
          <w:p>
            <w:pPr>
              <w:pStyle w:val="19"/>
              <w:ind w:left="95"/>
              <w:rPr>
                <w:rFonts w:hint="eastAsia" w:ascii="宋体" w:hAnsi="宋体" w:eastAsia="宋体" w:cs="宋体"/>
                <w:b/>
                <w:sz w:val="19"/>
              </w:rPr>
            </w:pPr>
            <w:r>
              <w:rPr>
                <w:rFonts w:hint="eastAsia" w:ascii="宋体" w:hAnsi="宋体" w:eastAsia="宋体" w:cs="宋体"/>
                <w:b/>
                <w:sz w:val="19"/>
              </w:rPr>
              <w:t>数量</w:t>
            </w:r>
          </w:p>
        </w:tc>
        <w:tc>
          <w:tcPr>
            <w:tcW w:w="1464" w:type="dxa"/>
            <w:shd w:val="clear" w:color="auto" w:fill="F4F4F4"/>
          </w:tcPr>
          <w:p>
            <w:pPr>
              <w:pStyle w:val="19"/>
              <w:spacing w:before="60"/>
              <w:ind w:left="128" w:right="134"/>
              <w:jc w:val="center"/>
              <w:rPr>
                <w:rFonts w:hint="eastAsia" w:ascii="宋体" w:hAnsi="宋体" w:eastAsia="宋体" w:cs="宋体"/>
                <w:b/>
                <w:sz w:val="19"/>
              </w:rPr>
            </w:pPr>
            <w:r>
              <w:rPr>
                <w:rFonts w:hint="eastAsia" w:ascii="宋体" w:hAnsi="宋体" w:eastAsia="宋体" w:cs="宋体"/>
                <w:b/>
                <w:sz w:val="19"/>
              </w:rPr>
              <w:t>分项预算单价</w:t>
            </w:r>
          </w:p>
          <w:p>
            <w:pPr>
              <w:pStyle w:val="19"/>
              <w:spacing w:before="141"/>
              <w:ind w:left="128" w:right="134"/>
              <w:jc w:val="center"/>
              <w:rPr>
                <w:rFonts w:hint="eastAsia" w:ascii="宋体" w:hAnsi="宋体" w:eastAsia="宋体" w:cs="宋体"/>
                <w:b/>
                <w:sz w:val="19"/>
              </w:rPr>
            </w:pPr>
            <w:r>
              <w:rPr>
                <w:rFonts w:hint="eastAsia" w:ascii="宋体" w:hAnsi="宋体" w:eastAsia="宋体" w:cs="宋体"/>
                <w:b/>
                <w:sz w:val="19"/>
              </w:rPr>
              <w:t>（元）</w:t>
            </w:r>
          </w:p>
        </w:tc>
        <w:tc>
          <w:tcPr>
            <w:tcW w:w="1464" w:type="dxa"/>
            <w:shd w:val="clear" w:color="auto" w:fill="F4F4F4"/>
          </w:tcPr>
          <w:p>
            <w:pPr>
              <w:pStyle w:val="19"/>
              <w:spacing w:before="60"/>
              <w:ind w:left="129" w:right="134"/>
              <w:jc w:val="center"/>
              <w:rPr>
                <w:rFonts w:hint="eastAsia" w:ascii="宋体" w:hAnsi="宋体" w:eastAsia="宋体" w:cs="宋体"/>
                <w:b/>
                <w:sz w:val="19"/>
              </w:rPr>
            </w:pPr>
            <w:r>
              <w:rPr>
                <w:rFonts w:hint="eastAsia" w:ascii="宋体" w:hAnsi="宋体" w:eastAsia="宋体" w:cs="宋体"/>
                <w:b/>
                <w:sz w:val="19"/>
              </w:rPr>
              <w:t>分项预算总价</w:t>
            </w:r>
          </w:p>
          <w:p>
            <w:pPr>
              <w:pStyle w:val="19"/>
              <w:spacing w:before="141"/>
              <w:ind w:left="129" w:right="134"/>
              <w:jc w:val="center"/>
              <w:rPr>
                <w:rFonts w:hint="eastAsia" w:ascii="宋体" w:hAnsi="宋体" w:eastAsia="宋体" w:cs="宋体"/>
                <w:b/>
                <w:sz w:val="19"/>
              </w:rPr>
            </w:pPr>
            <w:r>
              <w:rPr>
                <w:rFonts w:hint="eastAsia" w:ascii="宋体" w:hAnsi="宋体" w:eastAsia="宋体" w:cs="宋体"/>
                <w:b/>
                <w:sz w:val="19"/>
              </w:rPr>
              <w:t>（元）</w:t>
            </w:r>
          </w:p>
        </w:tc>
        <w:tc>
          <w:tcPr>
            <w:tcW w:w="1248" w:type="dxa"/>
            <w:shd w:val="clear" w:color="auto" w:fill="F4F4F4"/>
          </w:tcPr>
          <w:p>
            <w:pPr>
              <w:pStyle w:val="19"/>
              <w:spacing w:before="9"/>
              <w:rPr>
                <w:rFonts w:hint="eastAsia" w:ascii="宋体" w:hAnsi="宋体" w:eastAsia="宋体" w:cs="宋体"/>
                <w:b/>
                <w:sz w:val="19"/>
              </w:rPr>
            </w:pPr>
          </w:p>
          <w:p>
            <w:pPr>
              <w:pStyle w:val="19"/>
              <w:ind w:left="210"/>
              <w:rPr>
                <w:rFonts w:hint="eastAsia" w:ascii="宋体" w:hAnsi="宋体" w:eastAsia="宋体" w:cs="宋体"/>
                <w:b/>
                <w:sz w:val="19"/>
              </w:rPr>
            </w:pPr>
            <w:r>
              <w:rPr>
                <w:rFonts w:hint="eastAsia" w:ascii="宋体" w:hAnsi="宋体" w:eastAsia="宋体" w:cs="宋体"/>
                <w:b/>
                <w:sz w:val="19"/>
              </w:rPr>
              <w:t>所属行业</w:t>
            </w:r>
          </w:p>
        </w:tc>
        <w:tc>
          <w:tcPr>
            <w:tcW w:w="1116" w:type="dxa"/>
            <w:shd w:val="clear" w:color="auto" w:fill="F4F4F4"/>
          </w:tcPr>
          <w:p>
            <w:pPr>
              <w:pStyle w:val="19"/>
              <w:spacing w:before="60"/>
              <w:ind w:left="147" w:right="151"/>
              <w:jc w:val="center"/>
              <w:rPr>
                <w:rFonts w:hint="eastAsia" w:ascii="宋体" w:hAnsi="宋体" w:eastAsia="宋体" w:cs="宋体"/>
                <w:b/>
                <w:sz w:val="19"/>
              </w:rPr>
            </w:pPr>
            <w:r>
              <w:rPr>
                <w:rFonts w:hint="eastAsia" w:ascii="宋体" w:hAnsi="宋体" w:eastAsia="宋体" w:cs="宋体"/>
                <w:b/>
                <w:sz w:val="19"/>
              </w:rPr>
              <w:t>招标技术</w:t>
            </w:r>
          </w:p>
          <w:p>
            <w:pPr>
              <w:pStyle w:val="19"/>
              <w:spacing w:before="141"/>
              <w:ind w:left="147" w:right="151"/>
              <w:jc w:val="center"/>
              <w:rPr>
                <w:rFonts w:hint="eastAsia" w:ascii="宋体" w:hAnsi="宋体" w:eastAsia="宋体" w:cs="宋体"/>
                <w:b/>
                <w:sz w:val="19"/>
              </w:rPr>
            </w:pPr>
            <w:r>
              <w:rPr>
                <w:rFonts w:hint="eastAsia" w:ascii="宋体" w:hAnsi="宋体" w:eastAsia="宋体" w:cs="宋体"/>
                <w:b/>
                <w:sz w:val="19"/>
              </w:rPr>
              <w:t>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9"/>
              <w:rPr>
                <w:rFonts w:hint="eastAsia" w:ascii="宋体" w:hAnsi="宋体" w:eastAsia="宋体" w:cs="宋体"/>
                <w:b/>
                <w:sz w:val="19"/>
              </w:rPr>
            </w:pPr>
          </w:p>
          <w:p>
            <w:pPr>
              <w:pStyle w:val="19"/>
              <w:ind w:left="14"/>
              <w:jc w:val="center"/>
              <w:rPr>
                <w:rFonts w:hint="eastAsia" w:ascii="宋体" w:hAnsi="宋体" w:eastAsia="宋体" w:cs="宋体"/>
                <w:sz w:val="19"/>
              </w:rPr>
            </w:pPr>
            <w:r>
              <w:rPr>
                <w:rFonts w:hint="eastAsia" w:ascii="宋体" w:hAnsi="宋体" w:eastAsia="宋体" w:cs="宋体"/>
                <w:w w:val="128"/>
                <w:sz w:val="19"/>
              </w:rPr>
              <w:t>1</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w w:val="105"/>
                <w:sz w:val="19"/>
              </w:rPr>
              <w:t>LED显示屏幕</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w:t>
            </w:r>
          </w:p>
        </w:tc>
        <w:tc>
          <w:tcPr>
            <w:tcW w:w="612" w:type="dxa"/>
          </w:tcPr>
          <w:p>
            <w:pPr>
              <w:pStyle w:val="19"/>
              <w:spacing w:before="60"/>
              <w:ind w:left="209"/>
              <w:rPr>
                <w:rFonts w:hint="eastAsia" w:ascii="宋体" w:hAnsi="宋体" w:eastAsia="宋体" w:cs="宋体"/>
                <w:sz w:val="19"/>
              </w:rPr>
            </w:pPr>
            <w:r>
              <w:rPr>
                <w:rFonts w:hint="eastAsia" w:ascii="宋体" w:hAnsi="宋体" w:eastAsia="宋体" w:cs="宋体"/>
                <w:w w:val="140"/>
                <w:sz w:val="19"/>
              </w:rPr>
              <w:t>14.</w:t>
            </w:r>
          </w:p>
          <w:p>
            <w:pPr>
              <w:pStyle w:val="19"/>
              <w:spacing w:before="141"/>
              <w:ind w:left="269"/>
              <w:rPr>
                <w:rFonts w:hint="eastAsia" w:ascii="宋体" w:hAnsi="宋体" w:eastAsia="宋体" w:cs="宋体"/>
                <w:sz w:val="19"/>
              </w:rPr>
            </w:pPr>
            <w:r>
              <w:rPr>
                <w:rFonts w:hint="eastAsia" w:ascii="宋体" w:hAnsi="宋体" w:eastAsia="宋体" w:cs="宋体"/>
                <w:w w:val="130"/>
                <w:sz w:val="19"/>
              </w:rPr>
              <w:t>34</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22,000.00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315,480.00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w w:val="101"/>
                <w:sz w:val="19"/>
              </w:rPr>
              <w:t>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9"/>
              <w:rPr>
                <w:rFonts w:hint="eastAsia" w:ascii="宋体" w:hAnsi="宋体" w:eastAsia="宋体" w:cs="宋体"/>
                <w:b/>
                <w:sz w:val="19"/>
              </w:rPr>
            </w:pPr>
          </w:p>
          <w:p>
            <w:pPr>
              <w:pStyle w:val="19"/>
              <w:ind w:left="14"/>
              <w:jc w:val="center"/>
              <w:rPr>
                <w:rFonts w:hint="eastAsia" w:ascii="宋体" w:hAnsi="宋体" w:eastAsia="宋体" w:cs="宋体"/>
                <w:sz w:val="19"/>
              </w:rPr>
            </w:pPr>
            <w:r>
              <w:rPr>
                <w:rFonts w:hint="eastAsia" w:ascii="宋体" w:hAnsi="宋体" w:eastAsia="宋体" w:cs="宋体"/>
                <w:w w:val="128"/>
                <w:sz w:val="19"/>
              </w:rPr>
              <w:t>2</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视频处理器</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25,000.00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25,000.00</w:t>
            </w:r>
          </w:p>
        </w:tc>
        <w:tc>
          <w:tcPr>
            <w:tcW w:w="1248" w:type="dxa"/>
          </w:tcPr>
          <w:p>
            <w:pPr>
              <w:pStyle w:val="19"/>
              <w:spacing w:before="11"/>
              <w:rPr>
                <w:rFonts w:hint="eastAsia" w:ascii="宋体" w:hAnsi="宋体" w:eastAsia="宋体" w:cs="宋体"/>
                <w:b/>
                <w:sz w:val="16"/>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w w:val="101"/>
                <w:sz w:val="19"/>
              </w:rPr>
              <w:t>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9"/>
              <w:rPr>
                <w:rFonts w:hint="eastAsia" w:ascii="宋体" w:hAnsi="宋体" w:eastAsia="宋体" w:cs="宋体"/>
                <w:b/>
                <w:sz w:val="19"/>
              </w:rPr>
            </w:pPr>
          </w:p>
          <w:p>
            <w:pPr>
              <w:pStyle w:val="19"/>
              <w:ind w:left="14"/>
              <w:jc w:val="center"/>
              <w:rPr>
                <w:rFonts w:hint="eastAsia" w:ascii="宋体" w:hAnsi="宋体" w:eastAsia="宋体" w:cs="宋体"/>
                <w:sz w:val="19"/>
              </w:rPr>
            </w:pPr>
            <w:r>
              <w:rPr>
                <w:rFonts w:hint="eastAsia" w:ascii="宋体" w:hAnsi="宋体" w:eastAsia="宋体" w:cs="宋体"/>
                <w:w w:val="128"/>
                <w:sz w:val="19"/>
              </w:rPr>
              <w:t>3</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60"/>
              <w:ind w:left="101"/>
              <w:rPr>
                <w:rFonts w:hint="eastAsia" w:ascii="宋体" w:hAnsi="宋体" w:eastAsia="宋体" w:cs="宋体"/>
                <w:sz w:val="19"/>
              </w:rPr>
            </w:pPr>
            <w:r>
              <w:rPr>
                <w:rFonts w:hint="eastAsia" w:ascii="宋体" w:hAnsi="宋体" w:eastAsia="宋体" w:cs="宋体"/>
                <w:sz w:val="19"/>
              </w:rPr>
              <w:t>屏幕结构及包</w:t>
            </w:r>
          </w:p>
          <w:p>
            <w:pPr>
              <w:pStyle w:val="19"/>
              <w:spacing w:before="141"/>
              <w:ind w:left="101"/>
              <w:rPr>
                <w:rFonts w:hint="eastAsia" w:ascii="宋体" w:hAnsi="宋体" w:eastAsia="宋体" w:cs="宋体"/>
                <w:sz w:val="19"/>
              </w:rPr>
            </w:pPr>
            <w:r>
              <w:rPr>
                <w:rFonts w:hint="eastAsia" w:ascii="宋体" w:hAnsi="宋体" w:eastAsia="宋体" w:cs="宋体"/>
                <w:w w:val="101"/>
                <w:sz w:val="19"/>
              </w:rPr>
              <w:t>边</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项</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15,000.00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15,000.00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w w:val="101"/>
                <w:sz w:val="19"/>
              </w:rPr>
              <w:t>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9"/>
              <w:rPr>
                <w:rFonts w:hint="eastAsia" w:ascii="宋体" w:hAnsi="宋体" w:eastAsia="宋体" w:cs="宋体"/>
                <w:b/>
                <w:sz w:val="19"/>
              </w:rPr>
            </w:pPr>
          </w:p>
          <w:p>
            <w:pPr>
              <w:pStyle w:val="19"/>
              <w:ind w:left="14"/>
              <w:jc w:val="center"/>
              <w:rPr>
                <w:rFonts w:hint="eastAsia" w:ascii="宋体" w:hAnsi="宋体" w:eastAsia="宋体" w:cs="宋体"/>
                <w:sz w:val="19"/>
              </w:rPr>
            </w:pPr>
            <w:r>
              <w:rPr>
                <w:rFonts w:hint="eastAsia" w:ascii="宋体" w:hAnsi="宋体" w:eastAsia="宋体" w:cs="宋体"/>
                <w:w w:val="128"/>
                <w:sz w:val="19"/>
              </w:rPr>
              <w:t>4</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60"/>
              <w:ind w:left="101"/>
              <w:rPr>
                <w:rFonts w:hint="eastAsia" w:ascii="宋体" w:hAnsi="宋体" w:eastAsia="宋体" w:cs="宋体"/>
                <w:sz w:val="19"/>
              </w:rPr>
            </w:pPr>
            <w:r>
              <w:rPr>
                <w:rFonts w:hint="eastAsia" w:ascii="宋体" w:hAnsi="宋体" w:eastAsia="宋体" w:cs="宋体"/>
                <w:sz w:val="19"/>
              </w:rPr>
              <w:t>立体眼镜发射</w:t>
            </w:r>
          </w:p>
          <w:p>
            <w:pPr>
              <w:pStyle w:val="19"/>
              <w:spacing w:before="141"/>
              <w:ind w:left="101"/>
              <w:rPr>
                <w:rFonts w:hint="eastAsia" w:ascii="宋体" w:hAnsi="宋体" w:eastAsia="宋体" w:cs="宋体"/>
                <w:sz w:val="19"/>
              </w:rPr>
            </w:pPr>
            <w:r>
              <w:rPr>
                <w:rFonts w:hint="eastAsia" w:ascii="宋体" w:hAnsi="宋体" w:eastAsia="宋体" w:cs="宋体"/>
                <w:w w:val="101"/>
                <w:sz w:val="19"/>
              </w:rPr>
              <w:t>器</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3,000.00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3,000.00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w w:val="101"/>
                <w:sz w:val="19"/>
              </w:rPr>
              <w:t>四</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9"/>
              <w:rPr>
                <w:rFonts w:hint="eastAsia" w:ascii="宋体" w:hAnsi="宋体" w:eastAsia="宋体" w:cs="宋体"/>
                <w:b/>
                <w:sz w:val="19"/>
              </w:rPr>
            </w:pPr>
          </w:p>
          <w:p>
            <w:pPr>
              <w:pStyle w:val="19"/>
              <w:ind w:left="14"/>
              <w:jc w:val="center"/>
              <w:rPr>
                <w:rFonts w:hint="eastAsia" w:ascii="宋体" w:hAnsi="宋体" w:eastAsia="宋体" w:cs="宋体"/>
                <w:sz w:val="19"/>
              </w:rPr>
            </w:pPr>
            <w:r>
              <w:rPr>
                <w:rFonts w:hint="eastAsia" w:ascii="宋体" w:hAnsi="宋体" w:eastAsia="宋体" w:cs="宋体"/>
                <w:w w:val="128"/>
                <w:sz w:val="19"/>
              </w:rPr>
              <w:t>5</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立体眼镜</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付</w:t>
            </w:r>
          </w:p>
        </w:tc>
        <w:tc>
          <w:tcPr>
            <w:tcW w:w="612" w:type="dxa"/>
          </w:tcPr>
          <w:p>
            <w:pPr>
              <w:pStyle w:val="19"/>
              <w:spacing w:before="60"/>
              <w:ind w:left="209"/>
              <w:rPr>
                <w:rFonts w:hint="eastAsia" w:ascii="宋体" w:hAnsi="宋体" w:eastAsia="宋体" w:cs="宋体"/>
                <w:sz w:val="19"/>
              </w:rPr>
            </w:pPr>
            <w:r>
              <w:rPr>
                <w:rFonts w:hint="eastAsia" w:ascii="宋体" w:hAnsi="宋体" w:eastAsia="宋体" w:cs="宋体"/>
                <w:w w:val="140"/>
                <w:sz w:val="19"/>
              </w:rPr>
              <w:t>50.</w:t>
            </w:r>
          </w:p>
          <w:p>
            <w:pPr>
              <w:pStyle w:val="19"/>
              <w:spacing w:before="141"/>
              <w:ind w:left="269"/>
              <w:rPr>
                <w:rFonts w:hint="eastAsia" w:ascii="宋体" w:hAnsi="宋体" w:eastAsia="宋体" w:cs="宋体"/>
                <w:sz w:val="19"/>
              </w:rPr>
            </w:pPr>
            <w:r>
              <w:rPr>
                <w:rFonts w:hint="eastAsia" w:ascii="宋体" w:hAnsi="宋体" w:eastAsia="宋体" w:cs="宋体"/>
                <w:w w:val="130"/>
                <w:sz w:val="19"/>
              </w:rPr>
              <w:t>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0"/>
                <w:sz w:val="19"/>
              </w:rPr>
              <w:t>300.00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15,000.00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w w:val="101"/>
                <w:sz w:val="19"/>
              </w:rPr>
              <w:t>五</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9"/>
              <w:rPr>
                <w:rFonts w:hint="eastAsia" w:ascii="宋体" w:hAnsi="宋体" w:eastAsia="宋体" w:cs="宋体"/>
                <w:b/>
                <w:sz w:val="19"/>
              </w:rPr>
            </w:pPr>
          </w:p>
          <w:p>
            <w:pPr>
              <w:pStyle w:val="19"/>
              <w:ind w:left="14"/>
              <w:jc w:val="center"/>
              <w:rPr>
                <w:rFonts w:hint="eastAsia" w:ascii="宋体" w:hAnsi="宋体" w:eastAsia="宋体" w:cs="宋体"/>
                <w:sz w:val="19"/>
              </w:rPr>
            </w:pPr>
            <w:r>
              <w:rPr>
                <w:rFonts w:hint="eastAsia" w:ascii="宋体" w:hAnsi="宋体" w:eastAsia="宋体" w:cs="宋体"/>
                <w:w w:val="128"/>
                <w:sz w:val="19"/>
              </w:rPr>
              <w:t>6</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图形工作站</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25,000.00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25,000.00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w w:val="101"/>
                <w:sz w:val="19"/>
              </w:rPr>
              <w:t>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9"/>
              <w:rPr>
                <w:rFonts w:hint="eastAsia" w:ascii="宋体" w:hAnsi="宋体" w:eastAsia="宋体" w:cs="宋体"/>
                <w:b/>
                <w:sz w:val="19"/>
              </w:rPr>
            </w:pPr>
          </w:p>
          <w:p>
            <w:pPr>
              <w:pStyle w:val="19"/>
              <w:ind w:left="14"/>
              <w:jc w:val="center"/>
              <w:rPr>
                <w:rFonts w:hint="eastAsia" w:ascii="宋体" w:hAnsi="宋体" w:eastAsia="宋体" w:cs="宋体"/>
                <w:sz w:val="19"/>
              </w:rPr>
            </w:pPr>
            <w:r>
              <w:rPr>
                <w:rFonts w:hint="eastAsia" w:ascii="宋体" w:hAnsi="宋体" w:eastAsia="宋体" w:cs="宋体"/>
                <w:w w:val="128"/>
                <w:sz w:val="19"/>
              </w:rPr>
              <w:t>7</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60"/>
              <w:ind w:left="101"/>
              <w:rPr>
                <w:rFonts w:hint="eastAsia" w:ascii="宋体" w:hAnsi="宋体" w:eastAsia="宋体" w:cs="宋体"/>
                <w:sz w:val="19"/>
              </w:rPr>
            </w:pPr>
            <w:r>
              <w:rPr>
                <w:rFonts w:hint="eastAsia" w:ascii="宋体" w:hAnsi="宋体" w:eastAsia="宋体" w:cs="宋体"/>
                <w:sz w:val="19"/>
              </w:rPr>
              <w:t>虚拟现实桥接</w:t>
            </w:r>
          </w:p>
          <w:p>
            <w:pPr>
              <w:pStyle w:val="19"/>
              <w:spacing w:before="141"/>
              <w:ind w:left="101"/>
              <w:rPr>
                <w:rFonts w:hint="eastAsia" w:ascii="宋体" w:hAnsi="宋体" w:eastAsia="宋体" w:cs="宋体"/>
                <w:sz w:val="19"/>
              </w:rPr>
            </w:pPr>
            <w:r>
              <w:rPr>
                <w:rFonts w:hint="eastAsia" w:ascii="宋体" w:hAnsi="宋体" w:eastAsia="宋体" w:cs="宋体"/>
                <w:sz w:val="19"/>
              </w:rPr>
              <w:t>软件</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套</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50,000.00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50,000.00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w w:val="101"/>
                <w:sz w:val="19"/>
              </w:rPr>
              <w:t>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9"/>
              <w:rPr>
                <w:rFonts w:hint="eastAsia" w:ascii="宋体" w:hAnsi="宋体" w:eastAsia="宋体" w:cs="宋体"/>
                <w:b/>
                <w:sz w:val="19"/>
              </w:rPr>
            </w:pPr>
          </w:p>
          <w:p>
            <w:pPr>
              <w:pStyle w:val="19"/>
              <w:ind w:left="14"/>
              <w:jc w:val="center"/>
              <w:rPr>
                <w:rFonts w:hint="eastAsia" w:ascii="宋体" w:hAnsi="宋体" w:eastAsia="宋体" w:cs="宋体"/>
                <w:sz w:val="19"/>
              </w:rPr>
            </w:pPr>
            <w:r>
              <w:rPr>
                <w:rFonts w:hint="eastAsia" w:ascii="宋体" w:hAnsi="宋体" w:eastAsia="宋体" w:cs="宋体"/>
                <w:w w:val="128"/>
                <w:sz w:val="19"/>
              </w:rPr>
              <w:t>8</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180"/>
              <w:ind w:left="101"/>
              <w:rPr>
                <w:rFonts w:hint="eastAsia" w:ascii="宋体" w:hAnsi="宋体" w:eastAsia="宋体" w:cs="宋体"/>
                <w:sz w:val="19"/>
              </w:rPr>
            </w:pPr>
            <w:r>
              <w:rPr>
                <w:rFonts w:hint="eastAsia" w:ascii="宋体" w:hAnsi="宋体" w:eastAsia="宋体" w:cs="宋体"/>
                <w:w w:val="110"/>
                <w:sz w:val="19"/>
              </w:rPr>
              <w:t>3D眼镜充电柜</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7,500.00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7,500.00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w w:val="101"/>
                <w:sz w:val="19"/>
              </w:rPr>
              <w:t>八</w:t>
            </w:r>
          </w:p>
        </w:tc>
      </w:tr>
    </w:tbl>
    <w:p>
      <w:pPr>
        <w:spacing w:after="0"/>
        <w:rPr>
          <w:rFonts w:hint="eastAsia" w:ascii="宋体" w:hAnsi="宋体" w:eastAsia="宋体" w:cs="宋体"/>
          <w:sz w:val="19"/>
        </w:rPr>
        <w:sectPr>
          <w:pgSz w:w="11900" w:h="16840"/>
          <w:pgMar w:top="900" w:right="560" w:bottom="28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32"/>
        <w:gridCol w:w="1308"/>
        <w:gridCol w:w="960"/>
        <w:gridCol w:w="1512"/>
        <w:gridCol w:w="432"/>
        <w:gridCol w:w="612"/>
        <w:gridCol w:w="1464"/>
        <w:gridCol w:w="1464"/>
        <w:gridCol w:w="1248"/>
        <w:gridCol w:w="111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shd w:val="clear" w:color="auto" w:fill="F4F4F4"/>
          </w:tcPr>
          <w:p>
            <w:pPr>
              <w:pStyle w:val="19"/>
              <w:spacing w:before="60"/>
              <w:ind w:left="106"/>
              <w:rPr>
                <w:rFonts w:hint="eastAsia" w:ascii="宋体" w:hAnsi="宋体" w:eastAsia="宋体" w:cs="宋体"/>
                <w:b/>
                <w:sz w:val="19"/>
              </w:rPr>
            </w:pPr>
            <w:r>
              <w:rPr>
                <w:rFonts w:hint="eastAsia" w:ascii="宋体" w:hAnsi="宋体" w:eastAsia="宋体" w:cs="宋体"/>
                <w:b/>
                <w:w w:val="100"/>
                <w:sz w:val="19"/>
              </w:rPr>
              <w:t>序</w:t>
            </w:r>
          </w:p>
          <w:p>
            <w:pPr>
              <w:pStyle w:val="19"/>
              <w:spacing w:before="141"/>
              <w:ind w:left="106"/>
              <w:rPr>
                <w:rFonts w:hint="eastAsia" w:ascii="宋体" w:hAnsi="宋体" w:eastAsia="宋体" w:cs="宋体"/>
                <w:b/>
                <w:sz w:val="19"/>
              </w:rPr>
            </w:pPr>
            <w:r>
              <w:rPr>
                <w:rFonts w:hint="eastAsia" w:ascii="宋体" w:hAnsi="宋体" w:eastAsia="宋体" w:cs="宋体"/>
                <w:b/>
                <w:w w:val="100"/>
                <w:sz w:val="19"/>
              </w:rPr>
              <w:t>号</w:t>
            </w:r>
          </w:p>
        </w:tc>
        <w:tc>
          <w:tcPr>
            <w:tcW w:w="1308" w:type="dxa"/>
            <w:shd w:val="clear" w:color="auto" w:fill="F4F4F4"/>
          </w:tcPr>
          <w:p>
            <w:pPr>
              <w:pStyle w:val="19"/>
              <w:spacing w:before="60"/>
              <w:ind w:left="145" w:right="154"/>
              <w:jc w:val="center"/>
              <w:rPr>
                <w:rFonts w:hint="eastAsia" w:ascii="宋体" w:hAnsi="宋体" w:eastAsia="宋体" w:cs="宋体"/>
                <w:b/>
                <w:sz w:val="19"/>
              </w:rPr>
            </w:pPr>
            <w:r>
              <w:rPr>
                <w:rFonts w:hint="eastAsia" w:ascii="宋体" w:hAnsi="宋体" w:eastAsia="宋体" w:cs="宋体"/>
                <w:b/>
                <w:sz w:val="19"/>
              </w:rPr>
              <w:t>核心产品（</w:t>
            </w:r>
          </w:p>
          <w:p>
            <w:pPr>
              <w:pStyle w:val="19"/>
              <w:spacing w:before="80"/>
              <w:ind w:left="145" w:right="148"/>
              <w:jc w:val="center"/>
              <w:rPr>
                <w:rFonts w:hint="eastAsia" w:ascii="宋体" w:hAnsi="宋体" w:eastAsia="宋体" w:cs="宋体"/>
                <w:b/>
                <w:sz w:val="19"/>
              </w:rPr>
            </w:pPr>
            <w:r>
              <w:rPr>
                <w:rFonts w:hint="eastAsia" w:ascii="宋体" w:hAnsi="宋体" w:eastAsia="宋体" w:cs="宋体"/>
                <w:b/>
                <w:sz w:val="19"/>
              </w:rPr>
              <w:t>“△”）</w:t>
            </w:r>
          </w:p>
        </w:tc>
        <w:tc>
          <w:tcPr>
            <w:tcW w:w="960" w:type="dxa"/>
            <w:shd w:val="clear" w:color="auto" w:fill="F4F4F4"/>
          </w:tcPr>
          <w:p>
            <w:pPr>
              <w:pStyle w:val="19"/>
              <w:spacing w:before="60"/>
              <w:ind w:left="162" w:right="170"/>
              <w:jc w:val="center"/>
              <w:rPr>
                <w:rFonts w:hint="eastAsia" w:ascii="宋体" w:hAnsi="宋体" w:eastAsia="宋体" w:cs="宋体"/>
                <w:b/>
                <w:sz w:val="19"/>
              </w:rPr>
            </w:pPr>
            <w:r>
              <w:rPr>
                <w:rFonts w:hint="eastAsia" w:ascii="宋体" w:hAnsi="宋体" w:eastAsia="宋体" w:cs="宋体"/>
                <w:b/>
                <w:sz w:val="19"/>
              </w:rPr>
              <w:t>品目名</w:t>
            </w:r>
          </w:p>
          <w:p>
            <w:pPr>
              <w:pStyle w:val="19"/>
              <w:spacing w:before="141"/>
              <w:ind w:right="8"/>
              <w:jc w:val="center"/>
              <w:rPr>
                <w:rFonts w:hint="eastAsia" w:ascii="宋体" w:hAnsi="宋体" w:eastAsia="宋体" w:cs="宋体"/>
                <w:b/>
                <w:sz w:val="19"/>
              </w:rPr>
            </w:pPr>
            <w:r>
              <w:rPr>
                <w:rFonts w:hint="eastAsia" w:ascii="宋体" w:hAnsi="宋体" w:eastAsia="宋体" w:cs="宋体"/>
                <w:b/>
                <w:w w:val="100"/>
                <w:sz w:val="19"/>
              </w:rPr>
              <w:t>称</w:t>
            </w:r>
          </w:p>
        </w:tc>
        <w:tc>
          <w:tcPr>
            <w:tcW w:w="1512" w:type="dxa"/>
            <w:shd w:val="clear" w:color="auto" w:fill="F4F4F4"/>
          </w:tcPr>
          <w:p>
            <w:pPr>
              <w:pStyle w:val="19"/>
              <w:spacing w:before="9"/>
              <w:rPr>
                <w:rFonts w:hint="eastAsia" w:ascii="宋体" w:hAnsi="宋体" w:eastAsia="宋体" w:cs="宋体"/>
                <w:b/>
                <w:sz w:val="19"/>
              </w:rPr>
            </w:pPr>
          </w:p>
          <w:p>
            <w:pPr>
              <w:pStyle w:val="19"/>
              <w:ind w:left="341"/>
              <w:rPr>
                <w:rFonts w:hint="eastAsia" w:ascii="宋体" w:hAnsi="宋体" w:eastAsia="宋体" w:cs="宋体"/>
                <w:b/>
                <w:sz w:val="19"/>
              </w:rPr>
            </w:pPr>
            <w:r>
              <w:rPr>
                <w:rFonts w:hint="eastAsia" w:ascii="宋体" w:hAnsi="宋体" w:eastAsia="宋体" w:cs="宋体"/>
                <w:b/>
                <w:sz w:val="19"/>
              </w:rPr>
              <w:t>标的名称</w:t>
            </w:r>
          </w:p>
        </w:tc>
        <w:tc>
          <w:tcPr>
            <w:tcW w:w="432" w:type="dxa"/>
            <w:shd w:val="clear" w:color="auto" w:fill="F4F4F4"/>
          </w:tcPr>
          <w:p>
            <w:pPr>
              <w:pStyle w:val="19"/>
              <w:spacing w:before="60"/>
              <w:ind w:left="107"/>
              <w:rPr>
                <w:rFonts w:hint="eastAsia" w:ascii="宋体" w:hAnsi="宋体" w:eastAsia="宋体" w:cs="宋体"/>
                <w:b/>
                <w:sz w:val="19"/>
              </w:rPr>
            </w:pPr>
            <w:r>
              <w:rPr>
                <w:rFonts w:hint="eastAsia" w:ascii="宋体" w:hAnsi="宋体" w:eastAsia="宋体" w:cs="宋体"/>
                <w:b/>
                <w:w w:val="100"/>
                <w:sz w:val="19"/>
              </w:rPr>
              <w:t>单</w:t>
            </w:r>
          </w:p>
          <w:p>
            <w:pPr>
              <w:pStyle w:val="19"/>
              <w:spacing w:before="141"/>
              <w:ind w:left="107"/>
              <w:rPr>
                <w:rFonts w:hint="eastAsia" w:ascii="宋体" w:hAnsi="宋体" w:eastAsia="宋体" w:cs="宋体"/>
                <w:b/>
                <w:sz w:val="19"/>
              </w:rPr>
            </w:pPr>
            <w:r>
              <w:rPr>
                <w:rFonts w:hint="eastAsia" w:ascii="宋体" w:hAnsi="宋体" w:eastAsia="宋体" w:cs="宋体"/>
                <w:b/>
                <w:w w:val="100"/>
                <w:sz w:val="19"/>
              </w:rPr>
              <w:t>位</w:t>
            </w:r>
          </w:p>
        </w:tc>
        <w:tc>
          <w:tcPr>
            <w:tcW w:w="612" w:type="dxa"/>
            <w:shd w:val="clear" w:color="auto" w:fill="F4F4F4"/>
          </w:tcPr>
          <w:p>
            <w:pPr>
              <w:pStyle w:val="19"/>
              <w:spacing w:before="9"/>
              <w:rPr>
                <w:rFonts w:hint="eastAsia" w:ascii="宋体" w:hAnsi="宋体" w:eastAsia="宋体" w:cs="宋体"/>
                <w:b/>
                <w:sz w:val="19"/>
              </w:rPr>
            </w:pPr>
          </w:p>
          <w:p>
            <w:pPr>
              <w:pStyle w:val="19"/>
              <w:ind w:left="95"/>
              <w:rPr>
                <w:rFonts w:hint="eastAsia" w:ascii="宋体" w:hAnsi="宋体" w:eastAsia="宋体" w:cs="宋体"/>
                <w:b/>
                <w:sz w:val="19"/>
              </w:rPr>
            </w:pPr>
            <w:r>
              <w:rPr>
                <w:rFonts w:hint="eastAsia" w:ascii="宋体" w:hAnsi="宋体" w:eastAsia="宋体" w:cs="宋体"/>
                <w:b/>
                <w:sz w:val="19"/>
              </w:rPr>
              <w:t>数量</w:t>
            </w:r>
          </w:p>
        </w:tc>
        <w:tc>
          <w:tcPr>
            <w:tcW w:w="1464" w:type="dxa"/>
            <w:shd w:val="clear" w:color="auto" w:fill="F4F4F4"/>
          </w:tcPr>
          <w:p>
            <w:pPr>
              <w:pStyle w:val="19"/>
              <w:spacing w:before="60"/>
              <w:ind w:left="128" w:right="134"/>
              <w:jc w:val="center"/>
              <w:rPr>
                <w:rFonts w:hint="eastAsia" w:ascii="宋体" w:hAnsi="宋体" w:eastAsia="宋体" w:cs="宋体"/>
                <w:b/>
                <w:sz w:val="19"/>
              </w:rPr>
            </w:pPr>
            <w:r>
              <w:rPr>
                <w:rFonts w:hint="eastAsia" w:ascii="宋体" w:hAnsi="宋体" w:eastAsia="宋体" w:cs="宋体"/>
                <w:b/>
                <w:sz w:val="19"/>
              </w:rPr>
              <w:t>分项预算单价</w:t>
            </w:r>
          </w:p>
          <w:p>
            <w:pPr>
              <w:pStyle w:val="19"/>
              <w:spacing w:before="141"/>
              <w:ind w:left="128" w:right="134"/>
              <w:jc w:val="center"/>
              <w:rPr>
                <w:rFonts w:hint="eastAsia" w:ascii="宋体" w:hAnsi="宋体" w:eastAsia="宋体" w:cs="宋体"/>
                <w:b/>
                <w:sz w:val="19"/>
              </w:rPr>
            </w:pPr>
            <w:r>
              <w:rPr>
                <w:rFonts w:hint="eastAsia" w:ascii="宋体" w:hAnsi="宋体" w:eastAsia="宋体" w:cs="宋体"/>
                <w:b/>
                <w:sz w:val="19"/>
              </w:rPr>
              <w:t>（元）</w:t>
            </w:r>
          </w:p>
        </w:tc>
        <w:tc>
          <w:tcPr>
            <w:tcW w:w="1464" w:type="dxa"/>
            <w:shd w:val="clear" w:color="auto" w:fill="F4F4F4"/>
          </w:tcPr>
          <w:p>
            <w:pPr>
              <w:pStyle w:val="19"/>
              <w:spacing w:before="60"/>
              <w:ind w:left="129" w:right="134"/>
              <w:jc w:val="center"/>
              <w:rPr>
                <w:rFonts w:hint="eastAsia" w:ascii="宋体" w:hAnsi="宋体" w:eastAsia="宋体" w:cs="宋体"/>
                <w:b/>
                <w:sz w:val="19"/>
              </w:rPr>
            </w:pPr>
            <w:r>
              <w:rPr>
                <w:rFonts w:hint="eastAsia" w:ascii="宋体" w:hAnsi="宋体" w:eastAsia="宋体" w:cs="宋体"/>
                <w:b/>
                <w:sz w:val="19"/>
              </w:rPr>
              <w:t>分项预算总价</w:t>
            </w:r>
          </w:p>
          <w:p>
            <w:pPr>
              <w:pStyle w:val="19"/>
              <w:spacing w:before="141"/>
              <w:ind w:left="129" w:right="134"/>
              <w:jc w:val="center"/>
              <w:rPr>
                <w:rFonts w:hint="eastAsia" w:ascii="宋体" w:hAnsi="宋体" w:eastAsia="宋体" w:cs="宋体"/>
                <w:b/>
                <w:sz w:val="19"/>
              </w:rPr>
            </w:pPr>
            <w:r>
              <w:rPr>
                <w:rFonts w:hint="eastAsia" w:ascii="宋体" w:hAnsi="宋体" w:eastAsia="宋体" w:cs="宋体"/>
                <w:b/>
                <w:sz w:val="19"/>
              </w:rPr>
              <w:t>（元）</w:t>
            </w:r>
          </w:p>
        </w:tc>
        <w:tc>
          <w:tcPr>
            <w:tcW w:w="1248" w:type="dxa"/>
            <w:shd w:val="clear" w:color="auto" w:fill="F4F4F4"/>
          </w:tcPr>
          <w:p>
            <w:pPr>
              <w:pStyle w:val="19"/>
              <w:spacing w:before="9"/>
              <w:rPr>
                <w:rFonts w:hint="eastAsia" w:ascii="宋体" w:hAnsi="宋体" w:eastAsia="宋体" w:cs="宋体"/>
                <w:b/>
                <w:sz w:val="19"/>
              </w:rPr>
            </w:pPr>
          </w:p>
          <w:p>
            <w:pPr>
              <w:pStyle w:val="19"/>
              <w:ind w:left="210"/>
              <w:rPr>
                <w:rFonts w:hint="eastAsia" w:ascii="宋体" w:hAnsi="宋体" w:eastAsia="宋体" w:cs="宋体"/>
                <w:b/>
                <w:sz w:val="19"/>
              </w:rPr>
            </w:pPr>
            <w:r>
              <w:rPr>
                <w:rFonts w:hint="eastAsia" w:ascii="宋体" w:hAnsi="宋体" w:eastAsia="宋体" w:cs="宋体"/>
                <w:b/>
                <w:sz w:val="19"/>
              </w:rPr>
              <w:t>所属行业</w:t>
            </w:r>
          </w:p>
        </w:tc>
        <w:tc>
          <w:tcPr>
            <w:tcW w:w="1116" w:type="dxa"/>
            <w:shd w:val="clear" w:color="auto" w:fill="F4F4F4"/>
          </w:tcPr>
          <w:p>
            <w:pPr>
              <w:pStyle w:val="19"/>
              <w:spacing w:before="60"/>
              <w:ind w:left="147" w:right="151"/>
              <w:jc w:val="center"/>
              <w:rPr>
                <w:rFonts w:hint="eastAsia" w:ascii="宋体" w:hAnsi="宋体" w:eastAsia="宋体" w:cs="宋体"/>
                <w:b/>
                <w:sz w:val="19"/>
              </w:rPr>
            </w:pPr>
            <w:r>
              <w:rPr>
                <w:rFonts w:hint="eastAsia" w:ascii="宋体" w:hAnsi="宋体" w:eastAsia="宋体" w:cs="宋体"/>
                <w:b/>
                <w:sz w:val="19"/>
              </w:rPr>
              <w:t>招标技术</w:t>
            </w:r>
          </w:p>
          <w:p>
            <w:pPr>
              <w:pStyle w:val="19"/>
              <w:spacing w:before="141"/>
              <w:ind w:left="147" w:right="151"/>
              <w:jc w:val="center"/>
              <w:rPr>
                <w:rFonts w:hint="eastAsia" w:ascii="宋体" w:hAnsi="宋体" w:eastAsia="宋体" w:cs="宋体"/>
                <w:b/>
                <w:sz w:val="19"/>
              </w:rPr>
            </w:pPr>
            <w:r>
              <w:rPr>
                <w:rFonts w:hint="eastAsia" w:ascii="宋体" w:hAnsi="宋体" w:eastAsia="宋体" w:cs="宋体"/>
                <w:b/>
                <w:sz w:val="19"/>
              </w:rPr>
              <w:t>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9"/>
              <w:rPr>
                <w:rFonts w:hint="eastAsia" w:ascii="宋体" w:hAnsi="宋体" w:eastAsia="宋体" w:cs="宋体"/>
                <w:b/>
                <w:sz w:val="19"/>
              </w:rPr>
            </w:pPr>
          </w:p>
          <w:p>
            <w:pPr>
              <w:pStyle w:val="19"/>
              <w:ind w:left="14"/>
              <w:jc w:val="center"/>
              <w:rPr>
                <w:rFonts w:hint="eastAsia" w:ascii="宋体" w:hAnsi="宋体" w:eastAsia="宋体" w:cs="宋体"/>
                <w:sz w:val="19"/>
              </w:rPr>
            </w:pPr>
            <w:r>
              <w:rPr>
                <w:rFonts w:hint="eastAsia" w:ascii="宋体" w:hAnsi="宋体" w:eastAsia="宋体" w:cs="宋体"/>
                <w:w w:val="128"/>
                <w:sz w:val="19"/>
              </w:rPr>
              <w:t>9</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服务器机柜</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架</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2.0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5,000.00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10,000.00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w w:val="101"/>
                <w:sz w:val="19"/>
              </w:rPr>
              <w:t>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0</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主扩音箱</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支</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2.0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4,000.00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1</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音箱支架</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个</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2.0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4,000.00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2</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主扩功放</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0"/>
                <w:sz w:val="19"/>
              </w:rPr>
              <w:t>200.00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0"/>
                <w:sz w:val="19"/>
              </w:rPr>
              <w:t>200.00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3</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环绕音箱</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支</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4.0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1,500.00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6,000.00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77"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4</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环绕功放</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一十四</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5</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调音台</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一十五</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6</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无线麦克</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套</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一十六</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7</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电源管理器</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8</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行为捕捉相机</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个</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4.0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30,000.00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120,000.00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一十八</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1</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9</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行为捕捉软件</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套</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40,000.00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40,000.00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一十九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0</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教学工作站</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25,000.00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25,000.00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二十</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1</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实训工作站</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left="209"/>
              <w:rPr>
                <w:rFonts w:hint="eastAsia" w:ascii="宋体" w:hAnsi="宋体" w:eastAsia="宋体" w:cs="宋体"/>
                <w:sz w:val="19"/>
              </w:rPr>
            </w:pPr>
            <w:r>
              <w:rPr>
                <w:rFonts w:hint="eastAsia" w:ascii="宋体" w:hAnsi="宋体" w:eastAsia="宋体" w:cs="宋体"/>
                <w:w w:val="140"/>
                <w:sz w:val="19"/>
              </w:rPr>
              <w:t>40.</w:t>
            </w:r>
          </w:p>
          <w:p>
            <w:pPr>
              <w:pStyle w:val="19"/>
              <w:spacing w:before="141"/>
              <w:ind w:left="269"/>
              <w:rPr>
                <w:rFonts w:hint="eastAsia" w:ascii="宋体" w:hAnsi="宋体" w:eastAsia="宋体" w:cs="宋体"/>
                <w:sz w:val="19"/>
              </w:rPr>
            </w:pPr>
            <w:r>
              <w:rPr>
                <w:rFonts w:hint="eastAsia" w:ascii="宋体" w:hAnsi="宋体" w:eastAsia="宋体" w:cs="宋体"/>
                <w:w w:val="130"/>
                <w:sz w:val="19"/>
              </w:rPr>
              <w:t>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10,000.00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400,000.00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二十一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2</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研发工作站</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left="209"/>
              <w:rPr>
                <w:rFonts w:hint="eastAsia" w:ascii="宋体" w:hAnsi="宋体" w:eastAsia="宋体" w:cs="宋体"/>
                <w:sz w:val="19"/>
              </w:rPr>
            </w:pPr>
            <w:r>
              <w:rPr>
                <w:rFonts w:hint="eastAsia" w:ascii="宋体" w:hAnsi="宋体" w:eastAsia="宋体" w:cs="宋体"/>
                <w:w w:val="140"/>
                <w:sz w:val="19"/>
              </w:rPr>
              <w:t>10.</w:t>
            </w:r>
          </w:p>
          <w:p>
            <w:pPr>
              <w:pStyle w:val="19"/>
              <w:spacing w:before="141"/>
              <w:ind w:left="269"/>
              <w:rPr>
                <w:rFonts w:hint="eastAsia" w:ascii="宋体" w:hAnsi="宋体" w:eastAsia="宋体" w:cs="宋体"/>
                <w:sz w:val="19"/>
              </w:rPr>
            </w:pPr>
            <w:r>
              <w:rPr>
                <w:rFonts w:hint="eastAsia" w:ascii="宋体" w:hAnsi="宋体" w:eastAsia="宋体" w:cs="宋体"/>
                <w:w w:val="130"/>
                <w:sz w:val="19"/>
              </w:rPr>
              <w:t>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25,000.00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250,000.00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二十二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3</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路由器</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2.0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二十三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4</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交换机</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台</w:t>
            </w:r>
          </w:p>
        </w:tc>
        <w:tc>
          <w:tcPr>
            <w:tcW w:w="612" w:type="dxa"/>
          </w:tcPr>
          <w:p>
            <w:pPr>
              <w:pStyle w:val="19"/>
              <w:spacing w:before="60"/>
              <w:ind w:right="82"/>
              <w:jc w:val="right"/>
              <w:rPr>
                <w:rFonts w:hint="eastAsia" w:ascii="宋体" w:hAnsi="宋体" w:eastAsia="宋体" w:cs="宋体"/>
                <w:sz w:val="19"/>
              </w:rPr>
            </w:pPr>
            <w:r>
              <w:rPr>
                <w:rFonts w:hint="eastAsia" w:ascii="宋体" w:hAnsi="宋体" w:eastAsia="宋体" w:cs="宋体"/>
                <w:w w:val="135"/>
                <w:sz w:val="19"/>
              </w:rPr>
              <w:t>2.0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4,000.00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二十四</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33" w:hRule="atLeast"/>
        </w:trPr>
        <w:tc>
          <w:tcPr>
            <w:tcW w:w="432" w:type="dxa"/>
          </w:tcPr>
          <w:p>
            <w:pPr>
              <w:pStyle w:val="19"/>
              <w:spacing w:before="144"/>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5</w:t>
            </w:r>
          </w:p>
        </w:tc>
        <w:tc>
          <w:tcPr>
            <w:tcW w:w="1308" w:type="dxa"/>
          </w:tcPr>
          <w:p>
            <w:pPr>
              <w:pStyle w:val="19"/>
              <w:rPr>
                <w:rFonts w:hint="eastAsia" w:ascii="宋体" w:hAnsi="宋体" w:eastAsia="宋体" w:cs="宋体"/>
                <w:sz w:val="18"/>
              </w:rPr>
            </w:pPr>
          </w:p>
        </w:tc>
        <w:tc>
          <w:tcPr>
            <w:tcW w:w="960" w:type="dxa"/>
          </w:tcPr>
          <w:p>
            <w:pPr>
              <w:pStyle w:val="19"/>
              <w:spacing w:before="144"/>
              <w:ind w:left="101"/>
              <w:rPr>
                <w:rFonts w:hint="eastAsia" w:ascii="宋体" w:hAnsi="宋体" w:eastAsia="宋体" w:cs="宋体"/>
                <w:sz w:val="19"/>
              </w:rPr>
            </w:pPr>
            <w:r>
              <w:rPr>
                <w:rFonts w:hint="eastAsia" w:ascii="宋体" w:hAnsi="宋体" w:eastAsia="宋体" w:cs="宋体"/>
                <w:sz w:val="19"/>
              </w:rPr>
              <w:t>其他台</w:t>
            </w:r>
          </w:p>
          <w:p>
            <w:pPr>
              <w:pStyle w:val="19"/>
              <w:spacing w:before="141"/>
              <w:ind w:left="101"/>
              <w:rPr>
                <w:rFonts w:hint="eastAsia" w:ascii="宋体" w:hAnsi="宋体" w:eastAsia="宋体" w:cs="宋体"/>
                <w:sz w:val="19"/>
              </w:rPr>
            </w:pPr>
            <w:r>
              <w:rPr>
                <w:rFonts w:hint="eastAsia" w:ascii="宋体" w:hAnsi="宋体" w:eastAsia="宋体" w:cs="宋体"/>
                <w:sz w:val="19"/>
              </w:rPr>
              <w:t>、桌类</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多媒体讲台</w:t>
            </w:r>
          </w:p>
        </w:tc>
        <w:tc>
          <w:tcPr>
            <w:tcW w:w="432" w:type="dxa"/>
          </w:tcPr>
          <w:p>
            <w:pPr>
              <w:pStyle w:val="19"/>
              <w:spacing w:before="3"/>
              <w:rPr>
                <w:rFonts w:hint="eastAsia" w:ascii="宋体" w:hAnsi="宋体" w:eastAsia="宋体" w:cs="宋体"/>
                <w:b/>
                <w:sz w:val="26"/>
              </w:rPr>
            </w:pPr>
          </w:p>
          <w:p>
            <w:pPr>
              <w:pStyle w:val="19"/>
              <w:ind w:right="19"/>
              <w:jc w:val="center"/>
              <w:rPr>
                <w:rFonts w:hint="eastAsia" w:ascii="宋体" w:hAnsi="宋体" w:eastAsia="宋体" w:cs="宋体"/>
                <w:sz w:val="19"/>
              </w:rPr>
            </w:pPr>
            <w:r>
              <w:rPr>
                <w:rFonts w:hint="eastAsia" w:ascii="宋体" w:hAnsi="宋体" w:eastAsia="宋体" w:cs="宋体"/>
                <w:w w:val="101"/>
                <w:sz w:val="19"/>
              </w:rPr>
              <w:t>位</w:t>
            </w:r>
          </w:p>
        </w:tc>
        <w:tc>
          <w:tcPr>
            <w:tcW w:w="612" w:type="dxa"/>
          </w:tcPr>
          <w:p>
            <w:pPr>
              <w:pStyle w:val="19"/>
              <w:spacing w:before="144"/>
              <w:ind w:right="82"/>
              <w:jc w:val="right"/>
              <w:rPr>
                <w:rFonts w:hint="eastAsia" w:ascii="宋体" w:hAnsi="宋体" w:eastAsia="宋体" w:cs="宋体"/>
                <w:sz w:val="19"/>
              </w:rPr>
            </w:pPr>
            <w:r>
              <w:rPr>
                <w:rFonts w:hint="eastAsia" w:ascii="宋体" w:hAnsi="宋体" w:eastAsia="宋体" w:cs="宋体"/>
                <w:w w:val="135"/>
                <w:sz w:val="19"/>
              </w:rPr>
              <w:t>2.0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3"/>
              <w:rPr>
                <w:rFonts w:hint="eastAsia" w:ascii="宋体" w:hAnsi="宋体" w:eastAsia="宋体" w:cs="宋体"/>
                <w:b/>
                <w:sz w:val="26"/>
              </w:rPr>
            </w:pPr>
          </w:p>
          <w:p>
            <w:pPr>
              <w:pStyle w:val="19"/>
              <w:ind w:right="82"/>
              <w:jc w:val="right"/>
              <w:rPr>
                <w:rFonts w:hint="eastAsia" w:ascii="宋体" w:hAnsi="宋体" w:eastAsia="宋体" w:cs="宋体"/>
                <w:sz w:val="19"/>
              </w:rPr>
            </w:pPr>
            <w:r>
              <w:rPr>
                <w:rFonts w:hint="eastAsia" w:ascii="宋体" w:hAnsi="宋体" w:eastAsia="宋体" w:cs="宋体"/>
                <w:w w:val="135"/>
                <w:sz w:val="19"/>
              </w:rPr>
              <w:t>3,500.00</w:t>
            </w:r>
          </w:p>
        </w:tc>
        <w:tc>
          <w:tcPr>
            <w:tcW w:w="1464" w:type="dxa"/>
          </w:tcPr>
          <w:p>
            <w:pPr>
              <w:pStyle w:val="19"/>
              <w:spacing w:before="3"/>
              <w:rPr>
                <w:rFonts w:hint="eastAsia" w:ascii="宋体" w:hAnsi="宋体" w:eastAsia="宋体" w:cs="宋体"/>
                <w:b/>
                <w:sz w:val="26"/>
              </w:rPr>
            </w:pPr>
          </w:p>
          <w:p>
            <w:pPr>
              <w:pStyle w:val="19"/>
              <w:ind w:right="82"/>
              <w:jc w:val="right"/>
              <w:rPr>
                <w:rFonts w:hint="eastAsia" w:ascii="宋体" w:hAnsi="宋体" w:eastAsia="宋体" w:cs="宋体"/>
                <w:sz w:val="19"/>
              </w:rPr>
            </w:pPr>
            <w:r>
              <w:rPr>
                <w:rFonts w:hint="eastAsia" w:ascii="宋体" w:hAnsi="宋体" w:eastAsia="宋体" w:cs="宋体"/>
                <w:w w:val="135"/>
                <w:sz w:val="19"/>
              </w:rPr>
              <w:t>7,000.00</w:t>
            </w:r>
          </w:p>
        </w:tc>
        <w:tc>
          <w:tcPr>
            <w:tcW w:w="1248" w:type="dxa"/>
          </w:tcPr>
          <w:p>
            <w:pPr>
              <w:pStyle w:val="19"/>
              <w:spacing w:before="3"/>
              <w:rPr>
                <w:rFonts w:hint="eastAsia" w:ascii="宋体" w:hAnsi="宋体" w:eastAsia="宋体" w:cs="宋体"/>
                <w:b/>
                <w:sz w:val="26"/>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line="379" w:lineRule="auto"/>
              <w:ind w:left="103" w:right="227"/>
              <w:rPr>
                <w:rFonts w:hint="eastAsia" w:ascii="宋体" w:hAnsi="宋体" w:eastAsia="宋体" w:cs="宋体"/>
                <w:sz w:val="19"/>
              </w:rPr>
            </w:pPr>
            <w:r>
              <w:rPr>
                <w:rFonts w:hint="eastAsia" w:ascii="宋体" w:hAnsi="宋体" w:eastAsia="宋体" w:cs="宋体"/>
                <w:sz w:val="19"/>
              </w:rPr>
              <w:t>详见附表二十五</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6</w:t>
            </w:r>
          </w:p>
        </w:tc>
        <w:tc>
          <w:tcPr>
            <w:tcW w:w="1308" w:type="dxa"/>
          </w:tcPr>
          <w:p>
            <w:pPr>
              <w:pStyle w:val="19"/>
              <w:rPr>
                <w:rFonts w:hint="eastAsia" w:ascii="宋体" w:hAnsi="宋体" w:eastAsia="宋体" w:cs="宋体"/>
                <w:sz w:val="18"/>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其他台</w:t>
            </w:r>
          </w:p>
          <w:p>
            <w:pPr>
              <w:pStyle w:val="19"/>
              <w:spacing w:before="141"/>
              <w:ind w:left="101"/>
              <w:rPr>
                <w:rFonts w:hint="eastAsia" w:ascii="宋体" w:hAnsi="宋体" w:eastAsia="宋体" w:cs="宋体"/>
                <w:sz w:val="19"/>
              </w:rPr>
            </w:pPr>
            <w:r>
              <w:rPr>
                <w:rFonts w:hint="eastAsia" w:ascii="宋体" w:hAnsi="宋体" w:eastAsia="宋体" w:cs="宋体"/>
                <w:sz w:val="19"/>
              </w:rPr>
              <w:t>、桌类</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教训操作台</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位</w:t>
            </w:r>
          </w:p>
        </w:tc>
        <w:tc>
          <w:tcPr>
            <w:tcW w:w="612" w:type="dxa"/>
          </w:tcPr>
          <w:p>
            <w:pPr>
              <w:pStyle w:val="19"/>
              <w:spacing w:before="60"/>
              <w:ind w:left="209"/>
              <w:rPr>
                <w:rFonts w:hint="eastAsia" w:ascii="宋体" w:hAnsi="宋体" w:eastAsia="宋体" w:cs="宋体"/>
                <w:sz w:val="19"/>
              </w:rPr>
            </w:pPr>
            <w:r>
              <w:rPr>
                <w:rFonts w:hint="eastAsia" w:ascii="宋体" w:hAnsi="宋体" w:eastAsia="宋体" w:cs="宋体"/>
                <w:w w:val="140"/>
                <w:sz w:val="19"/>
              </w:rPr>
              <w:t>40.</w:t>
            </w:r>
          </w:p>
          <w:p>
            <w:pPr>
              <w:pStyle w:val="19"/>
              <w:spacing w:before="141"/>
              <w:ind w:left="269"/>
              <w:rPr>
                <w:rFonts w:hint="eastAsia" w:ascii="宋体" w:hAnsi="宋体" w:eastAsia="宋体" w:cs="宋体"/>
                <w:sz w:val="19"/>
              </w:rPr>
            </w:pPr>
            <w:r>
              <w:rPr>
                <w:rFonts w:hint="eastAsia" w:ascii="宋体" w:hAnsi="宋体" w:eastAsia="宋体" w:cs="宋体"/>
                <w:w w:val="130"/>
                <w:sz w:val="19"/>
              </w:rPr>
              <w:t>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1,500.00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60,000.00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二十六</w:t>
            </w:r>
          </w:p>
        </w:tc>
      </w:tr>
    </w:tbl>
    <w:p>
      <w:pPr>
        <w:spacing w:after="0"/>
        <w:rPr>
          <w:rFonts w:hint="eastAsia" w:ascii="宋体" w:hAnsi="宋体" w:eastAsia="宋体" w:cs="宋体"/>
          <w:sz w:val="19"/>
        </w:rPr>
        <w:sectPr>
          <w:pgSz w:w="11900" w:h="16840"/>
          <w:pgMar w:top="560" w:right="560" w:bottom="20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32"/>
        <w:gridCol w:w="1308"/>
        <w:gridCol w:w="960"/>
        <w:gridCol w:w="1512"/>
        <w:gridCol w:w="432"/>
        <w:gridCol w:w="612"/>
        <w:gridCol w:w="1464"/>
        <w:gridCol w:w="1464"/>
        <w:gridCol w:w="1248"/>
        <w:gridCol w:w="111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shd w:val="clear" w:color="auto" w:fill="F4F4F4"/>
          </w:tcPr>
          <w:p>
            <w:pPr>
              <w:pStyle w:val="19"/>
              <w:spacing w:before="60"/>
              <w:ind w:left="106"/>
              <w:rPr>
                <w:rFonts w:hint="eastAsia" w:ascii="宋体" w:hAnsi="宋体" w:eastAsia="宋体" w:cs="宋体"/>
                <w:b/>
                <w:sz w:val="19"/>
              </w:rPr>
            </w:pPr>
            <w:r>
              <w:rPr>
                <w:rFonts w:hint="eastAsia" w:ascii="宋体" w:hAnsi="宋体" w:eastAsia="宋体" w:cs="宋体"/>
                <w:b/>
                <w:w w:val="100"/>
                <w:sz w:val="19"/>
              </w:rPr>
              <w:t>序</w:t>
            </w:r>
          </w:p>
          <w:p>
            <w:pPr>
              <w:pStyle w:val="19"/>
              <w:spacing w:before="141"/>
              <w:ind w:left="106"/>
              <w:rPr>
                <w:rFonts w:hint="eastAsia" w:ascii="宋体" w:hAnsi="宋体" w:eastAsia="宋体" w:cs="宋体"/>
                <w:b/>
                <w:sz w:val="19"/>
              </w:rPr>
            </w:pPr>
            <w:r>
              <w:rPr>
                <w:rFonts w:hint="eastAsia" w:ascii="宋体" w:hAnsi="宋体" w:eastAsia="宋体" w:cs="宋体"/>
                <w:b/>
                <w:w w:val="100"/>
                <w:sz w:val="19"/>
              </w:rPr>
              <w:t>号</w:t>
            </w:r>
          </w:p>
        </w:tc>
        <w:tc>
          <w:tcPr>
            <w:tcW w:w="1308" w:type="dxa"/>
            <w:shd w:val="clear" w:color="auto" w:fill="F4F4F4"/>
          </w:tcPr>
          <w:p>
            <w:pPr>
              <w:pStyle w:val="19"/>
              <w:spacing w:before="60"/>
              <w:ind w:left="145" w:right="154"/>
              <w:jc w:val="center"/>
              <w:rPr>
                <w:rFonts w:hint="eastAsia" w:ascii="宋体" w:hAnsi="宋体" w:eastAsia="宋体" w:cs="宋体"/>
                <w:b/>
                <w:sz w:val="19"/>
              </w:rPr>
            </w:pPr>
            <w:r>
              <w:rPr>
                <w:rFonts w:hint="eastAsia" w:ascii="宋体" w:hAnsi="宋体" w:eastAsia="宋体" w:cs="宋体"/>
                <w:b/>
                <w:sz w:val="19"/>
              </w:rPr>
              <w:t>核心产品（</w:t>
            </w:r>
          </w:p>
          <w:p>
            <w:pPr>
              <w:pStyle w:val="19"/>
              <w:spacing w:before="80"/>
              <w:ind w:left="145" w:right="148"/>
              <w:jc w:val="center"/>
              <w:rPr>
                <w:rFonts w:hint="eastAsia" w:ascii="宋体" w:hAnsi="宋体" w:eastAsia="宋体" w:cs="宋体"/>
                <w:b/>
                <w:sz w:val="19"/>
              </w:rPr>
            </w:pPr>
            <w:r>
              <w:rPr>
                <w:rFonts w:hint="eastAsia" w:ascii="宋体" w:hAnsi="宋体" w:eastAsia="宋体" w:cs="宋体"/>
                <w:b/>
                <w:sz w:val="19"/>
              </w:rPr>
              <w:t>“△”）</w:t>
            </w:r>
          </w:p>
        </w:tc>
        <w:tc>
          <w:tcPr>
            <w:tcW w:w="960" w:type="dxa"/>
            <w:shd w:val="clear" w:color="auto" w:fill="F4F4F4"/>
          </w:tcPr>
          <w:p>
            <w:pPr>
              <w:pStyle w:val="19"/>
              <w:spacing w:before="60"/>
              <w:ind w:left="162" w:right="170"/>
              <w:jc w:val="center"/>
              <w:rPr>
                <w:rFonts w:hint="eastAsia" w:ascii="宋体" w:hAnsi="宋体" w:eastAsia="宋体" w:cs="宋体"/>
                <w:b/>
                <w:sz w:val="19"/>
              </w:rPr>
            </w:pPr>
            <w:r>
              <w:rPr>
                <w:rFonts w:hint="eastAsia" w:ascii="宋体" w:hAnsi="宋体" w:eastAsia="宋体" w:cs="宋体"/>
                <w:b/>
                <w:sz w:val="19"/>
              </w:rPr>
              <w:t>品目名</w:t>
            </w:r>
          </w:p>
          <w:p>
            <w:pPr>
              <w:pStyle w:val="19"/>
              <w:spacing w:before="141"/>
              <w:ind w:right="8"/>
              <w:jc w:val="center"/>
              <w:rPr>
                <w:rFonts w:hint="eastAsia" w:ascii="宋体" w:hAnsi="宋体" w:eastAsia="宋体" w:cs="宋体"/>
                <w:b/>
                <w:sz w:val="19"/>
              </w:rPr>
            </w:pPr>
            <w:r>
              <w:rPr>
                <w:rFonts w:hint="eastAsia" w:ascii="宋体" w:hAnsi="宋体" w:eastAsia="宋体" w:cs="宋体"/>
                <w:b/>
                <w:w w:val="100"/>
                <w:sz w:val="19"/>
              </w:rPr>
              <w:t>称</w:t>
            </w:r>
          </w:p>
        </w:tc>
        <w:tc>
          <w:tcPr>
            <w:tcW w:w="1512" w:type="dxa"/>
            <w:shd w:val="clear" w:color="auto" w:fill="F4F4F4"/>
          </w:tcPr>
          <w:p>
            <w:pPr>
              <w:pStyle w:val="19"/>
              <w:spacing w:before="9"/>
              <w:rPr>
                <w:rFonts w:hint="eastAsia" w:ascii="宋体" w:hAnsi="宋体" w:eastAsia="宋体" w:cs="宋体"/>
                <w:b/>
                <w:sz w:val="19"/>
              </w:rPr>
            </w:pPr>
          </w:p>
          <w:p>
            <w:pPr>
              <w:pStyle w:val="19"/>
              <w:ind w:left="341"/>
              <w:rPr>
                <w:rFonts w:hint="eastAsia" w:ascii="宋体" w:hAnsi="宋体" w:eastAsia="宋体" w:cs="宋体"/>
                <w:b/>
                <w:sz w:val="19"/>
              </w:rPr>
            </w:pPr>
            <w:r>
              <w:rPr>
                <w:rFonts w:hint="eastAsia" w:ascii="宋体" w:hAnsi="宋体" w:eastAsia="宋体" w:cs="宋体"/>
                <w:b/>
                <w:sz w:val="19"/>
              </w:rPr>
              <w:t>标的名称</w:t>
            </w:r>
          </w:p>
        </w:tc>
        <w:tc>
          <w:tcPr>
            <w:tcW w:w="432" w:type="dxa"/>
            <w:shd w:val="clear" w:color="auto" w:fill="F4F4F4"/>
          </w:tcPr>
          <w:p>
            <w:pPr>
              <w:pStyle w:val="19"/>
              <w:spacing w:before="60"/>
              <w:ind w:left="107"/>
              <w:rPr>
                <w:rFonts w:hint="eastAsia" w:ascii="宋体" w:hAnsi="宋体" w:eastAsia="宋体" w:cs="宋体"/>
                <w:b/>
                <w:sz w:val="19"/>
              </w:rPr>
            </w:pPr>
            <w:r>
              <w:rPr>
                <w:rFonts w:hint="eastAsia" w:ascii="宋体" w:hAnsi="宋体" w:eastAsia="宋体" w:cs="宋体"/>
                <w:b/>
                <w:w w:val="100"/>
                <w:sz w:val="19"/>
              </w:rPr>
              <w:t>单</w:t>
            </w:r>
          </w:p>
          <w:p>
            <w:pPr>
              <w:pStyle w:val="19"/>
              <w:spacing w:before="141"/>
              <w:ind w:left="107"/>
              <w:rPr>
                <w:rFonts w:hint="eastAsia" w:ascii="宋体" w:hAnsi="宋体" w:eastAsia="宋体" w:cs="宋体"/>
                <w:b/>
                <w:sz w:val="19"/>
              </w:rPr>
            </w:pPr>
            <w:r>
              <w:rPr>
                <w:rFonts w:hint="eastAsia" w:ascii="宋体" w:hAnsi="宋体" w:eastAsia="宋体" w:cs="宋体"/>
                <w:b/>
                <w:w w:val="100"/>
                <w:sz w:val="19"/>
              </w:rPr>
              <w:t>位</w:t>
            </w:r>
          </w:p>
        </w:tc>
        <w:tc>
          <w:tcPr>
            <w:tcW w:w="612" w:type="dxa"/>
            <w:shd w:val="clear" w:color="auto" w:fill="F4F4F4"/>
          </w:tcPr>
          <w:p>
            <w:pPr>
              <w:pStyle w:val="19"/>
              <w:spacing w:before="9"/>
              <w:rPr>
                <w:rFonts w:hint="eastAsia" w:ascii="宋体" w:hAnsi="宋体" w:eastAsia="宋体" w:cs="宋体"/>
                <w:b/>
                <w:sz w:val="19"/>
              </w:rPr>
            </w:pPr>
          </w:p>
          <w:p>
            <w:pPr>
              <w:pStyle w:val="19"/>
              <w:ind w:left="95"/>
              <w:rPr>
                <w:rFonts w:hint="eastAsia" w:ascii="宋体" w:hAnsi="宋体" w:eastAsia="宋体" w:cs="宋体"/>
                <w:b/>
                <w:sz w:val="19"/>
              </w:rPr>
            </w:pPr>
            <w:r>
              <w:rPr>
                <w:rFonts w:hint="eastAsia" w:ascii="宋体" w:hAnsi="宋体" w:eastAsia="宋体" w:cs="宋体"/>
                <w:b/>
                <w:sz w:val="19"/>
              </w:rPr>
              <w:t>数量</w:t>
            </w:r>
          </w:p>
        </w:tc>
        <w:tc>
          <w:tcPr>
            <w:tcW w:w="1464" w:type="dxa"/>
            <w:shd w:val="clear" w:color="auto" w:fill="F4F4F4"/>
          </w:tcPr>
          <w:p>
            <w:pPr>
              <w:pStyle w:val="19"/>
              <w:spacing w:before="60"/>
              <w:ind w:left="128" w:right="134"/>
              <w:jc w:val="center"/>
              <w:rPr>
                <w:rFonts w:hint="eastAsia" w:ascii="宋体" w:hAnsi="宋体" w:eastAsia="宋体" w:cs="宋体"/>
                <w:b/>
                <w:sz w:val="19"/>
              </w:rPr>
            </w:pPr>
            <w:r>
              <w:rPr>
                <w:rFonts w:hint="eastAsia" w:ascii="宋体" w:hAnsi="宋体" w:eastAsia="宋体" w:cs="宋体"/>
                <w:b/>
                <w:sz w:val="19"/>
              </w:rPr>
              <w:t>分项预算单价</w:t>
            </w:r>
          </w:p>
          <w:p>
            <w:pPr>
              <w:pStyle w:val="19"/>
              <w:spacing w:before="141"/>
              <w:ind w:left="128" w:right="134"/>
              <w:jc w:val="center"/>
              <w:rPr>
                <w:rFonts w:hint="eastAsia" w:ascii="宋体" w:hAnsi="宋体" w:eastAsia="宋体" w:cs="宋体"/>
                <w:b/>
                <w:sz w:val="19"/>
              </w:rPr>
            </w:pPr>
            <w:r>
              <w:rPr>
                <w:rFonts w:hint="eastAsia" w:ascii="宋体" w:hAnsi="宋体" w:eastAsia="宋体" w:cs="宋体"/>
                <w:b/>
                <w:sz w:val="19"/>
              </w:rPr>
              <w:t>（元）</w:t>
            </w:r>
          </w:p>
        </w:tc>
        <w:tc>
          <w:tcPr>
            <w:tcW w:w="1464" w:type="dxa"/>
            <w:shd w:val="clear" w:color="auto" w:fill="F4F4F4"/>
          </w:tcPr>
          <w:p>
            <w:pPr>
              <w:pStyle w:val="19"/>
              <w:spacing w:before="60"/>
              <w:ind w:left="129" w:right="134"/>
              <w:jc w:val="center"/>
              <w:rPr>
                <w:rFonts w:hint="eastAsia" w:ascii="宋体" w:hAnsi="宋体" w:eastAsia="宋体" w:cs="宋体"/>
                <w:b/>
                <w:sz w:val="19"/>
              </w:rPr>
            </w:pPr>
            <w:r>
              <w:rPr>
                <w:rFonts w:hint="eastAsia" w:ascii="宋体" w:hAnsi="宋体" w:eastAsia="宋体" w:cs="宋体"/>
                <w:b/>
                <w:sz w:val="19"/>
              </w:rPr>
              <w:t>分项预算总价</w:t>
            </w:r>
          </w:p>
          <w:p>
            <w:pPr>
              <w:pStyle w:val="19"/>
              <w:spacing w:before="141"/>
              <w:ind w:left="129" w:right="134"/>
              <w:jc w:val="center"/>
              <w:rPr>
                <w:rFonts w:hint="eastAsia" w:ascii="宋体" w:hAnsi="宋体" w:eastAsia="宋体" w:cs="宋体"/>
                <w:b/>
                <w:sz w:val="19"/>
              </w:rPr>
            </w:pPr>
            <w:r>
              <w:rPr>
                <w:rFonts w:hint="eastAsia" w:ascii="宋体" w:hAnsi="宋体" w:eastAsia="宋体" w:cs="宋体"/>
                <w:b/>
                <w:sz w:val="19"/>
              </w:rPr>
              <w:t>（元）</w:t>
            </w:r>
          </w:p>
        </w:tc>
        <w:tc>
          <w:tcPr>
            <w:tcW w:w="1248" w:type="dxa"/>
            <w:shd w:val="clear" w:color="auto" w:fill="F4F4F4"/>
          </w:tcPr>
          <w:p>
            <w:pPr>
              <w:pStyle w:val="19"/>
              <w:spacing w:before="9"/>
              <w:rPr>
                <w:rFonts w:hint="eastAsia" w:ascii="宋体" w:hAnsi="宋体" w:eastAsia="宋体" w:cs="宋体"/>
                <w:b/>
                <w:sz w:val="19"/>
              </w:rPr>
            </w:pPr>
          </w:p>
          <w:p>
            <w:pPr>
              <w:pStyle w:val="19"/>
              <w:ind w:left="210"/>
              <w:rPr>
                <w:rFonts w:hint="eastAsia" w:ascii="宋体" w:hAnsi="宋体" w:eastAsia="宋体" w:cs="宋体"/>
                <w:b/>
                <w:sz w:val="19"/>
              </w:rPr>
            </w:pPr>
            <w:r>
              <w:rPr>
                <w:rFonts w:hint="eastAsia" w:ascii="宋体" w:hAnsi="宋体" w:eastAsia="宋体" w:cs="宋体"/>
                <w:b/>
                <w:sz w:val="19"/>
              </w:rPr>
              <w:t>所属行业</w:t>
            </w:r>
          </w:p>
        </w:tc>
        <w:tc>
          <w:tcPr>
            <w:tcW w:w="1116" w:type="dxa"/>
            <w:shd w:val="clear" w:color="auto" w:fill="F4F4F4"/>
          </w:tcPr>
          <w:p>
            <w:pPr>
              <w:pStyle w:val="19"/>
              <w:spacing w:before="60"/>
              <w:ind w:left="147" w:right="151"/>
              <w:jc w:val="center"/>
              <w:rPr>
                <w:rFonts w:hint="eastAsia" w:ascii="宋体" w:hAnsi="宋体" w:eastAsia="宋体" w:cs="宋体"/>
                <w:b/>
                <w:sz w:val="19"/>
              </w:rPr>
            </w:pPr>
            <w:r>
              <w:rPr>
                <w:rFonts w:hint="eastAsia" w:ascii="宋体" w:hAnsi="宋体" w:eastAsia="宋体" w:cs="宋体"/>
                <w:b/>
                <w:sz w:val="19"/>
              </w:rPr>
              <w:t>招标技术</w:t>
            </w:r>
          </w:p>
          <w:p>
            <w:pPr>
              <w:pStyle w:val="19"/>
              <w:spacing w:before="141"/>
              <w:ind w:left="147" w:right="151"/>
              <w:jc w:val="center"/>
              <w:rPr>
                <w:rFonts w:hint="eastAsia" w:ascii="宋体" w:hAnsi="宋体" w:eastAsia="宋体" w:cs="宋体"/>
                <w:b/>
                <w:sz w:val="19"/>
              </w:rPr>
            </w:pPr>
            <w:r>
              <w:rPr>
                <w:rFonts w:hint="eastAsia" w:ascii="宋体" w:hAnsi="宋体" w:eastAsia="宋体" w:cs="宋体"/>
                <w:b/>
                <w:sz w:val="19"/>
              </w:rPr>
              <w:t>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7</w:t>
            </w:r>
          </w:p>
        </w:tc>
        <w:tc>
          <w:tcPr>
            <w:tcW w:w="1308" w:type="dxa"/>
          </w:tcPr>
          <w:p>
            <w:pPr>
              <w:pStyle w:val="19"/>
              <w:rPr>
                <w:rFonts w:hint="eastAsia" w:ascii="宋体" w:hAnsi="宋体" w:eastAsia="宋体" w:cs="宋体"/>
                <w:sz w:val="16"/>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其他台</w:t>
            </w:r>
          </w:p>
          <w:p>
            <w:pPr>
              <w:pStyle w:val="19"/>
              <w:spacing w:before="141"/>
              <w:ind w:left="101"/>
              <w:rPr>
                <w:rFonts w:hint="eastAsia" w:ascii="宋体" w:hAnsi="宋体" w:eastAsia="宋体" w:cs="宋体"/>
                <w:sz w:val="19"/>
              </w:rPr>
            </w:pPr>
            <w:r>
              <w:rPr>
                <w:rFonts w:hint="eastAsia" w:ascii="宋体" w:hAnsi="宋体" w:eastAsia="宋体" w:cs="宋体"/>
                <w:sz w:val="19"/>
              </w:rPr>
              <w:t>、桌类</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多功能座椅</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位</w:t>
            </w:r>
          </w:p>
        </w:tc>
        <w:tc>
          <w:tcPr>
            <w:tcW w:w="612" w:type="dxa"/>
          </w:tcPr>
          <w:p>
            <w:pPr>
              <w:pStyle w:val="19"/>
              <w:spacing w:before="60"/>
              <w:ind w:left="209"/>
              <w:rPr>
                <w:rFonts w:hint="eastAsia" w:ascii="宋体" w:hAnsi="宋体" w:eastAsia="宋体" w:cs="宋体"/>
                <w:sz w:val="19"/>
              </w:rPr>
            </w:pPr>
            <w:r>
              <w:rPr>
                <w:rFonts w:hint="eastAsia" w:ascii="宋体" w:hAnsi="宋体" w:eastAsia="宋体" w:cs="宋体"/>
                <w:w w:val="140"/>
                <w:sz w:val="19"/>
              </w:rPr>
              <w:t>42.</w:t>
            </w:r>
          </w:p>
          <w:p>
            <w:pPr>
              <w:pStyle w:val="19"/>
              <w:spacing w:before="141"/>
              <w:ind w:left="269"/>
              <w:rPr>
                <w:rFonts w:hint="eastAsia" w:ascii="宋体" w:hAnsi="宋体" w:eastAsia="宋体" w:cs="宋体"/>
                <w:sz w:val="19"/>
              </w:rPr>
            </w:pPr>
            <w:r>
              <w:rPr>
                <w:rFonts w:hint="eastAsia" w:ascii="宋体" w:hAnsi="宋体" w:eastAsia="宋体" w:cs="宋体"/>
                <w:w w:val="130"/>
                <w:sz w:val="19"/>
              </w:rPr>
              <w:t>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0"/>
                <w:sz w:val="19"/>
              </w:rPr>
              <w:t>200.00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8,400.00</w:t>
            </w:r>
          </w:p>
        </w:tc>
        <w:tc>
          <w:tcPr>
            <w:tcW w:w="1248" w:type="dxa"/>
          </w:tcPr>
          <w:p>
            <w:pPr>
              <w:pStyle w:val="19"/>
              <w:spacing w:before="9"/>
              <w:rPr>
                <w:rFonts w:hint="eastAsia" w:ascii="宋体" w:hAnsi="宋体" w:eastAsia="宋体" w:cs="宋体"/>
                <w:b/>
                <w:sz w:val="19"/>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二十七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8</w:t>
            </w:r>
          </w:p>
        </w:tc>
        <w:tc>
          <w:tcPr>
            <w:tcW w:w="1308" w:type="dxa"/>
          </w:tcPr>
          <w:p>
            <w:pPr>
              <w:pStyle w:val="19"/>
              <w:rPr>
                <w:rFonts w:hint="eastAsia" w:ascii="宋体" w:hAnsi="宋体" w:eastAsia="宋体" w:cs="宋体"/>
                <w:sz w:val="16"/>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其他网</w:t>
            </w:r>
          </w:p>
          <w:p>
            <w:pPr>
              <w:pStyle w:val="19"/>
              <w:spacing w:before="141"/>
              <w:ind w:left="101"/>
              <w:rPr>
                <w:rFonts w:hint="eastAsia" w:ascii="宋体" w:hAnsi="宋体" w:eastAsia="宋体" w:cs="宋体"/>
                <w:sz w:val="19"/>
              </w:rPr>
            </w:pPr>
            <w:r>
              <w:rPr>
                <w:rFonts w:hint="eastAsia" w:ascii="宋体" w:hAnsi="宋体" w:eastAsia="宋体" w:cs="宋体"/>
                <w:sz w:val="19"/>
              </w:rPr>
              <w:t>络设备</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综合布线</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w:t>
            </w:r>
          </w:p>
        </w:tc>
        <w:tc>
          <w:tcPr>
            <w:tcW w:w="612" w:type="dxa"/>
          </w:tcPr>
          <w:p>
            <w:pPr>
              <w:pStyle w:val="19"/>
              <w:spacing w:before="60"/>
              <w:ind w:left="149"/>
              <w:rPr>
                <w:rFonts w:hint="eastAsia" w:ascii="宋体" w:hAnsi="宋体" w:eastAsia="宋体" w:cs="宋体"/>
                <w:sz w:val="19"/>
              </w:rPr>
            </w:pPr>
            <w:r>
              <w:rPr>
                <w:rFonts w:hint="eastAsia" w:ascii="宋体" w:hAnsi="宋体" w:eastAsia="宋体" w:cs="宋体"/>
                <w:w w:val="130"/>
                <w:sz w:val="19"/>
              </w:rPr>
              <w:t>160</w:t>
            </w:r>
          </w:p>
          <w:p>
            <w:pPr>
              <w:pStyle w:val="19"/>
              <w:spacing w:before="141"/>
              <w:ind w:left="209"/>
              <w:rPr>
                <w:rFonts w:hint="eastAsia" w:ascii="宋体" w:hAnsi="宋体" w:eastAsia="宋体" w:cs="宋体"/>
                <w:sz w:val="19"/>
              </w:rPr>
            </w:pPr>
            <w:r>
              <w:rPr>
                <w:rFonts w:hint="eastAsia" w:ascii="宋体" w:hAnsi="宋体" w:eastAsia="宋体" w:cs="宋体"/>
                <w:w w:val="140"/>
                <w:sz w:val="19"/>
              </w:rPr>
              <w:t>.00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0"/>
                <w:sz w:val="19"/>
              </w:rPr>
              <w:t>300.00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48,000.00</w:t>
            </w:r>
          </w:p>
        </w:tc>
        <w:tc>
          <w:tcPr>
            <w:tcW w:w="1248" w:type="dxa"/>
          </w:tcPr>
          <w:p>
            <w:pPr>
              <w:pStyle w:val="19"/>
              <w:spacing w:before="60"/>
              <w:ind w:left="102"/>
              <w:rPr>
                <w:rFonts w:hint="eastAsia" w:ascii="宋体" w:hAnsi="宋体" w:eastAsia="宋体" w:cs="宋体"/>
                <w:sz w:val="19"/>
              </w:rPr>
            </w:pPr>
            <w:r>
              <w:rPr>
                <w:rFonts w:hint="eastAsia" w:ascii="宋体" w:hAnsi="宋体" w:eastAsia="宋体" w:cs="宋体"/>
                <w:sz w:val="19"/>
              </w:rPr>
              <w:t>租赁和商务</w:t>
            </w:r>
          </w:p>
          <w:p>
            <w:pPr>
              <w:pStyle w:val="19"/>
              <w:spacing w:before="141"/>
              <w:ind w:left="102"/>
              <w:rPr>
                <w:rFonts w:hint="eastAsia" w:ascii="宋体" w:hAnsi="宋体" w:eastAsia="宋体" w:cs="宋体"/>
                <w:sz w:val="19"/>
              </w:rPr>
            </w:pPr>
            <w:r>
              <w:rPr>
                <w:rFonts w:hint="eastAsia" w:ascii="宋体" w:hAnsi="宋体" w:eastAsia="宋体" w:cs="宋体"/>
                <w:sz w:val="19"/>
              </w:rPr>
              <w:t>服务业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二十八</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2</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9</w:t>
            </w:r>
          </w:p>
        </w:tc>
        <w:tc>
          <w:tcPr>
            <w:tcW w:w="1308" w:type="dxa"/>
          </w:tcPr>
          <w:p>
            <w:pPr>
              <w:pStyle w:val="19"/>
              <w:rPr>
                <w:rFonts w:hint="eastAsia" w:ascii="宋体" w:hAnsi="宋体" w:eastAsia="宋体" w:cs="宋体"/>
                <w:sz w:val="16"/>
              </w:rPr>
            </w:pPr>
          </w:p>
        </w:tc>
        <w:tc>
          <w:tcPr>
            <w:tcW w:w="960" w:type="dxa"/>
          </w:tcPr>
          <w:p>
            <w:pPr>
              <w:pStyle w:val="19"/>
              <w:spacing w:before="60"/>
              <w:ind w:left="101"/>
              <w:rPr>
                <w:rFonts w:hint="eastAsia" w:ascii="宋体" w:hAnsi="宋体" w:eastAsia="宋体" w:cs="宋体"/>
                <w:sz w:val="19"/>
              </w:rPr>
            </w:pPr>
            <w:r>
              <w:rPr>
                <w:rFonts w:hint="eastAsia" w:ascii="宋体" w:hAnsi="宋体" w:eastAsia="宋体" w:cs="宋体"/>
                <w:sz w:val="19"/>
              </w:rPr>
              <w:t>其他建</w:t>
            </w:r>
          </w:p>
          <w:p>
            <w:pPr>
              <w:pStyle w:val="19"/>
              <w:spacing w:before="141"/>
              <w:ind w:left="101"/>
              <w:rPr>
                <w:rFonts w:hint="eastAsia" w:ascii="宋体" w:hAnsi="宋体" w:eastAsia="宋体" w:cs="宋体"/>
                <w:sz w:val="19"/>
              </w:rPr>
            </w:pPr>
            <w:r>
              <w:rPr>
                <w:rFonts w:hint="eastAsia" w:ascii="宋体" w:hAnsi="宋体" w:eastAsia="宋体" w:cs="宋体"/>
                <w:sz w:val="19"/>
              </w:rPr>
              <w:t>筑建材</w:t>
            </w:r>
          </w:p>
        </w:tc>
        <w:tc>
          <w:tcPr>
            <w:tcW w:w="1512" w:type="dxa"/>
          </w:tcPr>
          <w:p>
            <w:pPr>
              <w:pStyle w:val="19"/>
              <w:spacing w:before="9"/>
              <w:rPr>
                <w:rFonts w:hint="eastAsia" w:ascii="宋体" w:hAnsi="宋体" w:eastAsia="宋体" w:cs="宋体"/>
                <w:b/>
                <w:sz w:val="19"/>
              </w:rPr>
            </w:pPr>
          </w:p>
          <w:p>
            <w:pPr>
              <w:pStyle w:val="19"/>
              <w:ind w:left="101"/>
              <w:rPr>
                <w:rFonts w:hint="eastAsia" w:ascii="宋体" w:hAnsi="宋体" w:eastAsia="宋体" w:cs="宋体"/>
                <w:sz w:val="19"/>
              </w:rPr>
            </w:pPr>
            <w:r>
              <w:rPr>
                <w:rFonts w:hint="eastAsia" w:ascii="宋体" w:hAnsi="宋体" w:eastAsia="宋体" w:cs="宋体"/>
                <w:sz w:val="19"/>
              </w:rPr>
              <w:t>环境布置</w:t>
            </w:r>
          </w:p>
        </w:tc>
        <w:tc>
          <w:tcPr>
            <w:tcW w:w="432" w:type="dxa"/>
          </w:tcPr>
          <w:p>
            <w:pPr>
              <w:pStyle w:val="19"/>
              <w:spacing w:before="9"/>
              <w:rPr>
                <w:rFonts w:hint="eastAsia" w:ascii="宋体" w:hAnsi="宋体" w:eastAsia="宋体" w:cs="宋体"/>
                <w:b/>
                <w:sz w:val="19"/>
              </w:rPr>
            </w:pPr>
          </w:p>
          <w:p>
            <w:pPr>
              <w:pStyle w:val="19"/>
              <w:ind w:right="19"/>
              <w:jc w:val="center"/>
              <w:rPr>
                <w:rFonts w:hint="eastAsia" w:ascii="宋体" w:hAnsi="宋体" w:eastAsia="宋体" w:cs="宋体"/>
                <w:sz w:val="19"/>
              </w:rPr>
            </w:pPr>
            <w:r>
              <w:rPr>
                <w:rFonts w:hint="eastAsia" w:ascii="宋体" w:hAnsi="宋体" w:eastAsia="宋体" w:cs="宋体"/>
                <w:w w:val="101"/>
                <w:sz w:val="19"/>
              </w:rPr>
              <w:t>㎡</w:t>
            </w:r>
          </w:p>
        </w:tc>
        <w:tc>
          <w:tcPr>
            <w:tcW w:w="612" w:type="dxa"/>
          </w:tcPr>
          <w:p>
            <w:pPr>
              <w:pStyle w:val="19"/>
              <w:spacing w:before="60"/>
              <w:ind w:left="149"/>
              <w:rPr>
                <w:rFonts w:hint="eastAsia" w:ascii="宋体" w:hAnsi="宋体" w:eastAsia="宋体" w:cs="宋体"/>
                <w:sz w:val="19"/>
              </w:rPr>
            </w:pPr>
            <w:r>
              <w:rPr>
                <w:rFonts w:hint="eastAsia" w:ascii="宋体" w:hAnsi="宋体" w:eastAsia="宋体" w:cs="宋体"/>
                <w:w w:val="130"/>
                <w:sz w:val="19"/>
              </w:rPr>
              <w:t>160</w:t>
            </w:r>
          </w:p>
          <w:p>
            <w:pPr>
              <w:pStyle w:val="19"/>
              <w:spacing w:before="141"/>
              <w:ind w:left="209"/>
              <w:rPr>
                <w:rFonts w:hint="eastAsia" w:ascii="宋体" w:hAnsi="宋体" w:eastAsia="宋体" w:cs="宋体"/>
                <w:sz w:val="19"/>
              </w:rPr>
            </w:pPr>
            <w:r>
              <w:rPr>
                <w:rFonts w:hint="eastAsia" w:ascii="宋体" w:hAnsi="宋体" w:eastAsia="宋体" w:cs="宋体"/>
                <w:w w:val="140"/>
                <w:sz w:val="19"/>
              </w:rPr>
              <w:t>.00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2,000.00</w:t>
            </w:r>
          </w:p>
        </w:tc>
        <w:tc>
          <w:tcPr>
            <w:tcW w:w="1464" w:type="dxa"/>
          </w:tcPr>
          <w:p>
            <w:pPr>
              <w:pStyle w:val="19"/>
              <w:spacing w:before="9"/>
              <w:rPr>
                <w:rFonts w:hint="eastAsia" w:ascii="宋体" w:hAnsi="宋体" w:eastAsia="宋体" w:cs="宋体"/>
                <w:b/>
                <w:sz w:val="19"/>
              </w:rPr>
            </w:pPr>
          </w:p>
          <w:p>
            <w:pPr>
              <w:pStyle w:val="19"/>
              <w:ind w:right="82"/>
              <w:jc w:val="right"/>
              <w:rPr>
                <w:rFonts w:hint="eastAsia" w:ascii="宋体" w:hAnsi="宋体" w:eastAsia="宋体" w:cs="宋体"/>
                <w:sz w:val="19"/>
              </w:rPr>
            </w:pPr>
            <w:r>
              <w:rPr>
                <w:rFonts w:hint="eastAsia" w:ascii="宋体" w:hAnsi="宋体" w:eastAsia="宋体" w:cs="宋体"/>
                <w:w w:val="135"/>
                <w:sz w:val="19"/>
              </w:rPr>
              <w:t>320,000.00</w:t>
            </w:r>
          </w:p>
        </w:tc>
        <w:tc>
          <w:tcPr>
            <w:tcW w:w="1248" w:type="dxa"/>
          </w:tcPr>
          <w:p>
            <w:pPr>
              <w:pStyle w:val="19"/>
              <w:spacing w:before="60"/>
              <w:ind w:left="102"/>
              <w:rPr>
                <w:rFonts w:hint="eastAsia" w:ascii="宋体" w:hAnsi="宋体" w:eastAsia="宋体" w:cs="宋体"/>
                <w:sz w:val="19"/>
              </w:rPr>
            </w:pPr>
            <w:r>
              <w:rPr>
                <w:rFonts w:hint="eastAsia" w:ascii="宋体" w:hAnsi="宋体" w:eastAsia="宋体" w:cs="宋体"/>
                <w:sz w:val="19"/>
              </w:rPr>
              <w:t>租赁和商务</w:t>
            </w:r>
          </w:p>
          <w:p>
            <w:pPr>
              <w:pStyle w:val="19"/>
              <w:spacing w:before="141"/>
              <w:ind w:left="102"/>
              <w:rPr>
                <w:rFonts w:hint="eastAsia" w:ascii="宋体" w:hAnsi="宋体" w:eastAsia="宋体" w:cs="宋体"/>
                <w:sz w:val="19"/>
              </w:rPr>
            </w:pPr>
            <w:r>
              <w:rPr>
                <w:rFonts w:hint="eastAsia" w:ascii="宋体" w:hAnsi="宋体" w:eastAsia="宋体" w:cs="宋体"/>
                <w:sz w:val="19"/>
              </w:rPr>
              <w:t>服务业</w:t>
            </w:r>
          </w:p>
        </w:tc>
        <w:tc>
          <w:tcPr>
            <w:tcW w:w="1116" w:type="dxa"/>
          </w:tcPr>
          <w:p>
            <w:pPr>
              <w:pStyle w:val="19"/>
              <w:spacing w:before="60"/>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二十九</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5" w:hRule="atLeast"/>
        </w:trPr>
        <w:tc>
          <w:tcPr>
            <w:tcW w:w="432" w:type="dxa"/>
          </w:tcPr>
          <w:p>
            <w:pPr>
              <w:pStyle w:val="19"/>
              <w:spacing w:before="60"/>
              <w:ind w:left="14"/>
              <w:jc w:val="center"/>
              <w:rPr>
                <w:rFonts w:hint="eastAsia" w:ascii="宋体" w:hAnsi="宋体" w:eastAsia="宋体" w:cs="宋体"/>
                <w:sz w:val="19"/>
              </w:rPr>
            </w:pPr>
            <w:r>
              <w:rPr>
                <w:rFonts w:hint="eastAsia" w:ascii="宋体" w:hAnsi="宋体" w:eastAsia="宋体" w:cs="宋体"/>
                <w:w w:val="128"/>
                <w:sz w:val="19"/>
              </w:rPr>
              <w:t>3</w:t>
            </w:r>
          </w:p>
          <w:p>
            <w:pPr>
              <w:pStyle w:val="19"/>
              <w:spacing w:before="141"/>
              <w:ind w:left="14"/>
              <w:jc w:val="center"/>
              <w:rPr>
                <w:rFonts w:hint="eastAsia" w:ascii="宋体" w:hAnsi="宋体" w:eastAsia="宋体" w:cs="宋体"/>
                <w:sz w:val="19"/>
              </w:rPr>
            </w:pPr>
            <w:r>
              <w:rPr>
                <w:rFonts w:hint="eastAsia" w:ascii="宋体" w:hAnsi="宋体" w:eastAsia="宋体" w:cs="宋体"/>
                <w:w w:val="128"/>
                <w:sz w:val="19"/>
              </w:rPr>
              <w:t>0</w:t>
            </w:r>
          </w:p>
        </w:tc>
        <w:tc>
          <w:tcPr>
            <w:tcW w:w="1308" w:type="dxa"/>
          </w:tcPr>
          <w:p>
            <w:pPr>
              <w:pStyle w:val="19"/>
              <w:rPr>
                <w:rFonts w:hint="eastAsia" w:ascii="宋体" w:hAnsi="宋体" w:eastAsia="宋体" w:cs="宋体"/>
                <w:sz w:val="16"/>
              </w:rPr>
            </w:pPr>
          </w:p>
        </w:tc>
        <w:tc>
          <w:tcPr>
            <w:tcW w:w="960" w:type="dxa"/>
          </w:tcPr>
          <w:p>
            <w:pPr>
              <w:pStyle w:val="19"/>
              <w:spacing w:before="84"/>
              <w:ind w:left="101"/>
              <w:rPr>
                <w:rFonts w:hint="eastAsia" w:ascii="宋体" w:hAnsi="宋体" w:eastAsia="宋体" w:cs="宋体"/>
                <w:sz w:val="19"/>
              </w:rPr>
            </w:pPr>
            <w:r>
              <w:rPr>
                <w:rFonts w:hint="eastAsia" w:ascii="宋体" w:hAnsi="宋体" w:eastAsia="宋体" w:cs="宋体"/>
                <w:sz w:val="19"/>
              </w:rPr>
              <w:t>其他计</w:t>
            </w:r>
          </w:p>
          <w:p>
            <w:pPr>
              <w:pStyle w:val="19"/>
              <w:spacing w:before="141"/>
              <w:ind w:left="101"/>
              <w:rPr>
                <w:rFonts w:hint="eastAsia" w:ascii="宋体" w:hAnsi="宋体" w:eastAsia="宋体" w:cs="宋体"/>
                <w:sz w:val="19"/>
              </w:rPr>
            </w:pPr>
            <w:r>
              <w:rPr>
                <w:rFonts w:hint="eastAsia" w:ascii="宋体" w:hAnsi="宋体" w:eastAsia="宋体" w:cs="宋体"/>
                <w:sz w:val="19"/>
              </w:rPr>
              <w:t>算机</w:t>
            </w:r>
          </w:p>
        </w:tc>
        <w:tc>
          <w:tcPr>
            <w:tcW w:w="1512" w:type="dxa"/>
          </w:tcPr>
          <w:p>
            <w:pPr>
              <w:pStyle w:val="19"/>
              <w:spacing w:before="84"/>
              <w:ind w:left="101"/>
              <w:rPr>
                <w:rFonts w:hint="eastAsia" w:ascii="宋体" w:hAnsi="宋体" w:eastAsia="宋体" w:cs="宋体"/>
                <w:sz w:val="19"/>
              </w:rPr>
            </w:pPr>
            <w:r>
              <w:rPr>
                <w:rFonts w:hint="eastAsia" w:ascii="宋体" w:hAnsi="宋体" w:eastAsia="宋体" w:cs="宋体"/>
                <w:sz w:val="19"/>
              </w:rPr>
              <w:t>虚拟仿真教研</w:t>
            </w:r>
          </w:p>
          <w:p>
            <w:pPr>
              <w:pStyle w:val="19"/>
              <w:spacing w:before="141"/>
              <w:ind w:left="101"/>
              <w:rPr>
                <w:rFonts w:hint="eastAsia" w:ascii="宋体" w:hAnsi="宋体" w:eastAsia="宋体" w:cs="宋体"/>
                <w:sz w:val="19"/>
              </w:rPr>
            </w:pPr>
            <w:r>
              <w:rPr>
                <w:rFonts w:hint="eastAsia" w:ascii="宋体" w:hAnsi="宋体" w:eastAsia="宋体" w:cs="宋体"/>
                <w:sz w:val="19"/>
              </w:rPr>
              <w:t>管理平台</w:t>
            </w:r>
          </w:p>
        </w:tc>
        <w:tc>
          <w:tcPr>
            <w:tcW w:w="432" w:type="dxa"/>
          </w:tcPr>
          <w:p>
            <w:pPr>
              <w:pStyle w:val="19"/>
              <w:spacing w:before="7"/>
              <w:rPr>
                <w:rFonts w:hint="eastAsia" w:ascii="宋体" w:hAnsi="宋体" w:eastAsia="宋体" w:cs="宋体"/>
                <w:b/>
                <w:sz w:val="21"/>
              </w:rPr>
            </w:pPr>
          </w:p>
          <w:p>
            <w:pPr>
              <w:pStyle w:val="19"/>
              <w:ind w:right="19"/>
              <w:jc w:val="center"/>
              <w:rPr>
                <w:rFonts w:hint="eastAsia" w:ascii="宋体" w:hAnsi="宋体" w:eastAsia="宋体" w:cs="宋体"/>
                <w:sz w:val="19"/>
              </w:rPr>
            </w:pPr>
            <w:r>
              <w:rPr>
                <w:rFonts w:hint="eastAsia" w:ascii="宋体" w:hAnsi="宋体" w:eastAsia="宋体" w:cs="宋体"/>
                <w:w w:val="101"/>
                <w:sz w:val="19"/>
              </w:rPr>
              <w:t>套</w:t>
            </w:r>
          </w:p>
        </w:tc>
        <w:tc>
          <w:tcPr>
            <w:tcW w:w="612" w:type="dxa"/>
          </w:tcPr>
          <w:p>
            <w:pPr>
              <w:pStyle w:val="19"/>
              <w:spacing w:before="84"/>
              <w:ind w:right="82"/>
              <w:jc w:val="right"/>
              <w:rPr>
                <w:rFonts w:hint="eastAsia" w:ascii="宋体" w:hAnsi="宋体" w:eastAsia="宋体" w:cs="宋体"/>
                <w:sz w:val="19"/>
              </w:rPr>
            </w:pPr>
            <w:r>
              <w:rPr>
                <w:rFonts w:hint="eastAsia" w:ascii="宋体" w:hAnsi="宋体" w:eastAsia="宋体" w:cs="宋体"/>
                <w:w w:val="135"/>
                <w:sz w:val="19"/>
              </w:rPr>
              <w:t>1.0</w:t>
            </w:r>
          </w:p>
          <w:p>
            <w:pPr>
              <w:pStyle w:val="19"/>
              <w:spacing w:before="141"/>
              <w:ind w:right="82"/>
              <w:jc w:val="right"/>
              <w:rPr>
                <w:rFonts w:hint="eastAsia" w:ascii="宋体" w:hAnsi="宋体" w:eastAsia="宋体" w:cs="宋体"/>
                <w:sz w:val="19"/>
              </w:rPr>
            </w:pPr>
            <w:r>
              <w:rPr>
                <w:rFonts w:hint="eastAsia" w:ascii="宋体" w:hAnsi="宋体" w:eastAsia="宋体" w:cs="宋体"/>
                <w:w w:val="128"/>
                <w:sz w:val="19"/>
              </w:rPr>
              <w:t>0</w:t>
            </w:r>
          </w:p>
        </w:tc>
        <w:tc>
          <w:tcPr>
            <w:tcW w:w="1464" w:type="dxa"/>
          </w:tcPr>
          <w:p>
            <w:pPr>
              <w:pStyle w:val="19"/>
              <w:spacing w:before="7"/>
              <w:rPr>
                <w:rFonts w:hint="eastAsia" w:ascii="宋体" w:hAnsi="宋体" w:eastAsia="宋体" w:cs="宋体"/>
                <w:b/>
                <w:sz w:val="21"/>
              </w:rPr>
            </w:pPr>
          </w:p>
          <w:p>
            <w:pPr>
              <w:pStyle w:val="19"/>
              <w:ind w:right="82"/>
              <w:jc w:val="right"/>
              <w:rPr>
                <w:rFonts w:hint="eastAsia" w:ascii="宋体" w:hAnsi="宋体" w:eastAsia="宋体" w:cs="宋体"/>
                <w:sz w:val="19"/>
              </w:rPr>
            </w:pPr>
            <w:r>
              <w:rPr>
                <w:rFonts w:hint="eastAsia" w:ascii="宋体" w:hAnsi="宋体" w:eastAsia="宋体" w:cs="宋体"/>
                <w:w w:val="135"/>
                <w:sz w:val="19"/>
              </w:rPr>
              <w:t>100,000.00</w:t>
            </w:r>
          </w:p>
        </w:tc>
        <w:tc>
          <w:tcPr>
            <w:tcW w:w="1464" w:type="dxa"/>
          </w:tcPr>
          <w:p>
            <w:pPr>
              <w:pStyle w:val="19"/>
              <w:spacing w:before="7"/>
              <w:rPr>
                <w:rFonts w:hint="eastAsia" w:ascii="宋体" w:hAnsi="宋体" w:eastAsia="宋体" w:cs="宋体"/>
                <w:b/>
                <w:sz w:val="21"/>
              </w:rPr>
            </w:pPr>
          </w:p>
          <w:p>
            <w:pPr>
              <w:pStyle w:val="19"/>
              <w:ind w:right="82"/>
              <w:jc w:val="right"/>
              <w:rPr>
                <w:rFonts w:hint="eastAsia" w:ascii="宋体" w:hAnsi="宋体" w:eastAsia="宋体" w:cs="宋体"/>
                <w:sz w:val="19"/>
              </w:rPr>
            </w:pPr>
            <w:r>
              <w:rPr>
                <w:rFonts w:hint="eastAsia" w:ascii="宋体" w:hAnsi="宋体" w:eastAsia="宋体" w:cs="宋体"/>
                <w:w w:val="135"/>
                <w:sz w:val="19"/>
              </w:rPr>
              <w:t>100,000.00</w:t>
            </w:r>
          </w:p>
        </w:tc>
        <w:tc>
          <w:tcPr>
            <w:tcW w:w="1248" w:type="dxa"/>
          </w:tcPr>
          <w:p>
            <w:pPr>
              <w:pStyle w:val="19"/>
              <w:spacing w:before="7"/>
              <w:rPr>
                <w:rFonts w:hint="eastAsia" w:ascii="宋体" w:hAnsi="宋体" w:eastAsia="宋体" w:cs="宋体"/>
                <w:b/>
                <w:sz w:val="21"/>
              </w:rPr>
            </w:pPr>
          </w:p>
          <w:p>
            <w:pPr>
              <w:pStyle w:val="19"/>
              <w:ind w:left="102"/>
              <w:rPr>
                <w:rFonts w:hint="eastAsia" w:ascii="宋体" w:hAnsi="宋体" w:eastAsia="宋体" w:cs="宋体"/>
                <w:sz w:val="19"/>
              </w:rPr>
            </w:pPr>
            <w:r>
              <w:rPr>
                <w:rFonts w:hint="eastAsia" w:ascii="宋体" w:hAnsi="宋体" w:eastAsia="宋体" w:cs="宋体"/>
                <w:sz w:val="19"/>
              </w:rPr>
              <w:t>工业</w:t>
            </w:r>
          </w:p>
        </w:tc>
        <w:tc>
          <w:tcPr>
            <w:tcW w:w="1116" w:type="dxa"/>
          </w:tcPr>
          <w:p>
            <w:pPr>
              <w:pStyle w:val="19"/>
              <w:spacing w:before="84"/>
              <w:ind w:left="103"/>
              <w:rPr>
                <w:rFonts w:hint="eastAsia" w:ascii="宋体" w:hAnsi="宋体" w:eastAsia="宋体" w:cs="宋体"/>
                <w:sz w:val="19"/>
              </w:rPr>
            </w:pPr>
            <w:r>
              <w:rPr>
                <w:rFonts w:hint="eastAsia" w:ascii="宋体" w:hAnsi="宋体" w:eastAsia="宋体" w:cs="宋体"/>
                <w:sz w:val="19"/>
              </w:rPr>
              <w:t>详见附表</w:t>
            </w:r>
          </w:p>
          <w:p>
            <w:pPr>
              <w:pStyle w:val="19"/>
              <w:spacing w:before="141"/>
              <w:ind w:left="103"/>
              <w:rPr>
                <w:rFonts w:hint="eastAsia" w:ascii="宋体" w:hAnsi="宋体" w:eastAsia="宋体" w:cs="宋体"/>
                <w:sz w:val="19"/>
              </w:rPr>
            </w:pPr>
            <w:r>
              <w:rPr>
                <w:rFonts w:hint="eastAsia" w:ascii="宋体" w:hAnsi="宋体" w:eastAsia="宋体" w:cs="宋体"/>
                <w:sz w:val="19"/>
              </w:rPr>
              <w:t>三十</w:t>
            </w:r>
          </w:p>
        </w:tc>
      </w:tr>
    </w:tbl>
    <w:p>
      <w:pPr>
        <w:spacing w:before="0" w:line="350" w:lineRule="exact"/>
        <w:ind w:left="120" w:right="0" w:firstLine="0"/>
        <w:jc w:val="left"/>
        <w:rPr>
          <w:rFonts w:hint="eastAsia" w:ascii="宋体" w:hAnsi="宋体" w:eastAsia="宋体" w:cs="宋体"/>
          <w:b/>
          <w:sz w:val="19"/>
        </w:rPr>
      </w:pPr>
      <w:r>
        <w:rPr>
          <w:rFonts w:hint="eastAsia" w:ascii="宋体" w:hAnsi="宋体" w:eastAsia="宋体" w:cs="宋体"/>
          <w:b/>
          <w:sz w:val="19"/>
        </w:rPr>
        <w:t>附表一： LED显示屏幕 是否进口：否</w:t>
      </w:r>
    </w:p>
    <w:p>
      <w:pPr>
        <w:pStyle w:val="9"/>
        <w:spacing w:before="4"/>
        <w:rPr>
          <w:rFonts w:hint="eastAsia" w:ascii="宋体" w:hAnsi="宋体" w:eastAsia="宋体" w:cs="宋体"/>
          <w:b/>
          <w:sz w:val="5"/>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525" w:hRule="atLeast"/>
        </w:trPr>
        <w:tc>
          <w:tcPr>
            <w:tcW w:w="1056" w:type="dxa"/>
            <w:tcBorders>
              <w:bottom w:val="nil"/>
            </w:tcBorders>
          </w:tcPr>
          <w:p>
            <w:pPr>
              <w:pStyle w:val="19"/>
              <w:rPr>
                <w:rFonts w:hint="eastAsia" w:ascii="宋体" w:hAnsi="宋体" w:eastAsia="宋体" w:cs="宋体"/>
                <w:sz w:val="16"/>
              </w:rPr>
            </w:pPr>
          </w:p>
        </w:tc>
        <w:tc>
          <w:tcPr>
            <w:tcW w:w="528" w:type="dxa"/>
            <w:tcBorders>
              <w:bottom w:val="nil"/>
            </w:tcBorders>
          </w:tcPr>
          <w:p>
            <w:pPr>
              <w:pStyle w:val="19"/>
              <w:rPr>
                <w:rFonts w:hint="eastAsia" w:ascii="宋体" w:hAnsi="宋体" w:eastAsia="宋体" w:cs="宋体"/>
                <w:sz w:val="16"/>
              </w:rPr>
            </w:pPr>
          </w:p>
        </w:tc>
        <w:tc>
          <w:tcPr>
            <w:tcW w:w="8966" w:type="dxa"/>
            <w:tcBorders>
              <w:bottom w:val="nil"/>
            </w:tcBorders>
          </w:tcPr>
          <w:p>
            <w:pPr>
              <w:pStyle w:val="19"/>
              <w:spacing w:before="80"/>
              <w:ind w:left="100"/>
              <w:rPr>
                <w:rFonts w:hint="eastAsia" w:ascii="宋体" w:hAnsi="宋体" w:eastAsia="宋体" w:cs="宋体"/>
                <w:sz w:val="17"/>
              </w:rPr>
            </w:pPr>
            <w:r>
              <w:rPr>
                <w:rFonts w:hint="eastAsia" w:ascii="宋体" w:hAnsi="宋体" w:eastAsia="宋体" w:cs="宋体"/>
                <w:w w:val="115"/>
                <w:sz w:val="17"/>
              </w:rPr>
              <w:t>1.像素点间距：≤1.86mm；</w:t>
            </w:r>
          </w:p>
          <w:p>
            <w:pPr>
              <w:pStyle w:val="19"/>
              <w:spacing w:before="167"/>
              <w:ind w:left="100"/>
              <w:rPr>
                <w:rFonts w:hint="eastAsia" w:ascii="宋体" w:hAnsi="宋体" w:eastAsia="宋体" w:cs="宋体"/>
                <w:sz w:val="17"/>
              </w:rPr>
            </w:pPr>
            <w:r>
              <w:rPr>
                <w:rFonts w:hint="eastAsia" w:ascii="宋体" w:hAnsi="宋体" w:eastAsia="宋体" w:cs="宋体"/>
                <w:spacing w:val="1"/>
                <w:w w:val="125"/>
                <w:sz w:val="17"/>
              </w:rPr>
              <w:t>2</w:t>
            </w:r>
            <w:r>
              <w:rPr>
                <w:rFonts w:hint="eastAsia" w:ascii="宋体" w:hAnsi="宋体" w:eastAsia="宋体" w:cs="宋体"/>
                <w:spacing w:val="-6"/>
                <w:w w:val="154"/>
                <w:sz w:val="17"/>
              </w:rPr>
              <w:t>.</w:t>
            </w:r>
            <w:r>
              <w:rPr>
                <w:rFonts w:hint="eastAsia" w:ascii="宋体" w:hAnsi="宋体" w:eastAsia="宋体" w:cs="宋体"/>
                <w:w w:val="98"/>
                <w:sz w:val="17"/>
              </w:rPr>
              <w:t>像素密度：</w:t>
            </w:r>
            <w:r>
              <w:rPr>
                <w:rFonts w:hint="eastAsia" w:ascii="宋体" w:hAnsi="宋体" w:eastAsia="宋体" w:cs="宋体"/>
                <w:spacing w:val="3"/>
                <w:w w:val="164"/>
                <w:sz w:val="17"/>
              </w:rPr>
              <w:t>≥</w:t>
            </w:r>
            <w:r>
              <w:rPr>
                <w:rFonts w:hint="eastAsia" w:ascii="宋体" w:hAnsi="宋体" w:eastAsia="宋体" w:cs="宋体"/>
                <w:spacing w:val="1"/>
                <w:w w:val="125"/>
                <w:sz w:val="17"/>
              </w:rPr>
              <w:t>288906</w:t>
            </w:r>
            <w:r>
              <w:rPr>
                <w:rFonts w:hint="eastAsia" w:ascii="宋体" w:hAnsi="宋体" w:eastAsia="宋体" w:cs="宋体"/>
                <w:spacing w:val="2"/>
                <w:w w:val="117"/>
                <w:sz w:val="17"/>
              </w:rPr>
              <w:t>D</w:t>
            </w:r>
            <w:r>
              <w:rPr>
                <w:rFonts w:hint="eastAsia" w:ascii="宋体" w:hAnsi="宋体" w:eastAsia="宋体" w:cs="宋体"/>
                <w:spacing w:val="5"/>
                <w:w w:val="119"/>
                <w:sz w:val="17"/>
              </w:rPr>
              <w:t>o</w:t>
            </w:r>
            <w:r>
              <w:rPr>
                <w:rFonts w:hint="eastAsia" w:ascii="宋体" w:hAnsi="宋体" w:eastAsia="宋体" w:cs="宋体"/>
                <w:spacing w:val="-6"/>
                <w:w w:val="110"/>
                <w:sz w:val="17"/>
              </w:rPr>
              <w:t>t</w:t>
            </w:r>
            <w:r>
              <w:rPr>
                <w:rFonts w:hint="eastAsia" w:ascii="宋体" w:hAnsi="宋体" w:eastAsia="宋体" w:cs="宋体"/>
                <w:spacing w:val="8"/>
                <w:w w:val="111"/>
                <w:sz w:val="17"/>
              </w:rPr>
              <w:t>s</w:t>
            </w:r>
            <w:r>
              <w:rPr>
                <w:rFonts w:hint="eastAsia" w:ascii="宋体" w:hAnsi="宋体" w:eastAsia="宋体" w:cs="宋体"/>
                <w:spacing w:val="3"/>
                <w:w w:val="66"/>
                <w:sz w:val="17"/>
              </w:rPr>
              <w:t>/</w:t>
            </w:r>
            <w:r>
              <w:rPr>
                <w:rFonts w:hint="eastAsia" w:ascii="宋体" w:hAnsi="宋体" w:eastAsia="宋体" w:cs="宋体"/>
                <w:spacing w:val="-8"/>
                <w:w w:val="131"/>
                <w:sz w:val="17"/>
              </w:rPr>
              <w:t>m</w:t>
            </w:r>
            <w:r>
              <w:rPr>
                <w:rFonts w:hint="eastAsia" w:ascii="宋体" w:hAnsi="宋体" w:eastAsia="宋体" w:cs="宋体"/>
                <w:spacing w:val="1"/>
                <w:w w:val="125"/>
                <w:sz w:val="17"/>
              </w:rPr>
              <w:t>2</w:t>
            </w:r>
            <w:r>
              <w:rPr>
                <w:rFonts w:hint="eastAsia" w:ascii="宋体" w:hAnsi="宋体" w:eastAsia="宋体" w:cs="宋体"/>
                <w:w w:val="98"/>
                <w:sz w:val="17"/>
              </w:rPr>
              <w:t>；</w:t>
            </w:r>
          </w:p>
          <w:p>
            <w:pPr>
              <w:pStyle w:val="19"/>
              <w:numPr>
                <w:ilvl w:val="0"/>
                <w:numId w:val="34"/>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单元板分辨率：≥14792Dots；</w:t>
            </w:r>
          </w:p>
          <w:p>
            <w:pPr>
              <w:pStyle w:val="19"/>
              <w:numPr>
                <w:ilvl w:val="0"/>
                <w:numId w:val="34"/>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显示效果：4K超清显示、色温均匀性好、亮度均匀性好，对比度高、色域广；</w:t>
            </w:r>
          </w:p>
          <w:p>
            <w:pPr>
              <w:pStyle w:val="19"/>
              <w:numPr>
                <w:ilvl w:val="0"/>
                <w:numId w:val="34"/>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驱动方式：恒流驱动；</w:t>
            </w:r>
          </w:p>
          <w:p>
            <w:pPr>
              <w:pStyle w:val="19"/>
              <w:numPr>
                <w:ilvl w:val="0"/>
                <w:numId w:val="34"/>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98"/>
                <w:sz w:val="17"/>
              </w:rPr>
              <w:t>供电方式：支持电源均流</w:t>
            </w:r>
            <w:r>
              <w:rPr>
                <w:rFonts w:hint="eastAsia" w:ascii="宋体" w:hAnsi="宋体" w:eastAsia="宋体" w:cs="宋体"/>
                <w:spacing w:val="2"/>
                <w:w w:val="117"/>
                <w:sz w:val="17"/>
              </w:rPr>
              <w:t>D</w:t>
            </w:r>
            <w:r>
              <w:rPr>
                <w:rFonts w:hint="eastAsia" w:ascii="宋体" w:hAnsi="宋体" w:eastAsia="宋体" w:cs="宋体"/>
                <w:spacing w:val="2"/>
                <w:w w:val="103"/>
                <w:sz w:val="17"/>
              </w:rPr>
              <w:t>C</w:t>
            </w:r>
            <w:r>
              <w:rPr>
                <w:rFonts w:hint="eastAsia" w:ascii="宋体" w:hAnsi="宋体" w:eastAsia="宋体" w:cs="宋体"/>
                <w:spacing w:val="1"/>
                <w:w w:val="125"/>
                <w:sz w:val="17"/>
              </w:rPr>
              <w:t>4</w:t>
            </w:r>
            <w:r>
              <w:rPr>
                <w:rFonts w:hint="eastAsia" w:ascii="宋体" w:hAnsi="宋体" w:eastAsia="宋体" w:cs="宋体"/>
                <w:spacing w:val="-6"/>
                <w:w w:val="154"/>
                <w:sz w:val="17"/>
              </w:rPr>
              <w:t>.</w:t>
            </w:r>
            <w:r>
              <w:rPr>
                <w:rFonts w:hint="eastAsia" w:ascii="宋体" w:hAnsi="宋体" w:eastAsia="宋体" w:cs="宋体"/>
                <w:spacing w:val="1"/>
                <w:w w:val="125"/>
                <w:sz w:val="17"/>
              </w:rPr>
              <w:t>2</w:t>
            </w:r>
            <w:r>
              <w:rPr>
                <w:rFonts w:hint="eastAsia" w:ascii="宋体" w:hAnsi="宋体" w:eastAsia="宋体" w:cs="宋体"/>
                <w:spacing w:val="-7"/>
                <w:w w:val="106"/>
                <w:sz w:val="17"/>
              </w:rPr>
              <w:t>V</w:t>
            </w:r>
            <w:r>
              <w:rPr>
                <w:rFonts w:hint="eastAsia" w:ascii="宋体" w:hAnsi="宋体" w:eastAsia="宋体" w:cs="宋体"/>
                <w:w w:val="98"/>
                <w:sz w:val="17"/>
              </w:rPr>
              <w:t>～</w:t>
            </w:r>
            <w:r>
              <w:rPr>
                <w:rFonts w:hint="eastAsia" w:ascii="宋体" w:hAnsi="宋体" w:eastAsia="宋体" w:cs="宋体"/>
                <w:spacing w:val="2"/>
                <w:w w:val="117"/>
                <w:sz w:val="17"/>
              </w:rPr>
              <w:t>D</w:t>
            </w:r>
            <w:r>
              <w:rPr>
                <w:rFonts w:hint="eastAsia" w:ascii="宋体" w:hAnsi="宋体" w:eastAsia="宋体" w:cs="宋体"/>
                <w:spacing w:val="2"/>
                <w:w w:val="103"/>
                <w:sz w:val="17"/>
              </w:rPr>
              <w:t>C</w:t>
            </w:r>
            <w:r>
              <w:rPr>
                <w:rFonts w:hint="eastAsia" w:ascii="宋体" w:hAnsi="宋体" w:eastAsia="宋体" w:cs="宋体"/>
                <w:spacing w:val="1"/>
                <w:w w:val="125"/>
                <w:sz w:val="17"/>
              </w:rPr>
              <w:t>5</w:t>
            </w:r>
            <w:r>
              <w:rPr>
                <w:rFonts w:hint="eastAsia" w:ascii="宋体" w:hAnsi="宋体" w:eastAsia="宋体" w:cs="宋体"/>
                <w:spacing w:val="-7"/>
                <w:w w:val="106"/>
                <w:sz w:val="17"/>
              </w:rPr>
              <w:t>V</w:t>
            </w:r>
            <w:r>
              <w:rPr>
                <w:rFonts w:hint="eastAsia" w:ascii="宋体" w:hAnsi="宋体" w:eastAsia="宋体" w:cs="宋体"/>
                <w:w w:val="98"/>
                <w:sz w:val="17"/>
              </w:rPr>
              <w:t>，供电支持电源双输出电压</w:t>
            </w:r>
            <w:r>
              <w:rPr>
                <w:rFonts w:hint="eastAsia" w:ascii="宋体" w:hAnsi="宋体" w:eastAsia="宋体" w:cs="宋体"/>
                <w:spacing w:val="2"/>
                <w:w w:val="117"/>
                <w:sz w:val="17"/>
              </w:rPr>
              <w:t>D</w:t>
            </w:r>
            <w:r>
              <w:rPr>
                <w:rFonts w:hint="eastAsia" w:ascii="宋体" w:hAnsi="宋体" w:eastAsia="宋体" w:cs="宋体"/>
                <w:spacing w:val="2"/>
                <w:w w:val="103"/>
                <w:sz w:val="17"/>
              </w:rPr>
              <w:t>C</w:t>
            </w:r>
            <w:r>
              <w:rPr>
                <w:rFonts w:hint="eastAsia" w:ascii="宋体" w:hAnsi="宋体" w:eastAsia="宋体" w:cs="宋体"/>
                <w:spacing w:val="1"/>
                <w:w w:val="125"/>
                <w:sz w:val="17"/>
              </w:rPr>
              <w:t>2</w:t>
            </w:r>
            <w:r>
              <w:rPr>
                <w:rFonts w:hint="eastAsia" w:ascii="宋体" w:hAnsi="宋体" w:eastAsia="宋体" w:cs="宋体"/>
                <w:spacing w:val="-6"/>
                <w:w w:val="154"/>
                <w:sz w:val="17"/>
              </w:rPr>
              <w:t>.</w:t>
            </w:r>
            <w:r>
              <w:rPr>
                <w:rFonts w:hint="eastAsia" w:ascii="宋体" w:hAnsi="宋体" w:eastAsia="宋体" w:cs="宋体"/>
                <w:spacing w:val="1"/>
                <w:w w:val="125"/>
                <w:sz w:val="17"/>
              </w:rPr>
              <w:t>8</w:t>
            </w:r>
            <w:r>
              <w:rPr>
                <w:rFonts w:hint="eastAsia" w:ascii="宋体" w:hAnsi="宋体" w:eastAsia="宋体" w:cs="宋体"/>
                <w:spacing w:val="-7"/>
                <w:w w:val="106"/>
                <w:sz w:val="17"/>
              </w:rPr>
              <w:t>V</w:t>
            </w:r>
            <w:r>
              <w:rPr>
                <w:rFonts w:hint="eastAsia" w:ascii="宋体" w:hAnsi="宋体" w:eastAsia="宋体" w:cs="宋体"/>
                <w:spacing w:val="3"/>
                <w:w w:val="66"/>
                <w:sz w:val="17"/>
              </w:rPr>
              <w:t>/</w:t>
            </w:r>
            <w:r>
              <w:rPr>
                <w:rFonts w:hint="eastAsia" w:ascii="宋体" w:hAnsi="宋体" w:eastAsia="宋体" w:cs="宋体"/>
                <w:spacing w:val="2"/>
                <w:w w:val="117"/>
                <w:sz w:val="17"/>
              </w:rPr>
              <w:t>D</w:t>
            </w:r>
            <w:r>
              <w:rPr>
                <w:rFonts w:hint="eastAsia" w:ascii="宋体" w:hAnsi="宋体" w:eastAsia="宋体" w:cs="宋体"/>
                <w:spacing w:val="2"/>
                <w:w w:val="103"/>
                <w:sz w:val="17"/>
              </w:rPr>
              <w:t>C</w:t>
            </w:r>
            <w:r>
              <w:rPr>
                <w:rFonts w:hint="eastAsia" w:ascii="宋体" w:hAnsi="宋体" w:eastAsia="宋体" w:cs="宋体"/>
                <w:spacing w:val="1"/>
                <w:w w:val="125"/>
                <w:sz w:val="17"/>
              </w:rPr>
              <w:t>3</w:t>
            </w:r>
            <w:r>
              <w:rPr>
                <w:rFonts w:hint="eastAsia" w:ascii="宋体" w:hAnsi="宋体" w:eastAsia="宋体" w:cs="宋体"/>
                <w:spacing w:val="-6"/>
                <w:w w:val="154"/>
                <w:sz w:val="17"/>
              </w:rPr>
              <w:t>.</w:t>
            </w:r>
            <w:r>
              <w:rPr>
                <w:rFonts w:hint="eastAsia" w:ascii="宋体" w:hAnsi="宋体" w:eastAsia="宋体" w:cs="宋体"/>
                <w:spacing w:val="1"/>
                <w:w w:val="125"/>
                <w:sz w:val="17"/>
              </w:rPr>
              <w:t>8</w:t>
            </w:r>
            <w:r>
              <w:rPr>
                <w:rFonts w:hint="eastAsia" w:ascii="宋体" w:hAnsi="宋体" w:eastAsia="宋体" w:cs="宋体"/>
                <w:spacing w:val="-7"/>
                <w:w w:val="106"/>
                <w:sz w:val="17"/>
              </w:rPr>
              <w:t>V</w:t>
            </w:r>
            <w:r>
              <w:rPr>
                <w:rFonts w:hint="eastAsia" w:ascii="宋体" w:hAnsi="宋体" w:eastAsia="宋体" w:cs="宋体"/>
                <w:w w:val="98"/>
                <w:sz w:val="17"/>
              </w:rPr>
              <w:t>；</w:t>
            </w:r>
          </w:p>
          <w:p>
            <w:pPr>
              <w:pStyle w:val="19"/>
              <w:numPr>
                <w:ilvl w:val="0"/>
                <w:numId w:val="34"/>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pacing w:val="-6"/>
                <w:w w:val="110"/>
                <w:sz w:val="17"/>
              </w:rPr>
              <w:t>整屏平整度：≤0.04mm；</w:t>
            </w:r>
          </w:p>
          <w:p>
            <w:pPr>
              <w:pStyle w:val="19"/>
              <w:numPr>
                <w:ilvl w:val="0"/>
                <w:numId w:val="34"/>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pacing w:val="-6"/>
                <w:w w:val="110"/>
                <w:sz w:val="17"/>
              </w:rPr>
              <w:t>模组平整度：≤0.03mm；</w:t>
            </w:r>
          </w:p>
          <w:p>
            <w:pPr>
              <w:pStyle w:val="19"/>
              <w:numPr>
                <w:ilvl w:val="0"/>
                <w:numId w:val="34"/>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拼接缝：≤0.03mm；【提供此功能的证明资料】</w:t>
            </w:r>
          </w:p>
          <w:p>
            <w:pPr>
              <w:pStyle w:val="19"/>
              <w:numPr>
                <w:ilvl w:val="0"/>
                <w:numId w:val="34"/>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98"/>
                <w:sz w:val="17"/>
              </w:rPr>
              <w:t>白平衡亮度：</w:t>
            </w:r>
            <w:r>
              <w:rPr>
                <w:rFonts w:hint="eastAsia" w:ascii="宋体" w:hAnsi="宋体" w:eastAsia="宋体" w:cs="宋体"/>
                <w:spacing w:val="3"/>
                <w:w w:val="164"/>
                <w:sz w:val="17"/>
              </w:rPr>
              <w:t>≥</w:t>
            </w:r>
            <w:r>
              <w:rPr>
                <w:rFonts w:hint="eastAsia" w:ascii="宋体" w:hAnsi="宋体" w:eastAsia="宋体" w:cs="宋体"/>
                <w:spacing w:val="1"/>
                <w:w w:val="125"/>
                <w:sz w:val="17"/>
              </w:rPr>
              <w:t>750</w:t>
            </w:r>
            <w:r>
              <w:rPr>
                <w:rFonts w:hint="eastAsia" w:ascii="宋体" w:hAnsi="宋体" w:eastAsia="宋体" w:cs="宋体"/>
                <w:spacing w:val="2"/>
                <w:w w:val="103"/>
                <w:sz w:val="17"/>
              </w:rPr>
              <w:t>C</w:t>
            </w:r>
            <w:r>
              <w:rPr>
                <w:rFonts w:hint="eastAsia" w:ascii="宋体" w:hAnsi="宋体" w:eastAsia="宋体" w:cs="宋体"/>
                <w:spacing w:val="1"/>
                <w:w w:val="126"/>
                <w:sz w:val="17"/>
              </w:rPr>
              <w:t>d</w:t>
            </w:r>
            <w:r>
              <w:rPr>
                <w:rFonts w:hint="eastAsia" w:ascii="宋体" w:hAnsi="宋体" w:eastAsia="宋体" w:cs="宋体"/>
                <w:spacing w:val="3"/>
                <w:w w:val="66"/>
                <w:sz w:val="17"/>
              </w:rPr>
              <w:t>/</w:t>
            </w:r>
            <w:r>
              <w:rPr>
                <w:rFonts w:hint="eastAsia" w:ascii="宋体" w:hAnsi="宋体" w:eastAsia="宋体" w:cs="宋体"/>
                <w:spacing w:val="-8"/>
                <w:w w:val="131"/>
                <w:sz w:val="17"/>
              </w:rPr>
              <w:t>m</w:t>
            </w:r>
            <w:r>
              <w:rPr>
                <w:rFonts w:hint="eastAsia" w:ascii="宋体" w:hAnsi="宋体" w:eastAsia="宋体" w:cs="宋体"/>
                <w:spacing w:val="4"/>
                <w:w w:val="166"/>
                <w:sz w:val="17"/>
              </w:rPr>
              <w:t>²</w:t>
            </w:r>
            <w:r>
              <w:rPr>
                <w:rFonts w:hint="eastAsia" w:ascii="宋体" w:hAnsi="宋体" w:eastAsia="宋体" w:cs="宋体"/>
                <w:w w:val="98"/>
                <w:sz w:val="17"/>
              </w:rPr>
              <w:t>；</w:t>
            </w:r>
          </w:p>
          <w:p>
            <w:pPr>
              <w:pStyle w:val="19"/>
              <w:spacing w:before="166"/>
              <w:ind w:left="100"/>
              <w:rPr>
                <w:rFonts w:hint="eastAsia" w:ascii="宋体" w:hAnsi="宋体" w:eastAsia="宋体" w:cs="宋体"/>
                <w:sz w:val="17"/>
              </w:rPr>
            </w:pPr>
            <w:r>
              <w:rPr>
                <w:rFonts w:hint="eastAsia" w:ascii="宋体" w:hAnsi="宋体" w:eastAsia="宋体" w:cs="宋体"/>
                <w:w w:val="115"/>
                <w:sz w:val="17"/>
              </w:rPr>
              <w:t>11.亮度均匀性：≥99%；</w:t>
            </w:r>
          </w:p>
          <w:p>
            <w:pPr>
              <w:pStyle w:val="19"/>
              <w:spacing w:before="167"/>
              <w:ind w:left="100"/>
              <w:rPr>
                <w:rFonts w:hint="eastAsia" w:ascii="宋体" w:hAnsi="宋体" w:eastAsia="宋体" w:cs="宋体"/>
                <w:sz w:val="17"/>
              </w:rPr>
            </w:pPr>
            <w:r>
              <w:rPr>
                <w:rFonts w:hint="eastAsia" w:ascii="宋体" w:hAnsi="宋体" w:eastAsia="宋体" w:cs="宋体"/>
                <w:w w:val="110"/>
                <w:sz w:val="17"/>
              </w:rPr>
              <w:t>12.色度均匀性：±0.001Cx、Cy内；</w:t>
            </w:r>
          </w:p>
          <w:p>
            <w:pPr>
              <w:pStyle w:val="19"/>
              <w:spacing w:before="166"/>
              <w:ind w:left="100"/>
              <w:rPr>
                <w:rFonts w:hint="eastAsia" w:ascii="宋体" w:hAnsi="宋体" w:eastAsia="宋体" w:cs="宋体"/>
                <w:sz w:val="17"/>
              </w:rPr>
            </w:pPr>
            <w:r>
              <w:rPr>
                <w:rFonts w:hint="eastAsia" w:ascii="宋体" w:hAnsi="宋体" w:eastAsia="宋体" w:cs="宋体"/>
                <w:w w:val="115"/>
                <w:sz w:val="17"/>
              </w:rPr>
              <w:t>13.色温：800-18000K；</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14</w:t>
            </w:r>
            <w:r>
              <w:rPr>
                <w:rFonts w:hint="eastAsia" w:ascii="宋体" w:hAnsi="宋体" w:eastAsia="宋体" w:cs="宋体"/>
                <w:spacing w:val="-6"/>
                <w:w w:val="154"/>
                <w:sz w:val="17"/>
              </w:rPr>
              <w:t>.</w:t>
            </w:r>
            <w:r>
              <w:rPr>
                <w:rFonts w:hint="eastAsia" w:ascii="宋体" w:hAnsi="宋体" w:eastAsia="宋体" w:cs="宋体"/>
                <w:w w:val="98"/>
                <w:sz w:val="17"/>
              </w:rPr>
              <w:t>水平视角：</w:t>
            </w:r>
            <w:r>
              <w:rPr>
                <w:rFonts w:hint="eastAsia" w:ascii="宋体" w:hAnsi="宋体" w:eastAsia="宋体" w:cs="宋体"/>
                <w:spacing w:val="3"/>
                <w:w w:val="164"/>
                <w:sz w:val="17"/>
              </w:rPr>
              <w:t>≥</w:t>
            </w:r>
            <w:r>
              <w:rPr>
                <w:rFonts w:hint="eastAsia" w:ascii="宋体" w:hAnsi="宋体" w:eastAsia="宋体" w:cs="宋体"/>
                <w:spacing w:val="1"/>
                <w:w w:val="125"/>
                <w:sz w:val="17"/>
              </w:rPr>
              <w:t>170</w:t>
            </w:r>
            <w:r>
              <w:rPr>
                <w:rFonts w:hint="eastAsia" w:ascii="宋体" w:hAnsi="宋体" w:eastAsia="宋体" w:cs="宋体"/>
                <w:w w:val="49"/>
                <w:sz w:val="17"/>
              </w:rPr>
              <w:t>°</w:t>
            </w:r>
            <w:r>
              <w:rPr>
                <w:rFonts w:hint="eastAsia" w:ascii="宋体" w:hAnsi="宋体" w:eastAsia="宋体" w:cs="宋体"/>
                <w:w w:val="98"/>
                <w:sz w:val="17"/>
              </w:rPr>
              <w:t>；</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15</w:t>
            </w:r>
            <w:r>
              <w:rPr>
                <w:rFonts w:hint="eastAsia" w:ascii="宋体" w:hAnsi="宋体" w:eastAsia="宋体" w:cs="宋体"/>
                <w:spacing w:val="-6"/>
                <w:w w:val="154"/>
                <w:sz w:val="17"/>
              </w:rPr>
              <w:t>.</w:t>
            </w:r>
            <w:r>
              <w:rPr>
                <w:rFonts w:hint="eastAsia" w:ascii="宋体" w:hAnsi="宋体" w:eastAsia="宋体" w:cs="宋体"/>
                <w:w w:val="98"/>
                <w:sz w:val="17"/>
              </w:rPr>
              <w:t>垂直视角：</w:t>
            </w:r>
            <w:r>
              <w:rPr>
                <w:rFonts w:hint="eastAsia" w:ascii="宋体" w:hAnsi="宋体" w:eastAsia="宋体" w:cs="宋体"/>
                <w:spacing w:val="3"/>
                <w:w w:val="164"/>
                <w:sz w:val="17"/>
              </w:rPr>
              <w:t>≥</w:t>
            </w:r>
            <w:r>
              <w:rPr>
                <w:rFonts w:hint="eastAsia" w:ascii="宋体" w:hAnsi="宋体" w:eastAsia="宋体" w:cs="宋体"/>
                <w:spacing w:val="1"/>
                <w:w w:val="125"/>
                <w:sz w:val="17"/>
              </w:rPr>
              <w:t>170</w:t>
            </w:r>
            <w:r>
              <w:rPr>
                <w:rFonts w:hint="eastAsia" w:ascii="宋体" w:hAnsi="宋体" w:eastAsia="宋体" w:cs="宋体"/>
                <w:w w:val="49"/>
                <w:sz w:val="17"/>
              </w:rPr>
              <w:t>°</w:t>
            </w:r>
            <w:r>
              <w:rPr>
                <w:rFonts w:hint="eastAsia" w:ascii="宋体" w:hAnsi="宋体" w:eastAsia="宋体" w:cs="宋体"/>
                <w:w w:val="98"/>
                <w:sz w:val="17"/>
              </w:rPr>
              <w:t>；</w:t>
            </w:r>
          </w:p>
          <w:p>
            <w:pPr>
              <w:pStyle w:val="19"/>
              <w:spacing w:before="167"/>
              <w:ind w:left="100"/>
              <w:rPr>
                <w:rFonts w:hint="eastAsia" w:ascii="宋体" w:hAnsi="宋体" w:eastAsia="宋体" w:cs="宋体"/>
                <w:sz w:val="17"/>
              </w:rPr>
            </w:pPr>
            <w:r>
              <w:rPr>
                <w:rFonts w:hint="eastAsia" w:ascii="宋体" w:hAnsi="宋体" w:eastAsia="宋体" w:cs="宋体"/>
                <w:w w:val="110"/>
                <w:sz w:val="17"/>
              </w:rPr>
              <w:t>16.对比度：≥9000：1；【提供此功能的证明资料】</w:t>
            </w:r>
          </w:p>
          <w:p>
            <w:pPr>
              <w:pStyle w:val="19"/>
              <w:spacing w:before="166" w:line="422" w:lineRule="auto"/>
              <w:ind w:left="100" w:right="4778"/>
              <w:rPr>
                <w:rFonts w:hint="eastAsia" w:ascii="宋体" w:hAnsi="宋体" w:eastAsia="宋体" w:cs="宋体"/>
                <w:sz w:val="17"/>
              </w:rPr>
            </w:pPr>
            <w:r>
              <w:rPr>
                <w:rFonts w:hint="eastAsia" w:ascii="宋体" w:hAnsi="宋体" w:eastAsia="宋体" w:cs="宋体"/>
                <w:spacing w:val="-3"/>
                <w:w w:val="105"/>
                <w:sz w:val="17"/>
              </w:rPr>
              <w:t>★17.刷新率：≥4200Hz</w:t>
            </w:r>
            <w:r>
              <w:rPr>
                <w:rFonts w:hint="eastAsia" w:ascii="宋体" w:hAnsi="宋体" w:eastAsia="宋体" w:cs="宋体"/>
                <w:spacing w:val="-4"/>
                <w:w w:val="105"/>
                <w:sz w:val="17"/>
              </w:rPr>
              <w:t>；【提供此功能的证明资料】</w:t>
            </w:r>
            <w:r>
              <w:rPr>
                <w:rFonts w:hint="eastAsia" w:ascii="宋体" w:hAnsi="宋体" w:eastAsia="宋体" w:cs="宋体"/>
                <w:spacing w:val="1"/>
                <w:w w:val="125"/>
                <w:sz w:val="17"/>
              </w:rPr>
              <w:t>18</w:t>
            </w:r>
            <w:r>
              <w:rPr>
                <w:rFonts w:hint="eastAsia" w:ascii="宋体" w:hAnsi="宋体" w:eastAsia="宋体" w:cs="宋体"/>
                <w:spacing w:val="-6"/>
                <w:w w:val="154"/>
                <w:sz w:val="17"/>
              </w:rPr>
              <w:t>.</w:t>
            </w:r>
            <w:r>
              <w:rPr>
                <w:rFonts w:hint="eastAsia" w:ascii="宋体" w:hAnsi="宋体" w:eastAsia="宋体" w:cs="宋体"/>
                <w:w w:val="98"/>
                <w:sz w:val="17"/>
              </w:rPr>
              <w:t>像素失控率：</w:t>
            </w:r>
            <w:r>
              <w:rPr>
                <w:rFonts w:hint="eastAsia" w:ascii="宋体" w:hAnsi="宋体" w:eastAsia="宋体" w:cs="宋体"/>
                <w:spacing w:val="3"/>
                <w:w w:val="165"/>
                <w:sz w:val="17"/>
              </w:rPr>
              <w:t>&lt;</w:t>
            </w:r>
            <w:r>
              <w:rPr>
                <w:rFonts w:hint="eastAsia" w:ascii="宋体" w:hAnsi="宋体" w:eastAsia="宋体" w:cs="宋体"/>
                <w:spacing w:val="1"/>
                <w:w w:val="125"/>
                <w:sz w:val="17"/>
              </w:rPr>
              <w:t>1</w:t>
            </w:r>
            <w:r>
              <w:rPr>
                <w:rFonts w:hint="eastAsia" w:ascii="宋体" w:hAnsi="宋体" w:eastAsia="宋体" w:cs="宋体"/>
                <w:spacing w:val="3"/>
                <w:w w:val="66"/>
                <w:sz w:val="17"/>
              </w:rPr>
              <w:t>/</w:t>
            </w:r>
            <w:r>
              <w:rPr>
                <w:rFonts w:hint="eastAsia" w:ascii="宋体" w:hAnsi="宋体" w:eastAsia="宋体" w:cs="宋体"/>
                <w:spacing w:val="1"/>
                <w:w w:val="125"/>
                <w:sz w:val="17"/>
              </w:rPr>
              <w:t>100000</w:t>
            </w:r>
            <w:r>
              <w:rPr>
                <w:rFonts w:hint="eastAsia" w:ascii="宋体" w:hAnsi="宋体" w:eastAsia="宋体" w:cs="宋体"/>
                <w:w w:val="98"/>
                <w:sz w:val="17"/>
              </w:rPr>
              <w:t>；</w:t>
            </w:r>
          </w:p>
          <w:p>
            <w:pPr>
              <w:pStyle w:val="19"/>
              <w:spacing w:before="2"/>
              <w:ind w:left="100"/>
              <w:rPr>
                <w:rFonts w:hint="eastAsia" w:ascii="宋体" w:hAnsi="宋体" w:eastAsia="宋体" w:cs="宋体"/>
                <w:sz w:val="17"/>
              </w:rPr>
            </w:pPr>
            <w:r>
              <w:rPr>
                <w:rFonts w:hint="eastAsia" w:ascii="宋体" w:hAnsi="宋体" w:eastAsia="宋体" w:cs="宋体"/>
                <w:spacing w:val="-7"/>
                <w:w w:val="110"/>
                <w:sz w:val="17"/>
              </w:rPr>
              <w:t>19.发光点中心偏距：＜</w:t>
            </w:r>
            <w:r>
              <w:rPr>
                <w:rFonts w:hint="eastAsia" w:ascii="宋体" w:hAnsi="宋体" w:eastAsia="宋体" w:cs="宋体"/>
                <w:spacing w:val="-6"/>
                <w:w w:val="110"/>
                <w:sz w:val="17"/>
              </w:rPr>
              <w:t>0.8%；</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20</w:t>
            </w:r>
            <w:r>
              <w:rPr>
                <w:rFonts w:hint="eastAsia" w:ascii="宋体" w:hAnsi="宋体" w:eastAsia="宋体" w:cs="宋体"/>
                <w:spacing w:val="-6"/>
                <w:w w:val="154"/>
                <w:sz w:val="17"/>
              </w:rPr>
              <w:t>.</w:t>
            </w:r>
            <w:r>
              <w:rPr>
                <w:rFonts w:hint="eastAsia" w:ascii="宋体" w:hAnsi="宋体" w:eastAsia="宋体" w:cs="宋体"/>
                <w:w w:val="98"/>
                <w:sz w:val="17"/>
              </w:rPr>
              <w:t>峰值功耗：</w:t>
            </w:r>
            <w:r>
              <w:rPr>
                <w:rFonts w:hint="eastAsia" w:ascii="宋体" w:hAnsi="宋体" w:eastAsia="宋体" w:cs="宋体"/>
                <w:spacing w:val="3"/>
                <w:w w:val="164"/>
                <w:sz w:val="17"/>
              </w:rPr>
              <w:t>≤</w:t>
            </w:r>
            <w:r>
              <w:rPr>
                <w:rFonts w:hint="eastAsia" w:ascii="宋体" w:hAnsi="宋体" w:eastAsia="宋体" w:cs="宋体"/>
                <w:spacing w:val="1"/>
                <w:w w:val="125"/>
                <w:sz w:val="17"/>
              </w:rPr>
              <w:t>300</w:t>
            </w:r>
            <w:r>
              <w:rPr>
                <w:rFonts w:hint="eastAsia" w:ascii="宋体" w:hAnsi="宋体" w:eastAsia="宋体" w:cs="宋体"/>
                <w:spacing w:val="-11"/>
                <w:w w:val="131"/>
                <w:sz w:val="17"/>
              </w:rPr>
              <w:t>W</w:t>
            </w:r>
            <w:r>
              <w:rPr>
                <w:rFonts w:hint="eastAsia" w:ascii="宋体" w:hAnsi="宋体" w:eastAsia="宋体" w:cs="宋体"/>
                <w:spacing w:val="3"/>
                <w:w w:val="66"/>
                <w:sz w:val="17"/>
              </w:rPr>
              <w:t>/</w:t>
            </w:r>
            <w:r>
              <w:rPr>
                <w:rFonts w:hint="eastAsia" w:ascii="宋体" w:hAnsi="宋体" w:eastAsia="宋体" w:cs="宋体"/>
                <w:spacing w:val="-8"/>
                <w:w w:val="131"/>
                <w:sz w:val="17"/>
              </w:rPr>
              <w:t>m</w:t>
            </w:r>
            <w:r>
              <w:rPr>
                <w:rFonts w:hint="eastAsia" w:ascii="宋体" w:hAnsi="宋体" w:eastAsia="宋体" w:cs="宋体"/>
                <w:spacing w:val="4"/>
                <w:w w:val="166"/>
                <w:sz w:val="17"/>
              </w:rPr>
              <w:t>²</w:t>
            </w:r>
            <w:r>
              <w:rPr>
                <w:rFonts w:hint="eastAsia" w:ascii="宋体" w:hAnsi="宋体" w:eastAsia="宋体" w:cs="宋体"/>
                <w:w w:val="98"/>
                <w:sz w:val="17"/>
              </w:rPr>
              <w:t>；</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21</w:t>
            </w:r>
            <w:r>
              <w:rPr>
                <w:rFonts w:hint="eastAsia" w:ascii="宋体" w:hAnsi="宋体" w:eastAsia="宋体" w:cs="宋体"/>
                <w:spacing w:val="-6"/>
                <w:w w:val="154"/>
                <w:sz w:val="17"/>
              </w:rPr>
              <w:t>.</w:t>
            </w:r>
            <w:r>
              <w:rPr>
                <w:rFonts w:hint="eastAsia" w:ascii="宋体" w:hAnsi="宋体" w:eastAsia="宋体" w:cs="宋体"/>
                <w:w w:val="98"/>
                <w:sz w:val="17"/>
              </w:rPr>
              <w:t>平均功耗：</w:t>
            </w:r>
            <w:r>
              <w:rPr>
                <w:rFonts w:hint="eastAsia" w:ascii="宋体" w:hAnsi="宋体" w:eastAsia="宋体" w:cs="宋体"/>
                <w:spacing w:val="3"/>
                <w:w w:val="164"/>
                <w:sz w:val="17"/>
              </w:rPr>
              <w:t>≤</w:t>
            </w:r>
            <w:r>
              <w:rPr>
                <w:rFonts w:hint="eastAsia" w:ascii="宋体" w:hAnsi="宋体" w:eastAsia="宋体" w:cs="宋体"/>
                <w:spacing w:val="1"/>
                <w:w w:val="125"/>
                <w:sz w:val="17"/>
              </w:rPr>
              <w:t>120</w:t>
            </w:r>
            <w:r>
              <w:rPr>
                <w:rFonts w:hint="eastAsia" w:ascii="宋体" w:hAnsi="宋体" w:eastAsia="宋体" w:cs="宋体"/>
                <w:spacing w:val="-11"/>
                <w:w w:val="131"/>
                <w:sz w:val="17"/>
              </w:rPr>
              <w:t>W</w:t>
            </w:r>
            <w:r>
              <w:rPr>
                <w:rFonts w:hint="eastAsia" w:ascii="宋体" w:hAnsi="宋体" w:eastAsia="宋体" w:cs="宋体"/>
                <w:spacing w:val="3"/>
                <w:w w:val="66"/>
                <w:sz w:val="17"/>
              </w:rPr>
              <w:t>/</w:t>
            </w:r>
            <w:r>
              <w:rPr>
                <w:rFonts w:hint="eastAsia" w:ascii="宋体" w:hAnsi="宋体" w:eastAsia="宋体" w:cs="宋体"/>
                <w:spacing w:val="-8"/>
                <w:w w:val="131"/>
                <w:sz w:val="17"/>
              </w:rPr>
              <w:t>m</w:t>
            </w:r>
            <w:r>
              <w:rPr>
                <w:rFonts w:hint="eastAsia" w:ascii="宋体" w:hAnsi="宋体" w:eastAsia="宋体" w:cs="宋体"/>
                <w:spacing w:val="4"/>
                <w:w w:val="166"/>
                <w:sz w:val="17"/>
              </w:rPr>
              <w:t>²</w:t>
            </w:r>
            <w:r>
              <w:rPr>
                <w:rFonts w:hint="eastAsia" w:ascii="宋体" w:hAnsi="宋体" w:eastAsia="宋体" w:cs="宋体"/>
                <w:w w:val="98"/>
                <w:sz w:val="17"/>
              </w:rPr>
              <w:t>；</w:t>
            </w:r>
          </w:p>
          <w:p>
            <w:pPr>
              <w:pStyle w:val="19"/>
              <w:numPr>
                <w:ilvl w:val="0"/>
                <w:numId w:val="35"/>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最大电流：≤5A；</w:t>
            </w:r>
          </w:p>
          <w:p>
            <w:pPr>
              <w:pStyle w:val="19"/>
              <w:numPr>
                <w:ilvl w:val="0"/>
                <w:numId w:val="35"/>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电流增益：电流增益调节范围</w:t>
            </w:r>
            <w:r>
              <w:rPr>
                <w:rFonts w:hint="eastAsia" w:ascii="宋体" w:hAnsi="宋体" w:eastAsia="宋体" w:cs="宋体"/>
                <w:w w:val="120"/>
                <w:sz w:val="17"/>
              </w:rPr>
              <w:t>：1%～199%，</w:t>
            </w:r>
            <w:r>
              <w:rPr>
                <w:rFonts w:hint="eastAsia" w:ascii="宋体" w:hAnsi="宋体" w:eastAsia="宋体" w:cs="宋体"/>
                <w:w w:val="105"/>
                <w:sz w:val="17"/>
              </w:rPr>
              <w:t>电流增益调节级别</w:t>
            </w:r>
            <w:r>
              <w:rPr>
                <w:rFonts w:hint="eastAsia" w:ascii="宋体" w:hAnsi="宋体" w:eastAsia="宋体" w:cs="宋体"/>
                <w:w w:val="120"/>
                <w:sz w:val="17"/>
              </w:rPr>
              <w:t>≥8</w:t>
            </w:r>
            <w:r>
              <w:rPr>
                <w:rFonts w:hint="eastAsia" w:ascii="宋体" w:hAnsi="宋体" w:eastAsia="宋体" w:cs="宋体"/>
                <w:w w:val="105"/>
                <w:sz w:val="17"/>
              </w:rPr>
              <w:t>位；</w:t>
            </w:r>
          </w:p>
          <w:p>
            <w:pPr>
              <w:pStyle w:val="19"/>
              <w:numPr>
                <w:ilvl w:val="0"/>
                <w:numId w:val="35"/>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具有列下消隐功能、倍频刷新率提升2/4/8倍、低灰偏色改善；</w:t>
            </w:r>
          </w:p>
          <w:p>
            <w:pPr>
              <w:pStyle w:val="19"/>
              <w:spacing w:before="166"/>
              <w:ind w:left="100"/>
              <w:rPr>
                <w:rFonts w:hint="eastAsia" w:ascii="宋体" w:hAnsi="宋体" w:eastAsia="宋体" w:cs="宋体"/>
                <w:sz w:val="17"/>
              </w:rPr>
            </w:pPr>
            <w:r>
              <w:rPr>
                <w:rFonts w:hint="eastAsia" w:ascii="宋体" w:hAnsi="宋体" w:eastAsia="宋体" w:cs="宋体"/>
                <w:w w:val="115"/>
                <w:sz w:val="17"/>
              </w:rPr>
              <w:t>25.色温为6500K时，100%、</w:t>
            </w:r>
            <w:r>
              <w:rPr>
                <w:rFonts w:hint="eastAsia" w:ascii="宋体" w:hAnsi="宋体" w:eastAsia="宋体" w:cs="宋体"/>
                <w:w w:val="125"/>
                <w:sz w:val="17"/>
              </w:rPr>
              <w:t>75%</w:t>
            </w:r>
            <w:r>
              <w:rPr>
                <w:rFonts w:hint="eastAsia" w:ascii="宋体" w:hAnsi="宋体" w:eastAsia="宋体" w:cs="宋体"/>
                <w:w w:val="115"/>
                <w:sz w:val="17"/>
              </w:rPr>
              <w:t>、</w:t>
            </w:r>
            <w:r>
              <w:rPr>
                <w:rFonts w:hint="eastAsia" w:ascii="宋体" w:hAnsi="宋体" w:eastAsia="宋体" w:cs="宋体"/>
                <w:w w:val="125"/>
                <w:sz w:val="17"/>
              </w:rPr>
              <w:t>50%</w:t>
            </w:r>
            <w:r>
              <w:rPr>
                <w:rFonts w:hint="eastAsia" w:ascii="宋体" w:hAnsi="宋体" w:eastAsia="宋体" w:cs="宋体"/>
                <w:w w:val="115"/>
                <w:sz w:val="17"/>
              </w:rPr>
              <w:t>、</w:t>
            </w:r>
            <w:r>
              <w:rPr>
                <w:rFonts w:hint="eastAsia" w:ascii="宋体" w:hAnsi="宋体" w:eastAsia="宋体" w:cs="宋体"/>
                <w:w w:val="125"/>
                <w:sz w:val="17"/>
              </w:rPr>
              <w:t>25%</w:t>
            </w:r>
            <w:r>
              <w:rPr>
                <w:rFonts w:hint="eastAsia" w:ascii="宋体" w:hAnsi="宋体" w:eastAsia="宋体" w:cs="宋体"/>
                <w:w w:val="115"/>
                <w:sz w:val="17"/>
              </w:rPr>
              <w:t>四档电平白场调节色温误差≤200K；</w:t>
            </w:r>
          </w:p>
          <w:p>
            <w:pPr>
              <w:pStyle w:val="19"/>
              <w:spacing w:before="167"/>
              <w:ind w:left="100"/>
              <w:rPr>
                <w:rFonts w:hint="eastAsia" w:ascii="宋体" w:hAnsi="宋体" w:eastAsia="宋体" w:cs="宋体"/>
                <w:sz w:val="17"/>
              </w:rPr>
            </w:pPr>
            <w:r>
              <w:rPr>
                <w:rFonts w:hint="eastAsia" w:ascii="宋体" w:hAnsi="宋体" w:eastAsia="宋体" w:cs="宋体"/>
                <w:w w:val="105"/>
                <w:sz w:val="17"/>
              </w:rPr>
              <w:t>26.PCB板材采用玻璃化温度≥150℃的覆铜板；PCB板采用FR-4材质，电路采用多层设计，符合CQC13-471301-2</w:t>
            </w:r>
          </w:p>
          <w:p>
            <w:pPr>
              <w:pStyle w:val="19"/>
              <w:spacing w:before="166"/>
              <w:ind w:left="100"/>
              <w:rPr>
                <w:rFonts w:hint="eastAsia" w:ascii="宋体" w:hAnsi="宋体" w:eastAsia="宋体" w:cs="宋体"/>
                <w:sz w:val="17"/>
              </w:rPr>
            </w:pPr>
            <w:r>
              <w:rPr>
                <w:rFonts w:hint="eastAsia" w:ascii="宋体" w:hAnsi="宋体" w:eastAsia="宋体" w:cs="宋体"/>
                <w:w w:val="110"/>
                <w:sz w:val="17"/>
              </w:rPr>
              <w:t>018国家标准；</w:t>
            </w:r>
          </w:p>
        </w:tc>
      </w:tr>
    </w:tbl>
    <w:p>
      <w:pPr>
        <w:spacing w:after="0"/>
        <w:rPr>
          <w:rFonts w:hint="eastAsia" w:ascii="宋体" w:hAnsi="宋体" w:eastAsia="宋体" w:cs="宋体"/>
          <w:sz w:val="17"/>
        </w:rPr>
        <w:sectPr>
          <w:pgSz w:w="11900" w:h="16840"/>
          <w:pgMar w:top="560" w:right="560" w:bottom="200" w:left="540" w:header="0" w:footer="13" w:gutter="0"/>
          <w:cols w:space="720" w:num="1"/>
        </w:sectPr>
      </w:pPr>
    </w:p>
    <w:tbl>
      <w:tblPr>
        <w:tblStyle w:val="16"/>
        <w:tblW w:w="0" w:type="auto"/>
        <w:tblInd w:w="14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056"/>
        <w:gridCol w:w="528"/>
        <w:gridCol w:w="89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5700" w:hRule="atLeast"/>
        </w:trPr>
        <w:tc>
          <w:tcPr>
            <w:tcW w:w="1056" w:type="dxa"/>
            <w:tcBorders>
              <w:left w:val="single" w:color="000000" w:sz="6" w:space="0"/>
              <w:right w:val="single" w:color="000000" w:sz="6" w:space="0"/>
            </w:tcBorders>
          </w:tcPr>
          <w:p>
            <w:pPr>
              <w:pStyle w:val="19"/>
              <w:rPr>
                <w:rFonts w:hint="eastAsia" w:ascii="宋体" w:hAnsi="宋体" w:eastAsia="宋体" w:cs="宋体"/>
                <w:sz w:val="16"/>
              </w:rPr>
            </w:pPr>
          </w:p>
        </w:tc>
        <w:tc>
          <w:tcPr>
            <w:tcW w:w="528" w:type="dxa"/>
            <w:tcBorders>
              <w:left w:val="single" w:color="000000" w:sz="6" w:space="0"/>
              <w:right w:val="single" w:color="000000" w:sz="6" w:space="0"/>
            </w:tcBorders>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51"/>
              <w:ind w:left="100"/>
              <w:rPr>
                <w:rFonts w:hint="eastAsia" w:ascii="宋体" w:hAnsi="宋体" w:eastAsia="宋体" w:cs="宋体"/>
                <w:sz w:val="19"/>
              </w:rPr>
            </w:pPr>
            <w:r>
              <w:rPr>
                <w:rFonts w:hint="eastAsia" w:ascii="宋体" w:hAnsi="宋体" w:eastAsia="宋体" w:cs="宋体"/>
                <w:w w:val="128"/>
                <w:sz w:val="19"/>
              </w:rPr>
              <w:t>1</w:t>
            </w:r>
          </w:p>
        </w:tc>
        <w:tc>
          <w:tcPr>
            <w:tcW w:w="8966" w:type="dxa"/>
            <w:tcBorders>
              <w:left w:val="single" w:color="000000" w:sz="6" w:space="0"/>
              <w:right w:val="single" w:color="000000" w:sz="6" w:space="0"/>
            </w:tcBorders>
          </w:tcPr>
          <w:p>
            <w:pPr>
              <w:pStyle w:val="19"/>
              <w:numPr>
                <w:ilvl w:val="0"/>
                <w:numId w:val="36"/>
              </w:numPr>
              <w:tabs>
                <w:tab w:val="left" w:pos="372"/>
              </w:tabs>
              <w:spacing w:before="82"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每个灯芯的波长误差值在±1nm以内，每个灯芯的亮度误差在</w:t>
            </w:r>
            <w:r>
              <w:rPr>
                <w:rFonts w:hint="eastAsia" w:ascii="宋体" w:hAnsi="宋体" w:eastAsia="宋体" w:cs="宋体"/>
                <w:w w:val="135"/>
                <w:sz w:val="17"/>
              </w:rPr>
              <w:t>5%</w:t>
            </w:r>
            <w:r>
              <w:rPr>
                <w:rFonts w:hint="eastAsia" w:ascii="宋体" w:hAnsi="宋体" w:eastAsia="宋体" w:cs="宋体"/>
                <w:w w:val="105"/>
                <w:sz w:val="17"/>
              </w:rPr>
              <w:t>以内；</w:t>
            </w:r>
          </w:p>
          <w:p>
            <w:pPr>
              <w:pStyle w:val="19"/>
              <w:numPr>
                <w:ilvl w:val="0"/>
                <w:numId w:val="3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具有H2S宽动态处理技术，解决主控机二次重复播放时的衰减等现象；</w:t>
            </w:r>
          </w:p>
          <w:p>
            <w:pPr>
              <w:pStyle w:val="19"/>
              <w:numPr>
                <w:ilvl w:val="0"/>
                <w:numId w:val="3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98"/>
                <w:sz w:val="17"/>
              </w:rPr>
              <w:t>屏幕表面光反射率：照度</w:t>
            </w:r>
            <w:r>
              <w:rPr>
                <w:rFonts w:hint="eastAsia" w:ascii="宋体" w:hAnsi="宋体" w:eastAsia="宋体" w:cs="宋体"/>
                <w:spacing w:val="3"/>
                <w:w w:val="165"/>
                <w:sz w:val="17"/>
              </w:rPr>
              <w:t>=</w:t>
            </w:r>
            <w:r>
              <w:rPr>
                <w:rFonts w:hint="eastAsia" w:ascii="宋体" w:hAnsi="宋体" w:eastAsia="宋体" w:cs="宋体"/>
                <w:spacing w:val="1"/>
                <w:w w:val="125"/>
                <w:sz w:val="17"/>
              </w:rPr>
              <w:t>10</w:t>
            </w:r>
            <w:r>
              <w:rPr>
                <w:rFonts w:hint="eastAsia" w:ascii="宋体" w:hAnsi="宋体" w:eastAsia="宋体" w:cs="宋体"/>
                <w:spacing w:val="-10"/>
                <w:w w:val="102"/>
                <w:sz w:val="17"/>
              </w:rPr>
              <w:t>L</w:t>
            </w:r>
            <w:r>
              <w:rPr>
                <w:rFonts w:hint="eastAsia" w:ascii="宋体" w:hAnsi="宋体" w:eastAsia="宋体" w:cs="宋体"/>
                <w:spacing w:val="1"/>
                <w:w w:val="125"/>
                <w:sz w:val="17"/>
              </w:rPr>
              <w:t>u</w:t>
            </w:r>
            <w:r>
              <w:rPr>
                <w:rFonts w:hint="eastAsia" w:ascii="宋体" w:hAnsi="宋体" w:eastAsia="宋体" w:cs="宋体"/>
                <w:spacing w:val="-16"/>
                <w:w w:val="126"/>
                <w:sz w:val="17"/>
              </w:rPr>
              <w:t>x</w:t>
            </w:r>
            <w:r>
              <w:rPr>
                <w:rFonts w:hint="eastAsia" w:ascii="宋体" w:hAnsi="宋体" w:eastAsia="宋体" w:cs="宋体"/>
                <w:spacing w:val="3"/>
                <w:w w:val="66"/>
                <w:sz w:val="17"/>
              </w:rPr>
              <w:t>/</w:t>
            </w:r>
            <w:r>
              <w:rPr>
                <w:rFonts w:hint="eastAsia" w:ascii="宋体" w:hAnsi="宋体" w:eastAsia="宋体" w:cs="宋体"/>
                <w:spacing w:val="1"/>
                <w:w w:val="125"/>
                <w:sz w:val="17"/>
              </w:rPr>
              <w:t>5600</w:t>
            </w:r>
            <w:r>
              <w:rPr>
                <w:rFonts w:hint="eastAsia" w:ascii="宋体" w:hAnsi="宋体" w:eastAsia="宋体" w:cs="宋体"/>
                <w:spacing w:val="-3"/>
                <w:w w:val="108"/>
                <w:sz w:val="17"/>
              </w:rPr>
              <w:t>K</w:t>
            </w:r>
            <w:r>
              <w:rPr>
                <w:rFonts w:hint="eastAsia" w:ascii="宋体" w:hAnsi="宋体" w:eastAsia="宋体" w:cs="宋体"/>
                <w:w w:val="98"/>
                <w:sz w:val="17"/>
              </w:rPr>
              <w:t>条件下，显示屏屏幕表面光反射率（单位面积反射亮度）＜</w:t>
            </w:r>
            <w:r>
              <w:rPr>
                <w:rFonts w:hint="eastAsia" w:ascii="宋体" w:hAnsi="宋体" w:eastAsia="宋体" w:cs="宋体"/>
                <w:spacing w:val="1"/>
                <w:w w:val="125"/>
                <w:sz w:val="17"/>
              </w:rPr>
              <w:t>3</w:t>
            </w:r>
            <w:r>
              <w:rPr>
                <w:rFonts w:hint="eastAsia" w:ascii="宋体" w:hAnsi="宋体" w:eastAsia="宋体" w:cs="宋体"/>
                <w:spacing w:val="-6"/>
                <w:w w:val="154"/>
                <w:sz w:val="17"/>
              </w:rPr>
              <w:t>.</w:t>
            </w:r>
            <w:r>
              <w:rPr>
                <w:rFonts w:hint="eastAsia" w:ascii="宋体" w:hAnsi="宋体" w:eastAsia="宋体" w:cs="宋体"/>
                <w:spacing w:val="1"/>
                <w:w w:val="125"/>
                <w:sz w:val="17"/>
              </w:rPr>
              <w:t>0</w:t>
            </w:r>
            <w:r>
              <w:rPr>
                <w:rFonts w:hint="eastAsia" w:ascii="宋体" w:hAnsi="宋体" w:eastAsia="宋体" w:cs="宋体"/>
                <w:spacing w:val="3"/>
                <w:w w:val="108"/>
                <w:sz w:val="17"/>
              </w:rPr>
              <w:t>c</w:t>
            </w:r>
            <w:r>
              <w:rPr>
                <w:rFonts w:hint="eastAsia" w:ascii="宋体" w:hAnsi="宋体" w:eastAsia="宋体" w:cs="宋体"/>
                <w:spacing w:val="1"/>
                <w:w w:val="126"/>
                <w:sz w:val="17"/>
              </w:rPr>
              <w:t>d</w:t>
            </w:r>
            <w:r>
              <w:rPr>
                <w:rFonts w:hint="eastAsia" w:ascii="宋体" w:hAnsi="宋体" w:eastAsia="宋体" w:cs="宋体"/>
                <w:spacing w:val="3"/>
                <w:w w:val="66"/>
                <w:sz w:val="17"/>
              </w:rPr>
              <w:t>/</w:t>
            </w:r>
            <w:r>
              <w:rPr>
                <w:rFonts w:hint="eastAsia" w:ascii="宋体" w:hAnsi="宋体" w:eastAsia="宋体" w:cs="宋体"/>
                <w:spacing w:val="-8"/>
                <w:w w:val="131"/>
                <w:sz w:val="17"/>
              </w:rPr>
              <w:t>m</w:t>
            </w:r>
            <w:r>
              <w:rPr>
                <w:rFonts w:hint="eastAsia" w:ascii="宋体" w:hAnsi="宋体" w:eastAsia="宋体" w:cs="宋体"/>
                <w:spacing w:val="4"/>
                <w:w w:val="166"/>
                <w:sz w:val="17"/>
              </w:rPr>
              <w:t>²</w:t>
            </w:r>
            <w:r>
              <w:rPr>
                <w:rFonts w:hint="eastAsia" w:ascii="宋体" w:hAnsi="宋体" w:eastAsia="宋体" w:cs="宋体"/>
                <w:w w:val="98"/>
                <w:sz w:val="17"/>
              </w:rPr>
              <w:t>；</w:t>
            </w:r>
          </w:p>
          <w:p>
            <w:pPr>
              <w:pStyle w:val="19"/>
              <w:numPr>
                <w:ilvl w:val="0"/>
                <w:numId w:val="36"/>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w w:val="98"/>
                <w:sz w:val="17"/>
              </w:rPr>
              <w:t>绝缘电阻：在器具输入插座端或者电源引入端子与外壳裸露金属部件之间的绝缘电阻在正常大气条件下应</w:t>
            </w:r>
            <w:r>
              <w:rPr>
                <w:rFonts w:hint="eastAsia" w:ascii="宋体" w:hAnsi="宋体" w:eastAsia="宋体" w:cs="宋体"/>
                <w:spacing w:val="3"/>
                <w:w w:val="164"/>
                <w:sz w:val="17"/>
              </w:rPr>
              <w:t>≥</w:t>
            </w:r>
            <w:r>
              <w:rPr>
                <w:rFonts w:hint="eastAsia" w:ascii="宋体" w:hAnsi="宋体" w:eastAsia="宋体" w:cs="宋体"/>
                <w:spacing w:val="1"/>
                <w:w w:val="125"/>
                <w:sz w:val="17"/>
              </w:rPr>
              <w:t>100</w:t>
            </w:r>
            <w:r>
              <w:rPr>
                <w:rFonts w:hint="eastAsia" w:ascii="宋体" w:hAnsi="宋体" w:eastAsia="宋体" w:cs="宋体"/>
                <w:spacing w:val="-1"/>
                <w:w w:val="114"/>
                <w:sz w:val="17"/>
              </w:rPr>
              <w:t>M</w:t>
            </w:r>
            <w:r>
              <w:rPr>
                <w:rFonts w:hint="eastAsia" w:ascii="宋体" w:hAnsi="宋体" w:eastAsia="宋体" w:cs="宋体"/>
                <w:w w:val="75"/>
                <w:sz w:val="17"/>
              </w:rPr>
              <w:t>Ω</w:t>
            </w:r>
          </w:p>
          <w:p>
            <w:pPr>
              <w:pStyle w:val="19"/>
              <w:spacing w:before="166"/>
              <w:ind w:left="100"/>
              <w:rPr>
                <w:rFonts w:hint="eastAsia" w:ascii="宋体" w:hAnsi="宋体" w:eastAsia="宋体" w:cs="宋体"/>
                <w:sz w:val="17"/>
              </w:rPr>
            </w:pPr>
            <w:r>
              <w:rPr>
                <w:rFonts w:hint="eastAsia" w:ascii="宋体" w:hAnsi="宋体" w:eastAsia="宋体" w:cs="宋体"/>
                <w:w w:val="98"/>
                <w:sz w:val="17"/>
              </w:rPr>
              <w:t>，湿热条件下应</w:t>
            </w:r>
            <w:r>
              <w:rPr>
                <w:rFonts w:hint="eastAsia" w:ascii="宋体" w:hAnsi="宋体" w:eastAsia="宋体" w:cs="宋体"/>
                <w:spacing w:val="3"/>
                <w:w w:val="164"/>
                <w:sz w:val="17"/>
              </w:rPr>
              <w:t>≥</w:t>
            </w:r>
            <w:r>
              <w:rPr>
                <w:rFonts w:hint="eastAsia" w:ascii="宋体" w:hAnsi="宋体" w:eastAsia="宋体" w:cs="宋体"/>
                <w:spacing w:val="1"/>
                <w:w w:val="125"/>
                <w:sz w:val="17"/>
              </w:rPr>
              <w:t>2</w:t>
            </w:r>
            <w:r>
              <w:rPr>
                <w:rFonts w:hint="eastAsia" w:ascii="宋体" w:hAnsi="宋体" w:eastAsia="宋体" w:cs="宋体"/>
                <w:spacing w:val="-1"/>
                <w:w w:val="114"/>
                <w:sz w:val="17"/>
              </w:rPr>
              <w:t>M</w:t>
            </w:r>
            <w:r>
              <w:rPr>
                <w:rFonts w:hint="eastAsia" w:ascii="宋体" w:hAnsi="宋体" w:eastAsia="宋体" w:cs="宋体"/>
                <w:spacing w:val="3"/>
                <w:w w:val="75"/>
                <w:sz w:val="17"/>
              </w:rPr>
              <w:t>Ω</w:t>
            </w:r>
            <w:r>
              <w:rPr>
                <w:rFonts w:hint="eastAsia" w:ascii="宋体" w:hAnsi="宋体" w:eastAsia="宋体" w:cs="宋体"/>
                <w:w w:val="98"/>
                <w:sz w:val="17"/>
              </w:rPr>
              <w:t>；</w:t>
            </w:r>
          </w:p>
          <w:p>
            <w:pPr>
              <w:pStyle w:val="19"/>
              <w:numPr>
                <w:ilvl w:val="0"/>
                <w:numId w:val="3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pacing w:val="-4"/>
                <w:w w:val="110"/>
                <w:sz w:val="17"/>
              </w:rPr>
              <w:t>抗拉强度：≥230Mpa；</w:t>
            </w:r>
          </w:p>
          <w:p>
            <w:pPr>
              <w:pStyle w:val="19"/>
              <w:numPr>
                <w:ilvl w:val="0"/>
                <w:numId w:val="36"/>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pacing w:val="-4"/>
                <w:w w:val="110"/>
                <w:sz w:val="17"/>
              </w:rPr>
              <w:t>屈服强度：≥170Mpa；</w:t>
            </w:r>
          </w:p>
          <w:p>
            <w:pPr>
              <w:pStyle w:val="19"/>
              <w:numPr>
                <w:ilvl w:val="0"/>
                <w:numId w:val="3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灰度等级：采用</w:t>
            </w:r>
            <w:r>
              <w:rPr>
                <w:rFonts w:hint="eastAsia" w:ascii="宋体" w:hAnsi="宋体" w:eastAsia="宋体" w:cs="宋体"/>
                <w:spacing w:val="-3"/>
                <w:w w:val="105"/>
                <w:sz w:val="17"/>
              </w:rPr>
              <w:t>16bit</w:t>
            </w:r>
            <w:r>
              <w:rPr>
                <w:rFonts w:hint="eastAsia" w:ascii="宋体" w:hAnsi="宋体" w:eastAsia="宋体" w:cs="宋体"/>
                <w:w w:val="105"/>
                <w:sz w:val="17"/>
              </w:rPr>
              <w:t>技术；</w:t>
            </w:r>
          </w:p>
          <w:p>
            <w:pPr>
              <w:pStyle w:val="19"/>
              <w:numPr>
                <w:ilvl w:val="0"/>
                <w:numId w:val="36"/>
              </w:numPr>
              <w:tabs>
                <w:tab w:val="left" w:pos="372"/>
              </w:tabs>
              <w:spacing w:before="166" w:after="0" w:line="422" w:lineRule="auto"/>
              <w:ind w:left="100" w:right="86" w:firstLine="0"/>
              <w:jc w:val="left"/>
              <w:rPr>
                <w:rFonts w:hint="eastAsia" w:ascii="宋体" w:hAnsi="宋体" w:eastAsia="宋体" w:cs="宋体"/>
                <w:sz w:val="17"/>
              </w:rPr>
            </w:pPr>
            <w:r>
              <w:rPr>
                <w:rFonts w:hint="eastAsia" w:ascii="宋体" w:hAnsi="宋体" w:eastAsia="宋体" w:cs="宋体"/>
                <w:spacing w:val="-3"/>
                <w:w w:val="105"/>
                <w:sz w:val="17"/>
              </w:rPr>
              <w:t xml:space="preserve">采用EPWM灰阶控制技术提升低灰视觉效果，100%亮度时，16bit灰度；70%亮度，16bit灰度；50%亮度，16bi </w:t>
            </w:r>
            <w:r>
              <w:rPr>
                <w:rFonts w:hint="eastAsia" w:ascii="宋体" w:hAnsi="宋体" w:eastAsia="宋体" w:cs="宋体"/>
                <w:spacing w:val="-6"/>
                <w:w w:val="110"/>
                <w:sz w:val="17"/>
              </w:rPr>
              <w:t>t</w:t>
            </w:r>
            <w:r>
              <w:rPr>
                <w:rFonts w:hint="eastAsia" w:ascii="宋体" w:hAnsi="宋体" w:eastAsia="宋体" w:cs="宋体"/>
                <w:w w:val="98"/>
                <w:sz w:val="17"/>
              </w:rPr>
              <w:t>灰度；</w:t>
            </w:r>
            <w:r>
              <w:rPr>
                <w:rFonts w:hint="eastAsia" w:ascii="宋体" w:hAnsi="宋体" w:eastAsia="宋体" w:cs="宋体"/>
                <w:spacing w:val="1"/>
                <w:w w:val="125"/>
                <w:sz w:val="17"/>
              </w:rPr>
              <w:t>20</w:t>
            </w:r>
            <w:r>
              <w:rPr>
                <w:rFonts w:hint="eastAsia" w:ascii="宋体" w:hAnsi="宋体" w:eastAsia="宋体" w:cs="宋体"/>
                <w:spacing w:val="-4"/>
                <w:w w:val="187"/>
                <w:sz w:val="17"/>
              </w:rPr>
              <w:t>%</w:t>
            </w:r>
            <w:r>
              <w:rPr>
                <w:rFonts w:hint="eastAsia" w:ascii="宋体" w:hAnsi="宋体" w:eastAsia="宋体" w:cs="宋体"/>
                <w:w w:val="98"/>
                <w:sz w:val="17"/>
              </w:rPr>
              <w:t>亮度，</w:t>
            </w:r>
            <w:r>
              <w:rPr>
                <w:rFonts w:hint="eastAsia" w:ascii="宋体" w:hAnsi="宋体" w:eastAsia="宋体" w:cs="宋体"/>
                <w:spacing w:val="1"/>
                <w:w w:val="125"/>
                <w:sz w:val="17"/>
              </w:rPr>
              <w:t>14</w:t>
            </w:r>
            <w:r>
              <w:rPr>
                <w:rFonts w:hint="eastAsia" w:ascii="宋体" w:hAnsi="宋体" w:eastAsia="宋体" w:cs="宋体"/>
                <w:spacing w:val="1"/>
                <w:w w:val="126"/>
                <w:sz w:val="17"/>
              </w:rPr>
              <w:t>b</w:t>
            </w:r>
            <w:r>
              <w:rPr>
                <w:rFonts w:hint="eastAsia" w:ascii="宋体" w:hAnsi="宋体" w:eastAsia="宋体" w:cs="宋体"/>
                <w:spacing w:val="-11"/>
                <w:w w:val="130"/>
                <w:sz w:val="17"/>
              </w:rPr>
              <w:t>i</w:t>
            </w:r>
            <w:r>
              <w:rPr>
                <w:rFonts w:hint="eastAsia" w:ascii="宋体" w:hAnsi="宋体" w:eastAsia="宋体" w:cs="宋体"/>
                <w:spacing w:val="-6"/>
                <w:w w:val="110"/>
                <w:sz w:val="17"/>
              </w:rPr>
              <w:t>t</w:t>
            </w:r>
            <w:r>
              <w:rPr>
                <w:rFonts w:hint="eastAsia" w:ascii="宋体" w:hAnsi="宋体" w:eastAsia="宋体" w:cs="宋体"/>
                <w:w w:val="98"/>
                <w:sz w:val="17"/>
              </w:rPr>
              <w:t>灰度，显示画面无单列或单行像素失控现象；支持</w:t>
            </w:r>
            <w:r>
              <w:rPr>
                <w:rFonts w:hint="eastAsia" w:ascii="宋体" w:hAnsi="宋体" w:eastAsia="宋体" w:cs="宋体"/>
                <w:spacing w:val="1"/>
                <w:w w:val="125"/>
                <w:sz w:val="17"/>
              </w:rPr>
              <w:t>0</w:t>
            </w:r>
            <w:r>
              <w:rPr>
                <w:rFonts w:hint="eastAsia" w:ascii="宋体" w:hAnsi="宋体" w:eastAsia="宋体" w:cs="宋体"/>
                <w:spacing w:val="-1"/>
                <w:w w:val="71"/>
                <w:sz w:val="17"/>
              </w:rPr>
              <w:t>-</w:t>
            </w:r>
            <w:r>
              <w:rPr>
                <w:rFonts w:hint="eastAsia" w:ascii="宋体" w:hAnsi="宋体" w:eastAsia="宋体" w:cs="宋体"/>
                <w:spacing w:val="1"/>
                <w:w w:val="125"/>
                <w:sz w:val="17"/>
              </w:rPr>
              <w:t>100</w:t>
            </w:r>
            <w:r>
              <w:rPr>
                <w:rFonts w:hint="eastAsia" w:ascii="宋体" w:hAnsi="宋体" w:eastAsia="宋体" w:cs="宋体"/>
                <w:spacing w:val="-4"/>
                <w:w w:val="187"/>
                <w:sz w:val="17"/>
              </w:rPr>
              <w:t>%</w:t>
            </w:r>
            <w:r>
              <w:rPr>
                <w:rFonts w:hint="eastAsia" w:ascii="宋体" w:hAnsi="宋体" w:eastAsia="宋体" w:cs="宋体"/>
                <w:w w:val="98"/>
                <w:sz w:val="17"/>
              </w:rPr>
              <w:t>亮度时，</w:t>
            </w:r>
            <w:r>
              <w:rPr>
                <w:rFonts w:hint="eastAsia" w:ascii="宋体" w:hAnsi="宋体" w:eastAsia="宋体" w:cs="宋体"/>
                <w:spacing w:val="1"/>
                <w:w w:val="125"/>
                <w:sz w:val="17"/>
              </w:rPr>
              <w:t>8</w:t>
            </w:r>
            <w:r>
              <w:rPr>
                <w:rFonts w:hint="eastAsia" w:ascii="宋体" w:hAnsi="宋体" w:eastAsia="宋体" w:cs="宋体"/>
                <w:spacing w:val="-1"/>
                <w:w w:val="71"/>
                <w:sz w:val="17"/>
              </w:rPr>
              <w:t>-</w:t>
            </w:r>
            <w:r>
              <w:rPr>
                <w:rFonts w:hint="eastAsia" w:ascii="宋体" w:hAnsi="宋体" w:eastAsia="宋体" w:cs="宋体"/>
                <w:spacing w:val="1"/>
                <w:w w:val="125"/>
                <w:sz w:val="17"/>
              </w:rPr>
              <w:t>16</w:t>
            </w:r>
            <w:r>
              <w:rPr>
                <w:rFonts w:hint="eastAsia" w:ascii="宋体" w:hAnsi="宋体" w:eastAsia="宋体" w:cs="宋体"/>
                <w:spacing w:val="1"/>
                <w:w w:val="126"/>
                <w:sz w:val="17"/>
              </w:rPr>
              <w:t>b</w:t>
            </w:r>
            <w:r>
              <w:rPr>
                <w:rFonts w:hint="eastAsia" w:ascii="宋体" w:hAnsi="宋体" w:eastAsia="宋体" w:cs="宋体"/>
                <w:spacing w:val="-11"/>
                <w:w w:val="130"/>
                <w:sz w:val="17"/>
              </w:rPr>
              <w:t>i</w:t>
            </w:r>
            <w:r>
              <w:rPr>
                <w:rFonts w:hint="eastAsia" w:ascii="宋体" w:hAnsi="宋体" w:eastAsia="宋体" w:cs="宋体"/>
                <w:spacing w:val="-6"/>
                <w:w w:val="110"/>
                <w:sz w:val="17"/>
              </w:rPr>
              <w:t>t</w:t>
            </w:r>
            <w:r>
              <w:rPr>
                <w:rFonts w:hint="eastAsia" w:ascii="宋体" w:hAnsi="宋体" w:eastAsia="宋体" w:cs="宋体"/>
                <w:spacing w:val="8"/>
                <w:w w:val="111"/>
                <w:sz w:val="17"/>
              </w:rPr>
              <w:t>s</w:t>
            </w:r>
            <w:r>
              <w:rPr>
                <w:rFonts w:hint="eastAsia" w:ascii="宋体" w:hAnsi="宋体" w:eastAsia="宋体" w:cs="宋体"/>
                <w:w w:val="98"/>
                <w:sz w:val="17"/>
              </w:rPr>
              <w:t>灰度自定义设置</w:t>
            </w:r>
          </w:p>
          <w:p>
            <w:pPr>
              <w:pStyle w:val="19"/>
              <w:spacing w:before="2"/>
              <w:ind w:left="100"/>
              <w:rPr>
                <w:rFonts w:hint="eastAsia" w:ascii="宋体" w:hAnsi="宋体" w:eastAsia="宋体" w:cs="宋体"/>
                <w:sz w:val="17"/>
              </w:rPr>
            </w:pPr>
            <w:r>
              <w:rPr>
                <w:rFonts w:hint="eastAsia" w:ascii="宋体" w:hAnsi="宋体" w:eastAsia="宋体" w:cs="宋体"/>
                <w:w w:val="98"/>
                <w:sz w:val="17"/>
              </w:rPr>
              <w:t>；</w:t>
            </w:r>
          </w:p>
          <w:p>
            <w:pPr>
              <w:pStyle w:val="19"/>
              <w:spacing w:before="12"/>
              <w:rPr>
                <w:rFonts w:hint="eastAsia" w:ascii="宋体" w:hAnsi="宋体" w:eastAsia="宋体" w:cs="宋体"/>
                <w:b/>
                <w:sz w:val="12"/>
              </w:rPr>
            </w:pPr>
          </w:p>
          <w:p>
            <w:pPr>
              <w:pStyle w:val="19"/>
              <w:numPr>
                <w:ilvl w:val="0"/>
                <w:numId w:val="36"/>
              </w:numPr>
              <w:tabs>
                <w:tab w:val="left" w:pos="372"/>
              </w:tabs>
              <w:spacing w:before="0" w:after="0" w:line="422" w:lineRule="auto"/>
              <w:ind w:left="100" w:right="181" w:firstLine="0"/>
              <w:jc w:val="left"/>
              <w:rPr>
                <w:rFonts w:hint="eastAsia" w:ascii="宋体" w:hAnsi="宋体" w:eastAsia="宋体" w:cs="宋体"/>
                <w:sz w:val="17"/>
              </w:rPr>
            </w:pPr>
            <w:r>
              <w:rPr>
                <w:rFonts w:hint="eastAsia" w:ascii="宋体" w:hAnsi="宋体" w:eastAsia="宋体" w:cs="宋体"/>
                <w:spacing w:val="-1"/>
                <w:w w:val="95"/>
                <w:sz w:val="17"/>
              </w:rPr>
              <w:t xml:space="preserve">支持鬼影消除、首行暗亮消除、低灰偏色补偿、低灰均匀性、低灰横条纹消除、慢速开启、十字架消除、去坏点、   </w:t>
            </w:r>
            <w:r>
              <w:rPr>
                <w:rFonts w:hint="eastAsia" w:ascii="宋体" w:hAnsi="宋体" w:eastAsia="宋体" w:cs="宋体"/>
                <w:sz w:val="17"/>
              </w:rPr>
              <w:t>毛毛虫消除、余辉消除、亮度缓慢变亮功能；</w:t>
            </w:r>
          </w:p>
          <w:p>
            <w:pPr>
              <w:pStyle w:val="19"/>
              <w:numPr>
                <w:ilvl w:val="0"/>
                <w:numId w:val="36"/>
              </w:numPr>
              <w:tabs>
                <w:tab w:val="left" w:pos="372"/>
              </w:tabs>
              <w:spacing w:before="2"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抗电强度：在器具输入插座端与屏正面之间施加试验电压3kv/50Hz，保持</w:t>
            </w:r>
            <w:r>
              <w:rPr>
                <w:rFonts w:hint="eastAsia" w:ascii="宋体" w:hAnsi="宋体" w:eastAsia="宋体" w:cs="宋体"/>
                <w:spacing w:val="-4"/>
                <w:sz w:val="17"/>
              </w:rPr>
              <w:t>1min</w:t>
            </w:r>
            <w:r>
              <w:rPr>
                <w:rFonts w:hint="eastAsia" w:ascii="宋体" w:hAnsi="宋体" w:eastAsia="宋体" w:cs="宋体"/>
                <w:spacing w:val="-2"/>
                <w:sz w:val="17"/>
              </w:rPr>
              <w:t>，不应出现飞弧和击穿现象；</w:t>
            </w:r>
          </w:p>
          <w:p>
            <w:pPr>
              <w:pStyle w:val="19"/>
              <w:numPr>
                <w:ilvl w:val="0"/>
                <w:numId w:val="36"/>
              </w:numPr>
              <w:tabs>
                <w:tab w:val="left" w:pos="372"/>
              </w:tabs>
              <w:spacing w:before="166" w:after="0" w:line="422" w:lineRule="auto"/>
              <w:ind w:left="100" w:right="121" w:firstLine="0"/>
              <w:jc w:val="left"/>
              <w:rPr>
                <w:rFonts w:hint="eastAsia" w:ascii="宋体" w:hAnsi="宋体" w:eastAsia="宋体" w:cs="宋体"/>
                <w:sz w:val="17"/>
              </w:rPr>
            </w:pPr>
            <w:r>
              <w:rPr>
                <w:rFonts w:hint="eastAsia" w:ascii="宋体" w:hAnsi="宋体" w:eastAsia="宋体" w:cs="宋体"/>
                <w:spacing w:val="-3"/>
                <w:sz w:val="17"/>
              </w:rPr>
              <w:t>LED</w:t>
            </w:r>
            <w:r>
              <w:rPr>
                <w:rFonts w:hint="eastAsia" w:ascii="宋体" w:hAnsi="宋体" w:eastAsia="宋体" w:cs="宋体"/>
                <w:sz w:val="17"/>
              </w:rPr>
              <w:t>显示屏图像质量主观评价优、支持4K超清技术、HDR高动态光照渲染技术；符合</w:t>
            </w:r>
            <w:r>
              <w:rPr>
                <w:rFonts w:hint="eastAsia" w:ascii="宋体" w:hAnsi="宋体" w:eastAsia="宋体" w:cs="宋体"/>
                <w:spacing w:val="-3"/>
                <w:sz w:val="17"/>
              </w:rPr>
              <w:t>LED</w:t>
            </w:r>
            <w:r>
              <w:rPr>
                <w:rFonts w:hint="eastAsia" w:ascii="宋体" w:hAnsi="宋体" w:eastAsia="宋体" w:cs="宋体"/>
                <w:sz w:val="17"/>
              </w:rPr>
              <w:t>显示屏绿色健康分级认证技术；</w:t>
            </w:r>
          </w:p>
          <w:p>
            <w:pPr>
              <w:pStyle w:val="19"/>
              <w:numPr>
                <w:ilvl w:val="0"/>
                <w:numId w:val="36"/>
              </w:numPr>
              <w:tabs>
                <w:tab w:val="left" w:pos="372"/>
              </w:tabs>
              <w:spacing w:before="2" w:after="0" w:line="422" w:lineRule="auto"/>
              <w:ind w:left="100" w:right="181" w:firstLine="0"/>
              <w:jc w:val="left"/>
              <w:rPr>
                <w:rFonts w:hint="eastAsia" w:ascii="宋体" w:hAnsi="宋体" w:eastAsia="宋体" w:cs="宋体"/>
                <w:sz w:val="17"/>
              </w:rPr>
            </w:pPr>
            <w:r>
              <w:rPr>
                <w:rFonts w:hint="eastAsia" w:ascii="宋体" w:hAnsi="宋体" w:eastAsia="宋体" w:cs="宋体"/>
                <w:spacing w:val="-1"/>
                <w:w w:val="95"/>
                <w:sz w:val="17"/>
              </w:rPr>
              <w:t xml:space="preserve">具有多点测温系统、通讯检测、电源检测、可实现远程监督控制，对可能发生的潜在故障记录日志，并向操作员发   </w:t>
            </w:r>
            <w:r>
              <w:rPr>
                <w:rFonts w:hint="eastAsia" w:ascii="宋体" w:hAnsi="宋体" w:eastAsia="宋体" w:cs="宋体"/>
                <w:sz w:val="17"/>
              </w:rPr>
              <w:t>出警报信息；</w:t>
            </w:r>
          </w:p>
          <w:p>
            <w:pPr>
              <w:pStyle w:val="19"/>
              <w:numPr>
                <w:ilvl w:val="0"/>
                <w:numId w:val="36"/>
              </w:numPr>
              <w:tabs>
                <w:tab w:val="left" w:pos="372"/>
              </w:tabs>
              <w:spacing w:before="1" w:after="0" w:line="422" w:lineRule="auto"/>
              <w:ind w:left="100" w:right="109" w:firstLine="0"/>
              <w:jc w:val="left"/>
              <w:rPr>
                <w:rFonts w:hint="eastAsia" w:ascii="宋体" w:hAnsi="宋体" w:eastAsia="宋体" w:cs="宋体"/>
                <w:sz w:val="17"/>
              </w:rPr>
            </w:pPr>
            <w:r>
              <w:rPr>
                <w:rFonts w:hint="eastAsia" w:ascii="宋体" w:hAnsi="宋体" w:eastAsia="宋体" w:cs="宋体"/>
                <w:spacing w:val="-1"/>
                <w:sz w:val="17"/>
              </w:rPr>
              <w:t>具有单点亮度校正，校正后亮度损失</w:t>
            </w:r>
            <w:r>
              <w:rPr>
                <w:rFonts w:hint="eastAsia" w:ascii="宋体" w:hAnsi="宋体" w:eastAsia="宋体" w:cs="宋体"/>
                <w:spacing w:val="-1"/>
                <w:w w:val="120"/>
                <w:sz w:val="17"/>
              </w:rPr>
              <w:t>≤8%；</w:t>
            </w:r>
            <w:r>
              <w:rPr>
                <w:rFonts w:hint="eastAsia" w:ascii="宋体" w:hAnsi="宋体" w:eastAsia="宋体" w:cs="宋体"/>
                <w:spacing w:val="-2"/>
                <w:sz w:val="17"/>
              </w:rPr>
              <w:t>具有颜色校正功能，具有灰度校正，支持模组校正，具有校正数据存储</w:t>
            </w:r>
            <w:r>
              <w:rPr>
                <w:rFonts w:hint="eastAsia" w:ascii="宋体" w:hAnsi="宋体" w:eastAsia="宋体" w:cs="宋体"/>
                <w:sz w:val="17"/>
              </w:rPr>
              <w:t>及自动回读功能；</w:t>
            </w:r>
          </w:p>
          <w:p>
            <w:pPr>
              <w:pStyle w:val="19"/>
              <w:numPr>
                <w:ilvl w:val="0"/>
                <w:numId w:val="36"/>
              </w:numPr>
              <w:tabs>
                <w:tab w:val="left" w:pos="372"/>
              </w:tabs>
              <w:spacing w:before="2"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可实现</w:t>
            </w:r>
            <w:r>
              <w:rPr>
                <w:rFonts w:hint="eastAsia" w:ascii="宋体" w:hAnsi="宋体" w:eastAsia="宋体" w:cs="宋体"/>
                <w:spacing w:val="-3"/>
                <w:sz w:val="17"/>
              </w:rPr>
              <w:t>LED</w:t>
            </w:r>
            <w:r>
              <w:rPr>
                <w:rFonts w:hint="eastAsia" w:ascii="宋体" w:hAnsi="宋体" w:eastAsia="宋体" w:cs="宋体"/>
                <w:sz w:val="17"/>
              </w:rPr>
              <w:t>单点检测，通讯检测、温度检测、电源检测、温度监控等功能；</w:t>
            </w:r>
          </w:p>
          <w:p>
            <w:pPr>
              <w:pStyle w:val="19"/>
              <w:numPr>
                <w:ilvl w:val="0"/>
                <w:numId w:val="3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数据备份：数据记忆储存于</w:t>
            </w:r>
            <w:r>
              <w:rPr>
                <w:rFonts w:hint="eastAsia" w:ascii="宋体" w:hAnsi="宋体" w:eastAsia="宋体" w:cs="宋体"/>
                <w:spacing w:val="-3"/>
                <w:sz w:val="17"/>
              </w:rPr>
              <w:t>LED</w:t>
            </w:r>
            <w:r>
              <w:rPr>
                <w:rFonts w:hint="eastAsia" w:ascii="宋体" w:hAnsi="宋体" w:eastAsia="宋体" w:cs="宋体"/>
                <w:sz w:val="17"/>
              </w:rPr>
              <w:t>显示模块箱体中，更换箱体设备时，无需重新设定参数；</w:t>
            </w:r>
          </w:p>
          <w:p>
            <w:pPr>
              <w:pStyle w:val="19"/>
              <w:numPr>
                <w:ilvl w:val="0"/>
                <w:numId w:val="36"/>
              </w:numPr>
              <w:tabs>
                <w:tab w:val="left" w:pos="372"/>
              </w:tabs>
              <w:spacing w:before="166" w:after="0" w:line="422" w:lineRule="auto"/>
              <w:ind w:left="100" w:right="181" w:firstLine="0"/>
              <w:jc w:val="left"/>
              <w:rPr>
                <w:rFonts w:hint="eastAsia" w:ascii="宋体" w:hAnsi="宋体" w:eastAsia="宋体" w:cs="宋体"/>
                <w:sz w:val="17"/>
              </w:rPr>
            </w:pPr>
            <w:r>
              <w:rPr>
                <w:rFonts w:hint="eastAsia" w:ascii="宋体" w:hAnsi="宋体" w:eastAsia="宋体" w:cs="宋体"/>
                <w:w w:val="95"/>
                <w:sz w:val="17"/>
              </w:rPr>
              <w:t>产品采用高端芯片，可智能调节正常工作与睡眠状态下的节能效果（动态节能，智能息屏），</w:t>
            </w:r>
            <w:r>
              <w:rPr>
                <w:rFonts w:hint="eastAsia" w:ascii="宋体" w:hAnsi="宋体" w:eastAsia="宋体" w:cs="宋体"/>
                <w:spacing w:val="-2"/>
                <w:w w:val="95"/>
                <w:sz w:val="17"/>
              </w:rPr>
              <w:t xml:space="preserve">开启智能节电功能比   </w:t>
            </w:r>
            <w:r>
              <w:rPr>
                <w:rFonts w:hint="eastAsia" w:ascii="宋体" w:hAnsi="宋体" w:eastAsia="宋体" w:cs="宋体"/>
                <w:sz w:val="17"/>
              </w:rPr>
              <w:t>没有开启节能</w:t>
            </w:r>
            <w:r>
              <w:rPr>
                <w:rFonts w:hint="eastAsia" w:ascii="宋体" w:hAnsi="宋体" w:eastAsia="宋体" w:cs="宋体"/>
                <w:w w:val="130"/>
                <w:sz w:val="17"/>
              </w:rPr>
              <w:t>45%</w:t>
            </w:r>
            <w:r>
              <w:rPr>
                <w:rFonts w:hint="eastAsia" w:ascii="宋体" w:hAnsi="宋体" w:eastAsia="宋体" w:cs="宋体"/>
                <w:sz w:val="17"/>
              </w:rPr>
              <w:t>以上；</w:t>
            </w:r>
          </w:p>
          <w:p>
            <w:pPr>
              <w:pStyle w:val="19"/>
              <w:numPr>
                <w:ilvl w:val="0"/>
                <w:numId w:val="36"/>
              </w:numPr>
              <w:tabs>
                <w:tab w:val="left" w:pos="372"/>
              </w:tabs>
              <w:spacing w:before="2" w:after="0" w:line="422" w:lineRule="auto"/>
              <w:ind w:left="100" w:right="181" w:firstLine="0"/>
              <w:jc w:val="left"/>
              <w:rPr>
                <w:rFonts w:hint="eastAsia" w:ascii="宋体" w:hAnsi="宋体" w:eastAsia="宋体" w:cs="宋体"/>
                <w:sz w:val="17"/>
              </w:rPr>
            </w:pPr>
            <w:r>
              <w:rPr>
                <w:rFonts w:hint="eastAsia" w:ascii="宋体" w:hAnsi="宋体" w:eastAsia="宋体" w:cs="宋体"/>
                <w:spacing w:val="-1"/>
                <w:w w:val="95"/>
                <w:sz w:val="17"/>
              </w:rPr>
              <w:t xml:space="preserve">防护性能：具有防静电、防电磁干扰、防腐蚀、防霉菌、防虫、防潮、抗震动、抗雷击等功能；具有电源过压、过   </w:t>
            </w:r>
            <w:r>
              <w:rPr>
                <w:rFonts w:hint="eastAsia" w:ascii="宋体" w:hAnsi="宋体" w:eastAsia="宋体" w:cs="宋体"/>
                <w:sz w:val="17"/>
              </w:rPr>
              <w:t>流、断电保护、分布上电措施、防护等级达到IP60；【提供此功能的证明资料】</w:t>
            </w:r>
          </w:p>
          <w:p>
            <w:pPr>
              <w:pStyle w:val="19"/>
              <w:numPr>
                <w:ilvl w:val="0"/>
                <w:numId w:val="36"/>
              </w:numPr>
              <w:tabs>
                <w:tab w:val="left" w:pos="372"/>
              </w:tabs>
              <w:spacing w:before="1" w:after="0" w:line="240" w:lineRule="auto"/>
              <w:ind w:left="371" w:right="0" w:hanging="272"/>
              <w:jc w:val="left"/>
              <w:rPr>
                <w:rFonts w:hint="eastAsia" w:ascii="宋体" w:hAnsi="宋体" w:eastAsia="宋体" w:cs="宋体"/>
                <w:sz w:val="17"/>
              </w:rPr>
            </w:pPr>
            <w:r>
              <w:rPr>
                <w:rFonts w:hint="eastAsia" w:ascii="宋体" w:hAnsi="宋体" w:eastAsia="宋体" w:cs="宋体"/>
                <w:spacing w:val="-3"/>
                <w:w w:val="105"/>
                <w:sz w:val="17"/>
              </w:rPr>
              <w:t>LED</w:t>
            </w:r>
            <w:r>
              <w:rPr>
                <w:rFonts w:hint="eastAsia" w:ascii="宋体" w:hAnsi="宋体" w:eastAsia="宋体" w:cs="宋体"/>
                <w:w w:val="105"/>
                <w:sz w:val="17"/>
              </w:rPr>
              <w:t>显示屏通过在正常环境下168h不间断运行无故障的老化测试；</w:t>
            </w:r>
          </w:p>
          <w:p>
            <w:pPr>
              <w:pStyle w:val="19"/>
              <w:spacing w:before="166"/>
              <w:ind w:left="100"/>
              <w:rPr>
                <w:rFonts w:hint="eastAsia" w:ascii="宋体" w:hAnsi="宋体" w:eastAsia="宋体" w:cs="宋体"/>
                <w:sz w:val="17"/>
              </w:rPr>
            </w:pPr>
            <w:r>
              <w:rPr>
                <w:rFonts w:hint="eastAsia" w:ascii="宋体" w:hAnsi="宋体" w:eastAsia="宋体" w:cs="宋体"/>
                <w:w w:val="110"/>
                <w:sz w:val="17"/>
              </w:rPr>
              <w:t>45.使用寿命：≥100000h；</w:t>
            </w:r>
          </w:p>
          <w:p>
            <w:pPr>
              <w:pStyle w:val="19"/>
              <w:numPr>
                <w:ilvl w:val="0"/>
                <w:numId w:val="37"/>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平均无故障时间：MTBF平均无故障时间≥20000h；MTTR平均修复时间≤4分钟；【提供此功能的证明资料】</w:t>
            </w:r>
          </w:p>
          <w:p>
            <w:pPr>
              <w:pStyle w:val="19"/>
              <w:numPr>
                <w:ilvl w:val="0"/>
                <w:numId w:val="37"/>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屏幕温升：最高亮度（白平衡）持续工作4小时，模组表面温升小于20K；</w:t>
            </w:r>
          </w:p>
          <w:p>
            <w:pPr>
              <w:pStyle w:val="19"/>
              <w:numPr>
                <w:ilvl w:val="0"/>
                <w:numId w:val="37"/>
              </w:numPr>
              <w:tabs>
                <w:tab w:val="left" w:pos="372"/>
              </w:tabs>
              <w:spacing w:before="166" w:after="0" w:line="422" w:lineRule="auto"/>
              <w:ind w:left="100" w:right="217" w:firstLine="0"/>
              <w:jc w:val="left"/>
              <w:rPr>
                <w:rFonts w:hint="eastAsia" w:ascii="宋体" w:hAnsi="宋体" w:eastAsia="宋体" w:cs="宋体"/>
                <w:sz w:val="17"/>
              </w:rPr>
            </w:pPr>
            <w:r>
              <w:rPr>
                <w:rFonts w:hint="eastAsia" w:ascii="宋体" w:hAnsi="宋体" w:eastAsia="宋体" w:cs="宋体"/>
                <w:sz w:val="17"/>
              </w:rPr>
              <w:t>为确保屏体在不同的环境下仍可正常启动工作，要求投标人所投</w:t>
            </w:r>
            <w:r>
              <w:rPr>
                <w:rFonts w:hint="eastAsia" w:ascii="宋体" w:hAnsi="宋体" w:eastAsia="宋体" w:cs="宋体"/>
                <w:spacing w:val="-3"/>
                <w:sz w:val="17"/>
              </w:rPr>
              <w:t>LED</w:t>
            </w:r>
            <w:r>
              <w:rPr>
                <w:rFonts w:hint="eastAsia" w:ascii="宋体" w:hAnsi="宋体" w:eastAsia="宋体" w:cs="宋体"/>
                <w:sz w:val="17"/>
              </w:rPr>
              <w:t>显示屏须通过零下40℃和高温80℃</w:t>
            </w:r>
            <w:r>
              <w:rPr>
                <w:rFonts w:hint="eastAsia" w:ascii="宋体" w:hAnsi="宋体" w:eastAsia="宋体" w:cs="宋体"/>
                <w:spacing w:val="-4"/>
                <w:sz w:val="17"/>
              </w:rPr>
              <w:t>的环境运</w:t>
            </w:r>
            <w:r>
              <w:rPr>
                <w:rFonts w:hint="eastAsia" w:ascii="宋体" w:hAnsi="宋体" w:eastAsia="宋体" w:cs="宋体"/>
                <w:w w:val="105"/>
                <w:sz w:val="17"/>
              </w:rPr>
              <w:t>行12h产品能正常工作。</w:t>
            </w:r>
          </w:p>
          <w:p>
            <w:pPr>
              <w:pStyle w:val="19"/>
              <w:numPr>
                <w:ilvl w:val="0"/>
                <w:numId w:val="37"/>
              </w:numPr>
              <w:tabs>
                <w:tab w:val="left" w:pos="372"/>
              </w:tabs>
              <w:spacing w:before="2" w:after="0" w:line="422" w:lineRule="auto"/>
              <w:ind w:left="100" w:right="109" w:firstLine="0"/>
              <w:jc w:val="both"/>
              <w:rPr>
                <w:rFonts w:hint="eastAsia" w:ascii="宋体" w:hAnsi="宋体" w:eastAsia="宋体" w:cs="宋体"/>
                <w:sz w:val="17"/>
              </w:rPr>
            </w:pPr>
            <w:r>
              <w:rPr>
                <w:rFonts w:hint="eastAsia" w:ascii="宋体" w:hAnsi="宋体" w:eastAsia="宋体" w:cs="宋体"/>
                <w:sz w:val="17"/>
              </w:rPr>
              <w:t>支持自动</w:t>
            </w:r>
            <w:r>
              <w:rPr>
                <w:rFonts w:hint="eastAsia" w:ascii="宋体" w:hAnsi="宋体" w:eastAsia="宋体" w:cs="宋体"/>
                <w:spacing w:val="-3"/>
                <w:sz w:val="17"/>
              </w:rPr>
              <w:t>GAMMA</w:t>
            </w:r>
            <w:r>
              <w:rPr>
                <w:rFonts w:hint="eastAsia" w:ascii="宋体" w:hAnsi="宋体" w:eastAsia="宋体" w:cs="宋体"/>
                <w:spacing w:val="-1"/>
                <w:sz w:val="17"/>
              </w:rPr>
              <w:t>校正技术，</w:t>
            </w:r>
            <w:r>
              <w:rPr>
                <w:rFonts w:hint="eastAsia" w:ascii="宋体" w:hAnsi="宋体" w:eastAsia="宋体" w:cs="宋体"/>
                <w:spacing w:val="-3"/>
                <w:sz w:val="17"/>
              </w:rPr>
              <w:t>16bit</w:t>
            </w:r>
            <w:r>
              <w:rPr>
                <w:rFonts w:hint="eastAsia" w:ascii="宋体" w:hAnsi="宋体" w:eastAsia="宋体" w:cs="宋体"/>
                <w:sz w:val="17"/>
              </w:rPr>
              <w:t>自动调节，通过构造非线性校正曲线和色坐标变换系数矩阵实现了显示效果的不</w:t>
            </w:r>
            <w:r>
              <w:rPr>
                <w:rFonts w:hint="eastAsia" w:ascii="宋体" w:hAnsi="宋体" w:eastAsia="宋体" w:cs="宋体"/>
                <w:spacing w:val="-1"/>
                <w:w w:val="95"/>
                <w:sz w:val="17"/>
              </w:rPr>
              <w:t xml:space="preserve">断改善，各项重要指标如色彩还原性、色温调节范围、亮度均匀性、色度均匀性、刷新率、换帧频率等，均符合广电级    </w:t>
            </w:r>
            <w:r>
              <w:rPr>
                <w:rFonts w:hint="eastAsia" w:ascii="宋体" w:hAnsi="宋体" w:eastAsia="宋体" w:cs="宋体"/>
                <w:sz w:val="17"/>
              </w:rPr>
              <w:t>标准；</w:t>
            </w:r>
          </w:p>
          <w:p>
            <w:pPr>
              <w:pStyle w:val="19"/>
              <w:numPr>
                <w:ilvl w:val="0"/>
                <w:numId w:val="37"/>
              </w:numPr>
              <w:tabs>
                <w:tab w:val="left" w:pos="372"/>
              </w:tabs>
              <w:spacing w:before="2" w:after="0" w:line="422" w:lineRule="auto"/>
              <w:ind w:left="100" w:right="85" w:firstLine="0"/>
              <w:jc w:val="left"/>
              <w:rPr>
                <w:rFonts w:hint="eastAsia" w:ascii="宋体" w:hAnsi="宋体" w:eastAsia="宋体" w:cs="宋体"/>
                <w:sz w:val="17"/>
              </w:rPr>
            </w:pPr>
            <w:r>
              <w:rPr>
                <w:rFonts w:hint="eastAsia" w:ascii="宋体" w:hAnsi="宋体" w:eastAsia="宋体" w:cs="宋体"/>
                <w:spacing w:val="-2"/>
                <w:w w:val="105"/>
                <w:sz w:val="17"/>
              </w:rPr>
              <w:t>光生物安全检测：无危害类：8h（30000s）</w:t>
            </w:r>
            <w:r>
              <w:rPr>
                <w:rFonts w:hint="eastAsia" w:ascii="宋体" w:hAnsi="宋体" w:eastAsia="宋体" w:cs="宋体"/>
                <w:spacing w:val="-1"/>
                <w:w w:val="105"/>
                <w:sz w:val="17"/>
              </w:rPr>
              <w:t>曝辐中不造成光化学紫外危害（ES），并在16min（1000s）</w:t>
            </w:r>
            <w:r>
              <w:rPr>
                <w:rFonts w:hint="eastAsia" w:ascii="宋体" w:hAnsi="宋体" w:eastAsia="宋体" w:cs="宋体"/>
                <w:spacing w:val="-5"/>
                <w:w w:val="105"/>
                <w:sz w:val="17"/>
              </w:rPr>
              <w:t>内不造</w:t>
            </w:r>
            <w:r>
              <w:rPr>
                <w:rFonts w:hint="eastAsia" w:ascii="宋体" w:hAnsi="宋体" w:eastAsia="宋体" w:cs="宋体"/>
                <w:sz w:val="17"/>
              </w:rPr>
              <w:t>成近紫外危害</w:t>
            </w:r>
            <w:r>
              <w:rPr>
                <w:rFonts w:hint="eastAsia" w:ascii="宋体" w:hAnsi="宋体" w:eastAsia="宋体" w:cs="宋体"/>
                <w:spacing w:val="-3"/>
                <w:sz w:val="17"/>
              </w:rPr>
              <w:t>（EUVA），</w:t>
            </w:r>
            <w:r>
              <w:rPr>
                <w:rFonts w:hint="eastAsia" w:ascii="宋体" w:hAnsi="宋体" w:eastAsia="宋体" w:cs="宋体"/>
                <w:sz w:val="17"/>
              </w:rPr>
              <w:t>并在2.8h（10000s）内不造成对视网膜蓝光危害（LB）并在10s内不造成对视网膜热危害</w:t>
            </w:r>
          </w:p>
          <w:p>
            <w:pPr>
              <w:pStyle w:val="19"/>
              <w:spacing w:before="2"/>
              <w:ind w:left="100"/>
              <w:rPr>
                <w:rFonts w:hint="eastAsia" w:ascii="宋体" w:hAnsi="宋体" w:eastAsia="宋体" w:cs="宋体"/>
                <w:sz w:val="17"/>
              </w:rPr>
            </w:pPr>
            <w:r>
              <w:rPr>
                <w:rFonts w:hint="eastAsia" w:ascii="宋体" w:hAnsi="宋体" w:eastAsia="宋体" w:cs="宋体"/>
                <w:w w:val="105"/>
                <w:sz w:val="17"/>
              </w:rPr>
              <w:t>（LR），且在1000s内不造成对眼睛的红外辐射危害（EIR）；【提供此功能的证明资料】</w:t>
            </w:r>
          </w:p>
          <w:p>
            <w:pPr>
              <w:pStyle w:val="19"/>
              <w:numPr>
                <w:ilvl w:val="0"/>
                <w:numId w:val="37"/>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盐雾：盐雾10级；</w:t>
            </w:r>
          </w:p>
          <w:p>
            <w:pPr>
              <w:pStyle w:val="19"/>
              <w:numPr>
                <w:ilvl w:val="0"/>
                <w:numId w:val="37"/>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阻燃：</w:t>
            </w:r>
            <w:r>
              <w:rPr>
                <w:rFonts w:hint="eastAsia" w:ascii="宋体" w:hAnsi="宋体" w:eastAsia="宋体" w:cs="宋体"/>
                <w:spacing w:val="3"/>
                <w:sz w:val="17"/>
              </w:rPr>
              <w:t>PCB</w:t>
            </w:r>
            <w:r>
              <w:rPr>
                <w:rFonts w:hint="eastAsia" w:ascii="宋体" w:hAnsi="宋体" w:eastAsia="宋体" w:cs="宋体"/>
                <w:sz w:val="17"/>
              </w:rPr>
              <w:t>板、防火保护外壳及内部其他元器件均达到</w:t>
            </w:r>
            <w:r>
              <w:rPr>
                <w:rFonts w:hint="eastAsia" w:ascii="宋体" w:hAnsi="宋体" w:eastAsia="宋体" w:cs="宋体"/>
                <w:spacing w:val="-3"/>
                <w:sz w:val="17"/>
              </w:rPr>
              <w:t>V-0</w:t>
            </w:r>
            <w:r>
              <w:rPr>
                <w:rFonts w:hint="eastAsia" w:ascii="宋体" w:hAnsi="宋体" w:eastAsia="宋体" w:cs="宋体"/>
                <w:sz w:val="17"/>
              </w:rPr>
              <w:t>等级；</w:t>
            </w:r>
          </w:p>
          <w:p>
            <w:pPr>
              <w:pStyle w:val="19"/>
              <w:numPr>
                <w:ilvl w:val="0"/>
                <w:numId w:val="37"/>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产品通过GB/T9254-2008《信息技术设备的无线电骚扰限值和测量方法》试验，辐射干扰检测结果符合标准规范</w:t>
            </w:r>
          </w:p>
        </w:tc>
      </w:tr>
    </w:tbl>
    <w:p>
      <w:pPr>
        <w:spacing w:after="0" w:line="240" w:lineRule="auto"/>
        <w:jc w:val="left"/>
        <w:rPr>
          <w:rFonts w:hint="eastAsia" w:ascii="宋体" w:hAnsi="宋体" w:eastAsia="宋体" w:cs="宋体"/>
          <w:sz w:val="17"/>
        </w:rPr>
        <w:sectPr>
          <w:pgSz w:w="11900" w:h="16840"/>
          <w:pgMar w:top="560" w:right="560" w:bottom="28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185" w:hRule="atLeast"/>
        </w:trPr>
        <w:tc>
          <w:tcPr>
            <w:tcW w:w="1056" w:type="dxa"/>
            <w:tcBorders>
              <w:top w:val="nil"/>
            </w:tcBorders>
          </w:tcPr>
          <w:p>
            <w:pPr>
              <w:pStyle w:val="19"/>
              <w:rPr>
                <w:rFonts w:hint="eastAsia" w:ascii="宋体" w:hAnsi="宋体" w:eastAsia="宋体" w:cs="宋体"/>
                <w:sz w:val="16"/>
              </w:rPr>
            </w:pPr>
          </w:p>
        </w:tc>
        <w:tc>
          <w:tcPr>
            <w:tcW w:w="528" w:type="dxa"/>
            <w:tcBorders>
              <w:top w:val="nil"/>
            </w:tcBorders>
          </w:tcPr>
          <w:p>
            <w:pPr>
              <w:pStyle w:val="19"/>
              <w:rPr>
                <w:rFonts w:hint="eastAsia" w:ascii="宋体" w:hAnsi="宋体" w:eastAsia="宋体" w:cs="宋体"/>
                <w:sz w:val="16"/>
              </w:rPr>
            </w:pPr>
          </w:p>
        </w:tc>
        <w:tc>
          <w:tcPr>
            <w:tcW w:w="8966" w:type="dxa"/>
            <w:tcBorders>
              <w:top w:val="nil"/>
            </w:tcBorders>
          </w:tcPr>
          <w:p>
            <w:pPr>
              <w:pStyle w:val="19"/>
              <w:spacing w:before="130" w:line="422" w:lineRule="auto"/>
              <w:ind w:left="100" w:right="85"/>
              <w:rPr>
                <w:rFonts w:hint="eastAsia" w:ascii="宋体" w:hAnsi="宋体" w:eastAsia="宋体" w:cs="宋体"/>
                <w:sz w:val="17"/>
              </w:rPr>
            </w:pPr>
            <w:r>
              <w:rPr>
                <w:rFonts w:hint="eastAsia" w:ascii="宋体" w:hAnsi="宋体" w:eastAsia="宋体" w:cs="宋体"/>
                <w:w w:val="98"/>
                <w:sz w:val="17"/>
              </w:rPr>
              <w:t>要求，符合</w:t>
            </w:r>
            <w:r>
              <w:rPr>
                <w:rFonts w:hint="eastAsia" w:ascii="宋体" w:hAnsi="宋体" w:eastAsia="宋体" w:cs="宋体"/>
                <w:spacing w:val="2"/>
                <w:w w:val="103"/>
                <w:sz w:val="17"/>
              </w:rPr>
              <w:t>C</w:t>
            </w:r>
            <w:r>
              <w:rPr>
                <w:rFonts w:hint="eastAsia" w:ascii="宋体" w:hAnsi="宋体" w:eastAsia="宋体" w:cs="宋体"/>
                <w:spacing w:val="-11"/>
                <w:w w:val="130"/>
                <w:sz w:val="17"/>
              </w:rPr>
              <w:t>l</w:t>
            </w:r>
            <w:r>
              <w:rPr>
                <w:rFonts w:hint="eastAsia" w:ascii="宋体" w:hAnsi="宋体" w:eastAsia="宋体" w:cs="宋体"/>
                <w:spacing w:val="-7"/>
                <w:w w:val="127"/>
                <w:sz w:val="17"/>
              </w:rPr>
              <w:t>a</w:t>
            </w:r>
            <w:r>
              <w:rPr>
                <w:rFonts w:hint="eastAsia" w:ascii="宋体" w:hAnsi="宋体" w:eastAsia="宋体" w:cs="宋体"/>
                <w:spacing w:val="8"/>
                <w:w w:val="111"/>
                <w:sz w:val="17"/>
              </w:rPr>
              <w:t>ss</w:t>
            </w:r>
            <w:r>
              <w:rPr>
                <w:rFonts w:hint="eastAsia" w:ascii="宋体" w:hAnsi="宋体" w:eastAsia="宋体" w:cs="宋体"/>
                <w:spacing w:val="4"/>
                <w:w w:val="106"/>
                <w:sz w:val="17"/>
              </w:rPr>
              <w:t>B</w:t>
            </w:r>
            <w:r>
              <w:rPr>
                <w:rFonts w:hint="eastAsia" w:ascii="宋体" w:hAnsi="宋体" w:eastAsia="宋体" w:cs="宋体"/>
                <w:w w:val="98"/>
                <w:sz w:val="17"/>
              </w:rPr>
              <w:t>限值要求。在</w:t>
            </w:r>
            <w:r>
              <w:rPr>
                <w:rFonts w:hint="eastAsia" w:ascii="宋体" w:hAnsi="宋体" w:eastAsia="宋体" w:cs="宋体"/>
                <w:spacing w:val="1"/>
                <w:w w:val="125"/>
                <w:sz w:val="17"/>
              </w:rPr>
              <w:t>30</w:t>
            </w:r>
            <w:r>
              <w:rPr>
                <w:rFonts w:hint="eastAsia" w:ascii="宋体" w:hAnsi="宋体" w:eastAsia="宋体" w:cs="宋体"/>
                <w:spacing w:val="-1"/>
                <w:w w:val="71"/>
                <w:sz w:val="17"/>
              </w:rPr>
              <w:t>-</w:t>
            </w:r>
            <w:r>
              <w:rPr>
                <w:rFonts w:hint="eastAsia" w:ascii="宋体" w:hAnsi="宋体" w:eastAsia="宋体" w:cs="宋体"/>
                <w:spacing w:val="1"/>
                <w:w w:val="125"/>
                <w:sz w:val="17"/>
              </w:rPr>
              <w:t>230</w:t>
            </w:r>
            <w:r>
              <w:rPr>
                <w:rFonts w:hint="eastAsia" w:ascii="宋体" w:hAnsi="宋体" w:eastAsia="宋体" w:cs="宋体"/>
                <w:spacing w:val="-1"/>
                <w:w w:val="114"/>
                <w:sz w:val="17"/>
              </w:rPr>
              <w:t>M</w:t>
            </w:r>
            <w:r>
              <w:rPr>
                <w:rFonts w:hint="eastAsia" w:ascii="宋体" w:hAnsi="宋体" w:eastAsia="宋体" w:cs="宋体"/>
                <w:spacing w:val="-7"/>
                <w:w w:val="116"/>
                <w:sz w:val="17"/>
              </w:rPr>
              <w:t>H</w:t>
            </w:r>
            <w:r>
              <w:rPr>
                <w:rFonts w:hint="eastAsia" w:ascii="宋体" w:hAnsi="宋体" w:eastAsia="宋体" w:cs="宋体"/>
                <w:spacing w:val="7"/>
                <w:w w:val="113"/>
                <w:sz w:val="17"/>
              </w:rPr>
              <w:t>z</w:t>
            </w:r>
            <w:r>
              <w:rPr>
                <w:rFonts w:hint="eastAsia" w:ascii="宋体" w:hAnsi="宋体" w:eastAsia="宋体" w:cs="宋体"/>
                <w:spacing w:val="11"/>
                <w:w w:val="98"/>
                <w:sz w:val="17"/>
              </w:rPr>
              <w:t>频率范围内，峰值限值</w:t>
            </w:r>
            <w:r>
              <w:rPr>
                <w:rFonts w:hint="eastAsia" w:ascii="宋体" w:hAnsi="宋体" w:eastAsia="宋体" w:cs="宋体"/>
                <w:spacing w:val="-37"/>
                <w:sz w:val="17"/>
              </w:rPr>
              <w:t xml:space="preserve"> </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spacing w:val="3"/>
                <w:w w:val="164"/>
                <w:sz w:val="17"/>
              </w:rPr>
              <w:t>≤</w:t>
            </w:r>
            <w:r>
              <w:rPr>
                <w:rFonts w:hint="eastAsia" w:ascii="宋体" w:hAnsi="宋体" w:eastAsia="宋体" w:cs="宋体"/>
                <w:spacing w:val="1"/>
                <w:w w:val="125"/>
                <w:sz w:val="17"/>
              </w:rPr>
              <w:t>41</w:t>
            </w:r>
            <w:r>
              <w:rPr>
                <w:rFonts w:hint="eastAsia" w:ascii="宋体" w:hAnsi="宋体" w:eastAsia="宋体" w:cs="宋体"/>
                <w:spacing w:val="1"/>
                <w:w w:val="62"/>
                <w:sz w:val="17"/>
              </w:rPr>
              <w:t>μ</w:t>
            </w:r>
            <w:r>
              <w:rPr>
                <w:rFonts w:hint="eastAsia" w:ascii="宋体" w:hAnsi="宋体" w:eastAsia="宋体" w:cs="宋体"/>
                <w:spacing w:val="-7"/>
                <w:w w:val="106"/>
                <w:sz w:val="17"/>
              </w:rPr>
              <w:t>V</w:t>
            </w:r>
            <w:r>
              <w:rPr>
                <w:rFonts w:hint="eastAsia" w:ascii="宋体" w:hAnsi="宋体" w:eastAsia="宋体" w:cs="宋体"/>
                <w:spacing w:val="3"/>
                <w:w w:val="66"/>
                <w:sz w:val="17"/>
              </w:rPr>
              <w:t>/</w:t>
            </w:r>
            <w:r>
              <w:rPr>
                <w:rFonts w:hint="eastAsia" w:ascii="宋体" w:hAnsi="宋体" w:eastAsia="宋体" w:cs="宋体"/>
                <w:spacing w:val="-8"/>
                <w:w w:val="131"/>
                <w:sz w:val="17"/>
              </w:rPr>
              <w:t>m</w:t>
            </w:r>
            <w:r>
              <w:rPr>
                <w:rFonts w:hint="eastAsia" w:ascii="宋体" w:hAnsi="宋体" w:eastAsia="宋体" w:cs="宋体"/>
                <w:w w:val="98"/>
                <w:sz w:val="17"/>
              </w:rPr>
              <w:t>；在</w:t>
            </w:r>
            <w:r>
              <w:rPr>
                <w:rFonts w:hint="eastAsia" w:ascii="宋体" w:hAnsi="宋体" w:eastAsia="宋体" w:cs="宋体"/>
                <w:spacing w:val="1"/>
                <w:w w:val="125"/>
                <w:sz w:val="17"/>
              </w:rPr>
              <w:t>230</w:t>
            </w:r>
            <w:r>
              <w:rPr>
                <w:rFonts w:hint="eastAsia" w:ascii="宋体" w:hAnsi="宋体" w:eastAsia="宋体" w:cs="宋体"/>
                <w:spacing w:val="-1"/>
                <w:w w:val="71"/>
                <w:sz w:val="17"/>
              </w:rPr>
              <w:t>-</w:t>
            </w:r>
            <w:r>
              <w:rPr>
                <w:rFonts w:hint="eastAsia" w:ascii="宋体" w:hAnsi="宋体" w:eastAsia="宋体" w:cs="宋体"/>
                <w:spacing w:val="1"/>
                <w:w w:val="125"/>
                <w:sz w:val="17"/>
              </w:rPr>
              <w:t>1000</w:t>
            </w:r>
            <w:r>
              <w:rPr>
                <w:rFonts w:hint="eastAsia" w:ascii="宋体" w:hAnsi="宋体" w:eastAsia="宋体" w:cs="宋体"/>
                <w:spacing w:val="-1"/>
                <w:w w:val="114"/>
                <w:sz w:val="17"/>
              </w:rPr>
              <w:t>M</w:t>
            </w:r>
            <w:r>
              <w:rPr>
                <w:rFonts w:hint="eastAsia" w:ascii="宋体" w:hAnsi="宋体" w:eastAsia="宋体" w:cs="宋体"/>
                <w:spacing w:val="-7"/>
                <w:w w:val="116"/>
                <w:sz w:val="17"/>
              </w:rPr>
              <w:t>H</w:t>
            </w:r>
            <w:r>
              <w:rPr>
                <w:rFonts w:hint="eastAsia" w:ascii="宋体" w:hAnsi="宋体" w:eastAsia="宋体" w:cs="宋体"/>
                <w:spacing w:val="7"/>
                <w:w w:val="113"/>
                <w:sz w:val="17"/>
              </w:rPr>
              <w:t>z</w:t>
            </w:r>
            <w:r>
              <w:rPr>
                <w:rFonts w:hint="eastAsia" w:ascii="宋体" w:hAnsi="宋体" w:eastAsia="宋体" w:cs="宋体"/>
                <w:w w:val="98"/>
                <w:sz w:val="17"/>
              </w:rPr>
              <w:t>频率范围内，峰值限值</w:t>
            </w:r>
            <w:r>
              <w:rPr>
                <w:rFonts w:hint="eastAsia" w:ascii="宋体" w:hAnsi="宋体" w:eastAsia="宋体" w:cs="宋体"/>
                <w:spacing w:val="-37"/>
                <w:sz w:val="17"/>
              </w:rPr>
              <w:t xml:space="preserve"> </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spacing w:val="3"/>
                <w:w w:val="164"/>
                <w:sz w:val="17"/>
              </w:rPr>
              <w:t>≤</w:t>
            </w:r>
            <w:r>
              <w:rPr>
                <w:rFonts w:hint="eastAsia" w:ascii="宋体" w:hAnsi="宋体" w:eastAsia="宋体" w:cs="宋体"/>
                <w:spacing w:val="1"/>
                <w:w w:val="125"/>
                <w:sz w:val="17"/>
              </w:rPr>
              <w:t>46</w:t>
            </w:r>
            <w:r>
              <w:rPr>
                <w:rFonts w:hint="eastAsia" w:ascii="宋体" w:hAnsi="宋体" w:eastAsia="宋体" w:cs="宋体"/>
                <w:spacing w:val="1"/>
                <w:w w:val="62"/>
                <w:sz w:val="17"/>
              </w:rPr>
              <w:t>μ</w:t>
            </w:r>
            <w:r>
              <w:rPr>
                <w:rFonts w:hint="eastAsia" w:ascii="宋体" w:hAnsi="宋体" w:eastAsia="宋体" w:cs="宋体"/>
                <w:spacing w:val="-7"/>
                <w:w w:val="106"/>
                <w:sz w:val="17"/>
              </w:rPr>
              <w:t>V</w:t>
            </w:r>
            <w:r>
              <w:rPr>
                <w:rFonts w:hint="eastAsia" w:ascii="宋体" w:hAnsi="宋体" w:eastAsia="宋体" w:cs="宋体"/>
                <w:spacing w:val="3"/>
                <w:w w:val="66"/>
                <w:sz w:val="17"/>
              </w:rPr>
              <w:t>/</w:t>
            </w:r>
            <w:r>
              <w:rPr>
                <w:rFonts w:hint="eastAsia" w:ascii="宋体" w:hAnsi="宋体" w:eastAsia="宋体" w:cs="宋体"/>
                <w:spacing w:val="-8"/>
                <w:w w:val="131"/>
                <w:sz w:val="17"/>
              </w:rPr>
              <w:t>m</w:t>
            </w:r>
            <w:r>
              <w:rPr>
                <w:rFonts w:hint="eastAsia" w:ascii="宋体" w:hAnsi="宋体" w:eastAsia="宋体" w:cs="宋体"/>
                <w:w w:val="98"/>
                <w:sz w:val="17"/>
              </w:rPr>
              <w:t>；</w:t>
            </w:r>
          </w:p>
          <w:p>
            <w:pPr>
              <w:pStyle w:val="19"/>
              <w:numPr>
                <w:ilvl w:val="0"/>
                <w:numId w:val="38"/>
              </w:numPr>
              <w:tabs>
                <w:tab w:val="left" w:pos="372"/>
              </w:tabs>
              <w:spacing w:before="1"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支持一键点屏技术，开机后自动识别系统连接，无需重置系统配置；</w:t>
            </w:r>
          </w:p>
          <w:p>
            <w:pPr>
              <w:pStyle w:val="19"/>
              <w:numPr>
                <w:ilvl w:val="0"/>
                <w:numId w:val="38"/>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pacing w:val="-1"/>
                <w:sz w:val="17"/>
              </w:rPr>
              <w:t>箱体防护等级：</w:t>
            </w:r>
            <w:r>
              <w:rPr>
                <w:rFonts w:hint="eastAsia" w:ascii="宋体" w:hAnsi="宋体" w:eastAsia="宋体" w:cs="宋体"/>
                <w:spacing w:val="-3"/>
                <w:sz w:val="17"/>
              </w:rPr>
              <w:t>IK10；</w:t>
            </w:r>
          </w:p>
          <w:p>
            <w:pPr>
              <w:pStyle w:val="19"/>
              <w:numPr>
                <w:ilvl w:val="0"/>
                <w:numId w:val="38"/>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抗震实验：显示屏通过</w:t>
            </w:r>
            <w:r>
              <w:rPr>
                <w:rFonts w:hint="eastAsia" w:ascii="宋体" w:hAnsi="宋体" w:eastAsia="宋体" w:cs="宋体"/>
                <w:spacing w:val="2"/>
                <w:w w:val="105"/>
                <w:sz w:val="17"/>
              </w:rPr>
              <w:t>YD</w:t>
            </w:r>
            <w:r>
              <w:rPr>
                <w:rFonts w:hint="eastAsia" w:ascii="宋体" w:hAnsi="宋体" w:eastAsia="宋体" w:cs="宋体"/>
                <w:spacing w:val="-7"/>
                <w:w w:val="105"/>
                <w:sz w:val="17"/>
              </w:rPr>
              <w:t xml:space="preserve"> </w:t>
            </w:r>
            <w:r>
              <w:rPr>
                <w:rFonts w:hint="eastAsia" w:ascii="宋体" w:hAnsi="宋体" w:eastAsia="宋体" w:cs="宋体"/>
                <w:w w:val="105"/>
                <w:sz w:val="17"/>
              </w:rPr>
              <w:t>5083-2005标准抗震测试，测试结果满足抗震10级；</w:t>
            </w:r>
          </w:p>
          <w:p>
            <w:pPr>
              <w:pStyle w:val="19"/>
              <w:numPr>
                <w:ilvl w:val="0"/>
                <w:numId w:val="38"/>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防呆设计：模组电源接口采用</w:t>
            </w:r>
            <w:r>
              <w:rPr>
                <w:rFonts w:hint="eastAsia" w:ascii="宋体" w:hAnsi="宋体" w:eastAsia="宋体" w:cs="宋体"/>
                <w:spacing w:val="3"/>
                <w:sz w:val="17"/>
              </w:rPr>
              <w:t>4P</w:t>
            </w:r>
            <w:r>
              <w:rPr>
                <w:rFonts w:hint="eastAsia" w:ascii="宋体" w:hAnsi="宋体" w:eastAsia="宋体" w:cs="宋体"/>
                <w:sz w:val="17"/>
              </w:rPr>
              <w:t>接插头，免工具维护</w:t>
            </w:r>
            <w:r>
              <w:rPr>
                <w:rFonts w:hint="eastAsia" w:ascii="宋体" w:hAnsi="宋体" w:eastAsia="宋体" w:cs="宋体"/>
                <w:spacing w:val="-6"/>
                <w:w w:val="125"/>
                <w:sz w:val="17"/>
              </w:rPr>
              <w:t>,</w:t>
            </w:r>
            <w:r>
              <w:rPr>
                <w:rFonts w:hint="eastAsia" w:ascii="宋体" w:hAnsi="宋体" w:eastAsia="宋体" w:cs="宋体"/>
                <w:sz w:val="17"/>
              </w:rPr>
              <w:t>同时有防呆设计；</w:t>
            </w:r>
          </w:p>
          <w:p>
            <w:pPr>
              <w:pStyle w:val="19"/>
              <w:numPr>
                <w:ilvl w:val="0"/>
                <w:numId w:val="38"/>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摩尔纹抑制功能：显示屏支持抑制摩尔纹功能，减轻摩尔纹视觉主观效果</w:t>
            </w:r>
            <w:r>
              <w:rPr>
                <w:rFonts w:hint="eastAsia" w:ascii="宋体" w:hAnsi="宋体" w:eastAsia="宋体" w:cs="宋体"/>
                <w:w w:val="115"/>
                <w:sz w:val="17"/>
              </w:rPr>
              <w:t>80%；</w:t>
            </w:r>
          </w:p>
          <w:p>
            <w:pPr>
              <w:pStyle w:val="19"/>
              <w:numPr>
                <w:ilvl w:val="0"/>
                <w:numId w:val="38"/>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高海拔工作试验：5000米海拔环境下，产品可正常工作</w:t>
            </w:r>
          </w:p>
          <w:p>
            <w:pPr>
              <w:pStyle w:val="19"/>
              <w:numPr>
                <w:ilvl w:val="0"/>
                <w:numId w:val="38"/>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20"/>
                <w:sz w:val="17"/>
              </w:rPr>
              <w:t>表面硬度：具备划痕性能技术</w:t>
            </w:r>
            <w:r>
              <w:rPr>
                <w:rFonts w:hint="eastAsia" w:ascii="宋体" w:hAnsi="宋体" w:eastAsia="宋体" w:cs="宋体"/>
                <w:spacing w:val="-6"/>
                <w:w w:val="125"/>
                <w:sz w:val="17"/>
              </w:rPr>
              <w:t>,</w:t>
            </w:r>
            <w:r>
              <w:rPr>
                <w:rFonts w:hint="eastAsia" w:ascii="宋体" w:hAnsi="宋体" w:eastAsia="宋体" w:cs="宋体"/>
                <w:w w:val="120"/>
                <w:sz w:val="17"/>
              </w:rPr>
              <w:t>表面硬度≥15H</w:t>
            </w:r>
          </w:p>
          <w:p>
            <w:pPr>
              <w:pStyle w:val="19"/>
              <w:numPr>
                <w:ilvl w:val="0"/>
                <w:numId w:val="38"/>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98"/>
                <w:sz w:val="17"/>
              </w:rPr>
              <w:t>浪涌（冲击）抗扰度：</w:t>
            </w:r>
            <w:r>
              <w:rPr>
                <w:rFonts w:hint="eastAsia" w:ascii="宋体" w:hAnsi="宋体" w:eastAsia="宋体" w:cs="宋体"/>
                <w:spacing w:val="-10"/>
                <w:w w:val="102"/>
                <w:sz w:val="17"/>
              </w:rPr>
              <w:t>L</w:t>
            </w:r>
            <w:r>
              <w:rPr>
                <w:rFonts w:hint="eastAsia" w:ascii="宋体" w:hAnsi="宋体" w:eastAsia="宋体" w:cs="宋体"/>
                <w:spacing w:val="1"/>
                <w:w w:val="110"/>
                <w:sz w:val="17"/>
              </w:rPr>
              <w:t>E</w:t>
            </w:r>
            <w:r>
              <w:rPr>
                <w:rFonts w:hint="eastAsia" w:ascii="宋体" w:hAnsi="宋体" w:eastAsia="宋体" w:cs="宋体"/>
                <w:spacing w:val="2"/>
                <w:w w:val="117"/>
                <w:sz w:val="17"/>
              </w:rPr>
              <w:t>D</w:t>
            </w:r>
            <w:r>
              <w:rPr>
                <w:rFonts w:hint="eastAsia" w:ascii="宋体" w:hAnsi="宋体" w:eastAsia="宋体" w:cs="宋体"/>
                <w:w w:val="98"/>
                <w:sz w:val="17"/>
              </w:rPr>
              <w:t>显示屏通过符合</w:t>
            </w:r>
            <w:r>
              <w:rPr>
                <w:rFonts w:hint="eastAsia" w:ascii="宋体" w:hAnsi="宋体" w:eastAsia="宋体" w:cs="宋体"/>
                <w:spacing w:val="1"/>
                <w:w w:val="112"/>
                <w:sz w:val="17"/>
              </w:rPr>
              <w:t>G</w:t>
            </w:r>
            <w:r>
              <w:rPr>
                <w:rFonts w:hint="eastAsia" w:ascii="宋体" w:hAnsi="宋体" w:eastAsia="宋体" w:cs="宋体"/>
                <w:spacing w:val="4"/>
                <w:w w:val="106"/>
                <w:sz w:val="17"/>
              </w:rPr>
              <w:t>B</w:t>
            </w:r>
            <w:r>
              <w:rPr>
                <w:rFonts w:hint="eastAsia" w:ascii="宋体" w:hAnsi="宋体" w:eastAsia="宋体" w:cs="宋体"/>
                <w:spacing w:val="3"/>
                <w:w w:val="66"/>
                <w:sz w:val="17"/>
              </w:rPr>
              <w:t>/</w:t>
            </w:r>
            <w:r>
              <w:rPr>
                <w:rFonts w:hint="eastAsia" w:ascii="宋体" w:hAnsi="宋体" w:eastAsia="宋体" w:cs="宋体"/>
                <w:spacing w:val="5"/>
                <w:w w:val="102"/>
                <w:sz w:val="17"/>
              </w:rPr>
              <w:t>T</w:t>
            </w:r>
            <w:r>
              <w:rPr>
                <w:rFonts w:hint="eastAsia" w:ascii="宋体" w:hAnsi="宋体" w:eastAsia="宋体" w:cs="宋体"/>
                <w:spacing w:val="1"/>
                <w:w w:val="125"/>
                <w:sz w:val="17"/>
              </w:rPr>
              <w:t>17626</w:t>
            </w:r>
            <w:r>
              <w:rPr>
                <w:rFonts w:hint="eastAsia" w:ascii="宋体" w:hAnsi="宋体" w:eastAsia="宋体" w:cs="宋体"/>
                <w:spacing w:val="-6"/>
                <w:w w:val="154"/>
                <w:sz w:val="17"/>
              </w:rPr>
              <w:t>.</w:t>
            </w:r>
            <w:r>
              <w:rPr>
                <w:rFonts w:hint="eastAsia" w:ascii="宋体" w:hAnsi="宋体" w:eastAsia="宋体" w:cs="宋体"/>
                <w:spacing w:val="1"/>
                <w:w w:val="125"/>
                <w:sz w:val="17"/>
              </w:rPr>
              <w:t>5</w:t>
            </w:r>
            <w:r>
              <w:rPr>
                <w:rFonts w:hint="eastAsia" w:ascii="宋体" w:hAnsi="宋体" w:eastAsia="宋体" w:cs="宋体"/>
                <w:spacing w:val="-1"/>
                <w:w w:val="71"/>
                <w:sz w:val="17"/>
              </w:rPr>
              <w:t>-</w:t>
            </w:r>
            <w:r>
              <w:rPr>
                <w:rFonts w:hint="eastAsia" w:ascii="宋体" w:hAnsi="宋体" w:eastAsia="宋体" w:cs="宋体"/>
                <w:spacing w:val="1"/>
                <w:w w:val="125"/>
                <w:sz w:val="17"/>
              </w:rPr>
              <w:t>2008</w:t>
            </w:r>
            <w:r>
              <w:rPr>
                <w:rFonts w:hint="eastAsia" w:ascii="宋体" w:hAnsi="宋体" w:eastAsia="宋体" w:cs="宋体"/>
                <w:w w:val="98"/>
                <w:sz w:val="17"/>
              </w:rPr>
              <w:t>标准的浪涌（冲击）抗扰度试验</w:t>
            </w:r>
          </w:p>
          <w:p>
            <w:pPr>
              <w:pStyle w:val="19"/>
              <w:numPr>
                <w:ilvl w:val="0"/>
                <w:numId w:val="38"/>
              </w:numPr>
              <w:tabs>
                <w:tab w:val="left" w:pos="372"/>
              </w:tabs>
              <w:spacing w:before="167" w:after="0" w:line="422" w:lineRule="auto"/>
              <w:ind w:left="100" w:right="116" w:firstLine="0"/>
              <w:jc w:val="left"/>
              <w:rPr>
                <w:rFonts w:hint="eastAsia" w:ascii="宋体" w:hAnsi="宋体" w:eastAsia="宋体" w:cs="宋体"/>
                <w:sz w:val="17"/>
              </w:rPr>
            </w:pPr>
            <w:r>
              <w:rPr>
                <w:rFonts w:hint="eastAsia" w:ascii="宋体" w:hAnsi="宋体" w:eastAsia="宋体" w:cs="宋体"/>
                <w:spacing w:val="-1"/>
                <w:sz w:val="17"/>
              </w:rPr>
              <w:t>具备防蓝光护眼功能，蓝光辐射能量</w:t>
            </w:r>
            <w:r>
              <w:rPr>
                <w:rFonts w:hint="eastAsia" w:ascii="宋体" w:hAnsi="宋体" w:eastAsia="宋体" w:cs="宋体"/>
                <w:sz w:val="17"/>
              </w:rPr>
              <w:t>≤20%。蓝光辐射能量值对人眼视网膜无伤害，LED显示屏蓝光辐亮度</w:t>
            </w:r>
            <w:r>
              <w:rPr>
                <w:rFonts w:hint="eastAsia" w:ascii="宋体" w:hAnsi="宋体" w:eastAsia="宋体" w:cs="宋体"/>
                <w:spacing w:val="-5"/>
                <w:sz w:val="17"/>
              </w:rPr>
              <w:t xml:space="preserve">≤80W. </w:t>
            </w:r>
            <w:r>
              <w:rPr>
                <w:rFonts w:hint="eastAsia" w:ascii="宋体" w:hAnsi="宋体" w:eastAsia="宋体" w:cs="宋体"/>
                <w:spacing w:val="-8"/>
                <w:w w:val="131"/>
                <w:sz w:val="17"/>
              </w:rPr>
              <w:t>m</w:t>
            </w:r>
            <w:r>
              <w:rPr>
                <w:rFonts w:hint="eastAsia" w:ascii="宋体" w:hAnsi="宋体" w:eastAsia="宋体" w:cs="宋体"/>
                <w:spacing w:val="-1"/>
                <w:w w:val="71"/>
                <w:sz w:val="17"/>
              </w:rPr>
              <w:t>-</w:t>
            </w:r>
            <w:r>
              <w:rPr>
                <w:rFonts w:hint="eastAsia" w:ascii="宋体" w:hAnsi="宋体" w:eastAsia="宋体" w:cs="宋体"/>
                <w:spacing w:val="1"/>
                <w:w w:val="125"/>
                <w:sz w:val="17"/>
              </w:rPr>
              <w:t>2</w:t>
            </w:r>
            <w:r>
              <w:rPr>
                <w:rFonts w:hint="eastAsia" w:ascii="宋体" w:hAnsi="宋体" w:eastAsia="宋体" w:cs="宋体"/>
                <w:spacing w:val="-6"/>
                <w:w w:val="154"/>
                <w:sz w:val="17"/>
              </w:rPr>
              <w:t>.</w:t>
            </w:r>
            <w:r>
              <w:rPr>
                <w:rFonts w:hint="eastAsia" w:ascii="宋体" w:hAnsi="宋体" w:eastAsia="宋体" w:cs="宋体"/>
                <w:spacing w:val="8"/>
                <w:w w:val="111"/>
                <w:sz w:val="17"/>
              </w:rPr>
              <w:t>s</w:t>
            </w:r>
            <w:r>
              <w:rPr>
                <w:rFonts w:hint="eastAsia" w:ascii="宋体" w:hAnsi="宋体" w:eastAsia="宋体" w:cs="宋体"/>
                <w:spacing w:val="-10"/>
                <w:w w:val="116"/>
                <w:sz w:val="17"/>
              </w:rPr>
              <w:t>r</w:t>
            </w:r>
            <w:r>
              <w:rPr>
                <w:rFonts w:hint="eastAsia" w:ascii="宋体" w:hAnsi="宋体" w:eastAsia="宋体" w:cs="宋体"/>
                <w:spacing w:val="-1"/>
                <w:w w:val="71"/>
                <w:sz w:val="17"/>
              </w:rPr>
              <w:t>-</w:t>
            </w:r>
            <w:r>
              <w:rPr>
                <w:rFonts w:hint="eastAsia" w:ascii="宋体" w:hAnsi="宋体" w:eastAsia="宋体" w:cs="宋体"/>
                <w:spacing w:val="1"/>
                <w:w w:val="125"/>
                <w:sz w:val="17"/>
              </w:rPr>
              <w:t>1</w:t>
            </w:r>
            <w:r>
              <w:rPr>
                <w:rFonts w:hint="eastAsia" w:ascii="宋体" w:hAnsi="宋体" w:eastAsia="宋体" w:cs="宋体"/>
                <w:spacing w:val="-6"/>
                <w:w w:val="154"/>
                <w:sz w:val="17"/>
              </w:rPr>
              <w:t>,</w:t>
            </w:r>
            <w:r>
              <w:rPr>
                <w:rFonts w:hint="eastAsia" w:ascii="宋体" w:hAnsi="宋体" w:eastAsia="宋体" w:cs="宋体"/>
                <w:w w:val="98"/>
                <w:sz w:val="17"/>
              </w:rPr>
              <w:t>符合肉眼观看标准。</w:t>
            </w:r>
          </w:p>
          <w:p>
            <w:pPr>
              <w:pStyle w:val="19"/>
              <w:numPr>
                <w:ilvl w:val="0"/>
                <w:numId w:val="38"/>
              </w:numPr>
              <w:tabs>
                <w:tab w:val="left" w:pos="372"/>
              </w:tabs>
              <w:spacing w:before="1" w:after="0" w:line="422" w:lineRule="auto"/>
              <w:ind w:left="100" w:right="241" w:firstLine="0"/>
              <w:jc w:val="left"/>
              <w:rPr>
                <w:rFonts w:hint="eastAsia" w:ascii="宋体" w:hAnsi="宋体" w:eastAsia="宋体" w:cs="宋体"/>
                <w:sz w:val="17"/>
              </w:rPr>
            </w:pPr>
            <w:r>
              <w:rPr>
                <w:rFonts w:hint="eastAsia" w:ascii="宋体" w:hAnsi="宋体" w:eastAsia="宋体" w:cs="宋体"/>
                <w:spacing w:val="-4"/>
                <w:sz w:val="17"/>
              </w:rPr>
              <w:t>IPX6</w:t>
            </w:r>
            <w:r>
              <w:rPr>
                <w:rFonts w:hint="eastAsia" w:ascii="宋体" w:hAnsi="宋体" w:eastAsia="宋体" w:cs="宋体"/>
                <w:spacing w:val="-1"/>
                <w:sz w:val="17"/>
              </w:rPr>
              <w:t>滑石粉密度：2KG/m3</w:t>
            </w:r>
            <w:r>
              <w:rPr>
                <w:rFonts w:hint="eastAsia" w:ascii="宋体" w:hAnsi="宋体" w:eastAsia="宋体" w:cs="宋体"/>
                <w:sz w:val="17"/>
              </w:rPr>
              <w:t>网孔径75um使用次数：小于20次，实验时间</w:t>
            </w:r>
            <w:r>
              <w:rPr>
                <w:rFonts w:hint="eastAsia" w:ascii="宋体" w:hAnsi="宋体" w:eastAsia="宋体" w:cs="宋体"/>
                <w:spacing w:val="-3"/>
                <w:sz w:val="17"/>
              </w:rPr>
              <w:t>8H</w:t>
            </w:r>
            <w:r>
              <w:rPr>
                <w:rFonts w:hint="eastAsia" w:ascii="宋体" w:hAnsi="宋体" w:eastAsia="宋体" w:cs="宋体"/>
                <w:sz w:val="17"/>
              </w:rPr>
              <w:t xml:space="preserve">。试验后检查样品无进尘现象。屏幕 </w:t>
            </w:r>
            <w:r>
              <w:rPr>
                <w:rFonts w:hint="eastAsia" w:ascii="宋体" w:hAnsi="宋体" w:eastAsia="宋体" w:cs="宋体"/>
                <w:w w:val="105"/>
                <w:sz w:val="17"/>
              </w:rPr>
              <w:t>防尘等级符合</w:t>
            </w:r>
            <w:r>
              <w:rPr>
                <w:rFonts w:hint="eastAsia" w:ascii="宋体" w:hAnsi="宋体" w:eastAsia="宋体" w:cs="宋体"/>
                <w:spacing w:val="-3"/>
                <w:w w:val="105"/>
                <w:sz w:val="17"/>
              </w:rPr>
              <w:t>IP6X（</w:t>
            </w:r>
            <w:r>
              <w:rPr>
                <w:rFonts w:hint="eastAsia" w:ascii="宋体" w:hAnsi="宋体" w:eastAsia="宋体" w:cs="宋体"/>
                <w:w w:val="105"/>
                <w:sz w:val="17"/>
              </w:rPr>
              <w:t>防尘）；</w:t>
            </w:r>
          </w:p>
          <w:p>
            <w:pPr>
              <w:pStyle w:val="19"/>
              <w:numPr>
                <w:ilvl w:val="0"/>
                <w:numId w:val="38"/>
              </w:numPr>
              <w:tabs>
                <w:tab w:val="left" w:pos="372"/>
              </w:tabs>
              <w:spacing w:before="2" w:after="0" w:line="422" w:lineRule="auto"/>
              <w:ind w:left="100" w:right="109" w:firstLine="0"/>
              <w:jc w:val="left"/>
              <w:rPr>
                <w:rFonts w:hint="eastAsia" w:ascii="宋体" w:hAnsi="宋体" w:eastAsia="宋体" w:cs="宋体"/>
                <w:sz w:val="17"/>
              </w:rPr>
            </w:pPr>
            <w:r>
              <w:rPr>
                <w:rFonts w:hint="eastAsia" w:ascii="宋体" w:hAnsi="宋体" w:eastAsia="宋体" w:cs="宋体"/>
                <w:w w:val="98"/>
                <w:sz w:val="17"/>
              </w:rPr>
              <w:t>产品符合</w:t>
            </w:r>
            <w:r>
              <w:rPr>
                <w:rFonts w:hint="eastAsia" w:ascii="宋体" w:hAnsi="宋体" w:eastAsia="宋体" w:cs="宋体"/>
                <w:spacing w:val="5"/>
                <w:w w:val="102"/>
                <w:sz w:val="17"/>
              </w:rPr>
              <w:t>T</w:t>
            </w:r>
            <w:r>
              <w:rPr>
                <w:rFonts w:hint="eastAsia" w:ascii="宋体" w:hAnsi="宋体" w:eastAsia="宋体" w:cs="宋体"/>
                <w:spacing w:val="-14"/>
                <w:w w:val="118"/>
                <w:sz w:val="17"/>
              </w:rPr>
              <w:t>I</w:t>
            </w:r>
            <w:r>
              <w:rPr>
                <w:rFonts w:hint="eastAsia" w:ascii="宋体" w:hAnsi="宋体" w:eastAsia="宋体" w:cs="宋体"/>
                <w:spacing w:val="3"/>
                <w:w w:val="109"/>
                <w:sz w:val="17"/>
              </w:rPr>
              <w:t>R</w:t>
            </w:r>
            <w:r>
              <w:rPr>
                <w:rFonts w:hint="eastAsia" w:ascii="宋体" w:hAnsi="宋体" w:eastAsia="宋体" w:cs="宋体"/>
                <w:spacing w:val="5"/>
                <w:w w:val="102"/>
                <w:sz w:val="17"/>
              </w:rPr>
              <w:t>T</w:t>
            </w:r>
            <w:r>
              <w:rPr>
                <w:rFonts w:hint="eastAsia" w:ascii="宋体" w:hAnsi="宋体" w:eastAsia="宋体" w:cs="宋体"/>
                <w:spacing w:val="-1"/>
                <w:w w:val="71"/>
                <w:sz w:val="17"/>
              </w:rPr>
              <w:t>-</w:t>
            </w:r>
            <w:r>
              <w:rPr>
                <w:rFonts w:hint="eastAsia" w:ascii="宋体" w:hAnsi="宋体" w:eastAsia="宋体" w:cs="宋体"/>
                <w:spacing w:val="1"/>
                <w:w w:val="112"/>
                <w:sz w:val="17"/>
              </w:rPr>
              <w:t>G</w:t>
            </w:r>
            <w:r>
              <w:rPr>
                <w:rFonts w:hint="eastAsia" w:ascii="宋体" w:hAnsi="宋体" w:eastAsia="宋体" w:cs="宋体"/>
                <w:spacing w:val="-3"/>
                <w:w w:val="108"/>
                <w:sz w:val="17"/>
              </w:rPr>
              <w:t>K</w:t>
            </w:r>
            <w:r>
              <w:rPr>
                <w:rFonts w:hint="eastAsia" w:ascii="宋体" w:hAnsi="宋体" w:eastAsia="宋体" w:cs="宋体"/>
                <w:spacing w:val="-1"/>
                <w:w w:val="71"/>
                <w:sz w:val="17"/>
              </w:rPr>
              <w:t>-</w:t>
            </w:r>
            <w:r>
              <w:rPr>
                <w:rFonts w:hint="eastAsia" w:ascii="宋体" w:hAnsi="宋体" w:eastAsia="宋体" w:cs="宋体"/>
                <w:spacing w:val="-14"/>
                <w:w w:val="53"/>
                <w:sz w:val="17"/>
              </w:rPr>
              <w:t>J</w:t>
            </w:r>
            <w:r>
              <w:rPr>
                <w:rFonts w:hint="eastAsia" w:ascii="宋体" w:hAnsi="宋体" w:eastAsia="宋体" w:cs="宋体"/>
                <w:spacing w:val="1"/>
                <w:w w:val="104"/>
                <w:sz w:val="17"/>
              </w:rPr>
              <w:t>S</w:t>
            </w:r>
            <w:r>
              <w:rPr>
                <w:rFonts w:hint="eastAsia" w:ascii="宋体" w:hAnsi="宋体" w:eastAsia="宋体" w:cs="宋体"/>
                <w:spacing w:val="-1"/>
                <w:w w:val="71"/>
                <w:sz w:val="17"/>
              </w:rPr>
              <w:t>-</w:t>
            </w:r>
            <w:r>
              <w:rPr>
                <w:rFonts w:hint="eastAsia" w:ascii="宋体" w:hAnsi="宋体" w:eastAsia="宋体" w:cs="宋体"/>
                <w:spacing w:val="1"/>
                <w:w w:val="125"/>
                <w:sz w:val="17"/>
              </w:rPr>
              <w:t>55</w:t>
            </w:r>
            <w:r>
              <w:rPr>
                <w:rFonts w:hint="eastAsia" w:ascii="宋体" w:hAnsi="宋体" w:eastAsia="宋体" w:cs="宋体"/>
                <w:spacing w:val="-1"/>
                <w:w w:val="71"/>
                <w:sz w:val="17"/>
              </w:rPr>
              <w:t>-</w:t>
            </w:r>
            <w:r>
              <w:rPr>
                <w:rFonts w:hint="eastAsia" w:ascii="宋体" w:hAnsi="宋体" w:eastAsia="宋体" w:cs="宋体"/>
                <w:spacing w:val="1"/>
                <w:w w:val="125"/>
                <w:sz w:val="17"/>
              </w:rPr>
              <w:t>2020</w:t>
            </w:r>
            <w:r>
              <w:rPr>
                <w:rFonts w:hint="eastAsia" w:ascii="宋体" w:hAnsi="宋体" w:eastAsia="宋体" w:cs="宋体"/>
                <w:w w:val="98"/>
                <w:sz w:val="17"/>
              </w:rPr>
              <w:t>《显示设备显示性能视觉健康认证技术规范第</w:t>
            </w:r>
            <w:r>
              <w:rPr>
                <w:rFonts w:hint="eastAsia" w:ascii="宋体" w:hAnsi="宋体" w:eastAsia="宋体" w:cs="宋体"/>
                <w:spacing w:val="1"/>
                <w:w w:val="125"/>
                <w:sz w:val="17"/>
              </w:rPr>
              <w:t>5</w:t>
            </w:r>
            <w:r>
              <w:rPr>
                <w:rFonts w:hint="eastAsia" w:ascii="宋体" w:hAnsi="宋体" w:eastAsia="宋体" w:cs="宋体"/>
                <w:w w:val="98"/>
                <w:sz w:val="17"/>
              </w:rPr>
              <w:t>部分：室内图像显示系统显示屏》技</w:t>
            </w:r>
            <w:r>
              <w:rPr>
                <w:rFonts w:hint="eastAsia" w:ascii="宋体" w:hAnsi="宋体" w:eastAsia="宋体" w:cs="宋体"/>
                <w:sz w:val="17"/>
              </w:rPr>
              <w:t>术标准；</w:t>
            </w:r>
          </w:p>
          <w:p>
            <w:pPr>
              <w:pStyle w:val="19"/>
              <w:numPr>
                <w:ilvl w:val="0"/>
                <w:numId w:val="38"/>
              </w:numPr>
              <w:tabs>
                <w:tab w:val="left" w:pos="372"/>
              </w:tabs>
              <w:spacing w:before="1" w:after="0" w:line="422" w:lineRule="auto"/>
              <w:ind w:left="100" w:right="169" w:firstLine="0"/>
              <w:jc w:val="left"/>
              <w:rPr>
                <w:rFonts w:hint="eastAsia" w:ascii="宋体" w:hAnsi="宋体" w:eastAsia="宋体" w:cs="宋体"/>
                <w:sz w:val="17"/>
              </w:rPr>
            </w:pPr>
            <w:r>
              <w:rPr>
                <w:rFonts w:hint="eastAsia" w:ascii="宋体" w:hAnsi="宋体" w:eastAsia="宋体" w:cs="宋体"/>
                <w:sz w:val="17"/>
              </w:rPr>
              <w:t>要求投标人所投</w:t>
            </w:r>
            <w:r>
              <w:rPr>
                <w:rFonts w:hint="eastAsia" w:ascii="宋体" w:hAnsi="宋体" w:eastAsia="宋体" w:cs="宋体"/>
                <w:spacing w:val="-3"/>
                <w:sz w:val="17"/>
              </w:rPr>
              <w:t>LED</w:t>
            </w:r>
            <w:r>
              <w:rPr>
                <w:rFonts w:hint="eastAsia" w:ascii="宋体" w:hAnsi="宋体" w:eastAsia="宋体" w:cs="宋体"/>
                <w:sz w:val="17"/>
              </w:rPr>
              <w:t>显示屏支持</w:t>
            </w:r>
            <w:r>
              <w:rPr>
                <w:rFonts w:hint="eastAsia" w:ascii="宋体" w:hAnsi="宋体" w:eastAsia="宋体" w:cs="宋体"/>
                <w:spacing w:val="-7"/>
                <w:sz w:val="17"/>
              </w:rPr>
              <w:t>DVI</w:t>
            </w:r>
            <w:r>
              <w:rPr>
                <w:rFonts w:hint="eastAsia" w:ascii="宋体" w:hAnsi="宋体" w:eastAsia="宋体" w:cs="宋体"/>
                <w:sz w:val="17"/>
              </w:rPr>
              <w:t>、</w:t>
            </w:r>
            <w:r>
              <w:rPr>
                <w:rFonts w:hint="eastAsia" w:ascii="宋体" w:hAnsi="宋体" w:eastAsia="宋体" w:cs="宋体"/>
                <w:spacing w:val="-5"/>
                <w:sz w:val="17"/>
              </w:rPr>
              <w:t>VGA</w:t>
            </w:r>
            <w:r>
              <w:rPr>
                <w:rFonts w:hint="eastAsia" w:ascii="宋体" w:hAnsi="宋体" w:eastAsia="宋体" w:cs="宋体"/>
                <w:sz w:val="17"/>
              </w:rPr>
              <w:t>输入、支持</w:t>
            </w:r>
            <w:r>
              <w:rPr>
                <w:rFonts w:hint="eastAsia" w:ascii="宋体" w:hAnsi="宋体" w:eastAsia="宋体" w:cs="宋体"/>
                <w:spacing w:val="-5"/>
                <w:sz w:val="17"/>
              </w:rPr>
              <w:t>HDMI</w:t>
            </w:r>
            <w:r>
              <w:rPr>
                <w:rFonts w:hint="eastAsia" w:ascii="宋体" w:hAnsi="宋体" w:eastAsia="宋体" w:cs="宋体"/>
                <w:sz w:val="17"/>
              </w:rPr>
              <w:t>视频输入、支持视频PAL/NTSC制式自适应、支持复合视频信号、支持USB输入、支持</w:t>
            </w:r>
            <w:r>
              <w:rPr>
                <w:rFonts w:hint="eastAsia" w:ascii="宋体" w:hAnsi="宋体" w:eastAsia="宋体" w:cs="宋体"/>
                <w:spacing w:val="-4"/>
                <w:sz w:val="17"/>
              </w:rPr>
              <w:t>IP</w:t>
            </w:r>
            <w:r>
              <w:rPr>
                <w:rFonts w:hint="eastAsia" w:ascii="宋体" w:hAnsi="宋体" w:eastAsia="宋体" w:cs="宋体"/>
                <w:sz w:val="17"/>
              </w:rPr>
              <w:t>输入、支持CVBS/DP/HDBASE输入、支持光纤</w:t>
            </w:r>
            <w:r>
              <w:rPr>
                <w:rFonts w:hint="eastAsia" w:ascii="宋体" w:hAnsi="宋体" w:eastAsia="宋体" w:cs="宋体"/>
                <w:spacing w:val="3"/>
                <w:sz w:val="17"/>
              </w:rPr>
              <w:t>/</w:t>
            </w:r>
            <w:r>
              <w:rPr>
                <w:rFonts w:hint="eastAsia" w:ascii="宋体" w:hAnsi="宋体" w:eastAsia="宋体" w:cs="宋体"/>
                <w:sz w:val="17"/>
              </w:rPr>
              <w:t>网络等接口输入；</w:t>
            </w:r>
          </w:p>
          <w:p>
            <w:pPr>
              <w:pStyle w:val="19"/>
              <w:numPr>
                <w:ilvl w:val="0"/>
                <w:numId w:val="38"/>
              </w:numPr>
              <w:tabs>
                <w:tab w:val="left" w:pos="372"/>
              </w:tabs>
              <w:spacing w:before="2" w:after="0" w:line="240" w:lineRule="auto"/>
              <w:ind w:left="371" w:right="0" w:hanging="272"/>
              <w:jc w:val="left"/>
              <w:rPr>
                <w:rFonts w:hint="eastAsia" w:ascii="宋体" w:hAnsi="宋体" w:eastAsia="宋体" w:cs="宋体"/>
                <w:sz w:val="17"/>
              </w:rPr>
            </w:pPr>
            <w:r>
              <w:rPr>
                <w:rFonts w:hint="eastAsia" w:ascii="宋体" w:hAnsi="宋体" w:eastAsia="宋体" w:cs="宋体"/>
                <w:spacing w:val="-1"/>
                <w:w w:val="105"/>
                <w:sz w:val="17"/>
              </w:rPr>
              <w:t>所投</w:t>
            </w:r>
            <w:r>
              <w:rPr>
                <w:rFonts w:hint="eastAsia" w:ascii="宋体" w:hAnsi="宋体" w:eastAsia="宋体" w:cs="宋体"/>
                <w:spacing w:val="-3"/>
                <w:w w:val="105"/>
                <w:sz w:val="17"/>
              </w:rPr>
              <w:t>LED</w:t>
            </w:r>
            <w:r>
              <w:rPr>
                <w:rFonts w:hint="eastAsia" w:ascii="宋体" w:hAnsi="宋体" w:eastAsia="宋体" w:cs="宋体"/>
                <w:spacing w:val="-1"/>
                <w:w w:val="105"/>
                <w:sz w:val="17"/>
              </w:rPr>
              <w:t>显示屏产品在1×105～1×109Ω</w:t>
            </w:r>
            <w:r>
              <w:rPr>
                <w:rFonts w:hint="eastAsia" w:ascii="宋体" w:hAnsi="宋体" w:eastAsia="宋体" w:cs="宋体"/>
                <w:w w:val="105"/>
                <w:sz w:val="17"/>
              </w:rPr>
              <w:t>技术要求下满足点对点电阻</w:t>
            </w:r>
            <w:r>
              <w:rPr>
                <w:rFonts w:hint="eastAsia" w:ascii="宋体" w:hAnsi="宋体" w:eastAsia="宋体" w:cs="宋体"/>
                <w:spacing w:val="-4"/>
                <w:w w:val="105"/>
                <w:sz w:val="17"/>
              </w:rPr>
              <w:t>（A</w:t>
            </w:r>
            <w:r>
              <w:rPr>
                <w:rFonts w:hint="eastAsia" w:ascii="宋体" w:hAnsi="宋体" w:eastAsia="宋体" w:cs="宋体"/>
                <w:w w:val="105"/>
                <w:sz w:val="17"/>
              </w:rPr>
              <w:t>面）≤2.89×108；点对点电阻（B面）</w:t>
            </w:r>
          </w:p>
          <w:p>
            <w:pPr>
              <w:pStyle w:val="19"/>
              <w:spacing w:before="166"/>
              <w:ind w:left="100"/>
              <w:rPr>
                <w:rFonts w:hint="eastAsia" w:ascii="宋体" w:hAnsi="宋体" w:eastAsia="宋体" w:cs="宋体"/>
                <w:sz w:val="17"/>
              </w:rPr>
            </w:pPr>
            <w:r>
              <w:rPr>
                <w:rFonts w:hint="eastAsia" w:ascii="宋体" w:hAnsi="宋体" w:eastAsia="宋体" w:cs="宋体"/>
                <w:spacing w:val="3"/>
                <w:w w:val="164"/>
                <w:sz w:val="17"/>
              </w:rPr>
              <w:t>≤</w:t>
            </w:r>
            <w:r>
              <w:rPr>
                <w:rFonts w:hint="eastAsia" w:ascii="宋体" w:hAnsi="宋体" w:eastAsia="宋体" w:cs="宋体"/>
                <w:spacing w:val="1"/>
                <w:w w:val="125"/>
                <w:sz w:val="17"/>
              </w:rPr>
              <w:t>2</w:t>
            </w:r>
            <w:r>
              <w:rPr>
                <w:rFonts w:hint="eastAsia" w:ascii="宋体" w:hAnsi="宋体" w:eastAsia="宋体" w:cs="宋体"/>
                <w:spacing w:val="-6"/>
                <w:w w:val="154"/>
                <w:sz w:val="17"/>
              </w:rPr>
              <w:t>.</w:t>
            </w:r>
            <w:r>
              <w:rPr>
                <w:rFonts w:hint="eastAsia" w:ascii="宋体" w:hAnsi="宋体" w:eastAsia="宋体" w:cs="宋体"/>
                <w:spacing w:val="1"/>
                <w:w w:val="125"/>
                <w:sz w:val="17"/>
              </w:rPr>
              <w:t>43</w:t>
            </w:r>
            <w:r>
              <w:rPr>
                <w:rFonts w:hint="eastAsia" w:ascii="宋体" w:hAnsi="宋体" w:eastAsia="宋体" w:cs="宋体"/>
                <w:spacing w:val="3"/>
                <w:w w:val="82"/>
                <w:sz w:val="17"/>
              </w:rPr>
              <w:t>×</w:t>
            </w:r>
            <w:r>
              <w:rPr>
                <w:rFonts w:hint="eastAsia" w:ascii="宋体" w:hAnsi="宋体" w:eastAsia="宋体" w:cs="宋体"/>
                <w:spacing w:val="1"/>
                <w:w w:val="125"/>
                <w:sz w:val="17"/>
              </w:rPr>
              <w:t>108</w:t>
            </w:r>
            <w:r>
              <w:rPr>
                <w:rFonts w:hint="eastAsia" w:ascii="宋体" w:hAnsi="宋体" w:eastAsia="宋体" w:cs="宋体"/>
                <w:w w:val="98"/>
                <w:sz w:val="17"/>
              </w:rPr>
              <w:t>；并且在（</w:t>
            </w:r>
            <w:r>
              <w:rPr>
                <w:rFonts w:hint="eastAsia" w:ascii="宋体" w:hAnsi="宋体" w:eastAsia="宋体" w:cs="宋体"/>
                <w:spacing w:val="3"/>
                <w:w w:val="82"/>
                <w:sz w:val="17"/>
              </w:rPr>
              <w:t>±</w:t>
            </w:r>
            <w:r>
              <w:rPr>
                <w:rFonts w:hint="eastAsia" w:ascii="宋体" w:hAnsi="宋体" w:eastAsia="宋体" w:cs="宋体"/>
                <w:spacing w:val="1"/>
                <w:w w:val="125"/>
                <w:sz w:val="17"/>
              </w:rPr>
              <w:t>1000</w:t>
            </w:r>
            <w:r>
              <w:rPr>
                <w:rFonts w:hint="eastAsia" w:ascii="宋体" w:hAnsi="宋体" w:eastAsia="宋体" w:cs="宋体"/>
                <w:spacing w:val="-1"/>
                <w:w w:val="71"/>
                <w:sz w:val="17"/>
              </w:rPr>
              <w:t>-</w:t>
            </w:r>
            <w:r>
              <w:rPr>
                <w:rFonts w:hint="eastAsia" w:ascii="宋体" w:hAnsi="宋体" w:eastAsia="宋体" w:cs="宋体"/>
                <w:spacing w:val="3"/>
                <w:w w:val="82"/>
                <w:sz w:val="17"/>
              </w:rPr>
              <w:t>±</w:t>
            </w:r>
            <w:r>
              <w:rPr>
                <w:rFonts w:hint="eastAsia" w:ascii="宋体" w:hAnsi="宋体" w:eastAsia="宋体" w:cs="宋体"/>
                <w:spacing w:val="1"/>
                <w:w w:val="125"/>
                <w:sz w:val="17"/>
              </w:rPr>
              <w:t>100</w:t>
            </w:r>
            <w:r>
              <w:rPr>
                <w:rFonts w:hint="eastAsia" w:ascii="宋体" w:hAnsi="宋体" w:eastAsia="宋体" w:cs="宋体"/>
                <w:spacing w:val="-7"/>
                <w:w w:val="106"/>
                <w:sz w:val="17"/>
              </w:rPr>
              <w:t>V</w:t>
            </w:r>
            <w:r>
              <w:rPr>
                <w:rFonts w:hint="eastAsia" w:ascii="宋体" w:hAnsi="宋体" w:eastAsia="宋体" w:cs="宋体"/>
                <w:w w:val="98"/>
                <w:sz w:val="17"/>
              </w:rPr>
              <w:t>）</w:t>
            </w:r>
            <w:r>
              <w:rPr>
                <w:rFonts w:hint="eastAsia" w:ascii="宋体" w:hAnsi="宋体" w:eastAsia="宋体" w:cs="宋体"/>
                <w:spacing w:val="3"/>
                <w:w w:val="164"/>
                <w:sz w:val="17"/>
              </w:rPr>
              <w:t>≤</w:t>
            </w:r>
            <w:r>
              <w:rPr>
                <w:rFonts w:hint="eastAsia" w:ascii="宋体" w:hAnsi="宋体" w:eastAsia="宋体" w:cs="宋体"/>
                <w:spacing w:val="1"/>
                <w:w w:val="125"/>
                <w:sz w:val="17"/>
              </w:rPr>
              <w:t>2</w:t>
            </w:r>
            <w:r>
              <w:rPr>
                <w:rFonts w:hint="eastAsia" w:ascii="宋体" w:hAnsi="宋体" w:eastAsia="宋体" w:cs="宋体"/>
                <w:spacing w:val="1"/>
                <w:w w:val="104"/>
                <w:sz w:val="17"/>
              </w:rPr>
              <w:t>S</w:t>
            </w:r>
            <w:r>
              <w:rPr>
                <w:rFonts w:hint="eastAsia" w:ascii="宋体" w:hAnsi="宋体" w:eastAsia="宋体" w:cs="宋体"/>
                <w:w w:val="98"/>
                <w:sz w:val="17"/>
              </w:rPr>
              <w:t>的技术要求下满足静电电压衰减期值：（</w:t>
            </w:r>
            <w:r>
              <w:rPr>
                <w:rFonts w:hint="eastAsia" w:ascii="宋体" w:hAnsi="宋体" w:eastAsia="宋体" w:cs="宋体"/>
                <w:spacing w:val="3"/>
                <w:w w:val="165"/>
                <w:sz w:val="17"/>
              </w:rPr>
              <w:t>+</w:t>
            </w:r>
            <w:r>
              <w:rPr>
                <w:rFonts w:hint="eastAsia" w:ascii="宋体" w:hAnsi="宋体" w:eastAsia="宋体" w:cs="宋体"/>
                <w:spacing w:val="-7"/>
                <w:w w:val="106"/>
                <w:sz w:val="17"/>
              </w:rPr>
              <w:t>V</w:t>
            </w:r>
            <w:r>
              <w:rPr>
                <w:rFonts w:hint="eastAsia" w:ascii="宋体" w:hAnsi="宋体" w:eastAsia="宋体" w:cs="宋体"/>
                <w:w w:val="98"/>
                <w:sz w:val="17"/>
              </w:rPr>
              <w:t>：</w:t>
            </w:r>
            <w:r>
              <w:rPr>
                <w:rFonts w:hint="eastAsia" w:ascii="宋体" w:hAnsi="宋体" w:eastAsia="宋体" w:cs="宋体"/>
                <w:spacing w:val="3"/>
                <w:w w:val="164"/>
                <w:sz w:val="17"/>
              </w:rPr>
              <w:t>≤</w:t>
            </w:r>
            <w:r>
              <w:rPr>
                <w:rFonts w:hint="eastAsia" w:ascii="宋体" w:hAnsi="宋体" w:eastAsia="宋体" w:cs="宋体"/>
                <w:spacing w:val="1"/>
                <w:w w:val="125"/>
                <w:sz w:val="17"/>
              </w:rPr>
              <w:t>0</w:t>
            </w:r>
            <w:r>
              <w:rPr>
                <w:rFonts w:hint="eastAsia" w:ascii="宋体" w:hAnsi="宋体" w:eastAsia="宋体" w:cs="宋体"/>
                <w:spacing w:val="-6"/>
                <w:w w:val="154"/>
                <w:sz w:val="17"/>
              </w:rPr>
              <w:t>.</w:t>
            </w:r>
            <w:r>
              <w:rPr>
                <w:rFonts w:hint="eastAsia" w:ascii="宋体" w:hAnsi="宋体" w:eastAsia="宋体" w:cs="宋体"/>
                <w:spacing w:val="1"/>
                <w:w w:val="125"/>
                <w:sz w:val="17"/>
              </w:rPr>
              <w:t>26</w:t>
            </w:r>
            <w:r>
              <w:rPr>
                <w:rFonts w:hint="eastAsia" w:ascii="宋体" w:hAnsi="宋体" w:eastAsia="宋体" w:cs="宋体"/>
                <w:spacing w:val="1"/>
                <w:w w:val="104"/>
                <w:sz w:val="17"/>
              </w:rPr>
              <w:t>S</w:t>
            </w:r>
            <w:r>
              <w:rPr>
                <w:rFonts w:hint="eastAsia" w:ascii="宋体" w:hAnsi="宋体" w:eastAsia="宋体" w:cs="宋体"/>
                <w:w w:val="98"/>
                <w:sz w:val="17"/>
              </w:rPr>
              <w:t>，</w:t>
            </w:r>
            <w:r>
              <w:rPr>
                <w:rFonts w:hint="eastAsia" w:ascii="宋体" w:hAnsi="宋体" w:eastAsia="宋体" w:cs="宋体"/>
                <w:spacing w:val="-1"/>
                <w:w w:val="71"/>
                <w:sz w:val="17"/>
              </w:rPr>
              <w:t>-</w:t>
            </w:r>
            <w:r>
              <w:rPr>
                <w:rFonts w:hint="eastAsia" w:ascii="宋体" w:hAnsi="宋体" w:eastAsia="宋体" w:cs="宋体"/>
                <w:spacing w:val="-7"/>
                <w:w w:val="106"/>
                <w:sz w:val="17"/>
              </w:rPr>
              <w:t>V</w:t>
            </w:r>
            <w:r>
              <w:rPr>
                <w:rFonts w:hint="eastAsia" w:ascii="宋体" w:hAnsi="宋体" w:eastAsia="宋体" w:cs="宋体"/>
                <w:w w:val="98"/>
                <w:sz w:val="17"/>
              </w:rPr>
              <w:t>：</w:t>
            </w:r>
            <w:r>
              <w:rPr>
                <w:rFonts w:hint="eastAsia" w:ascii="宋体" w:hAnsi="宋体" w:eastAsia="宋体" w:cs="宋体"/>
                <w:spacing w:val="3"/>
                <w:w w:val="164"/>
                <w:sz w:val="17"/>
              </w:rPr>
              <w:t>≤</w:t>
            </w:r>
            <w:r>
              <w:rPr>
                <w:rFonts w:hint="eastAsia" w:ascii="宋体" w:hAnsi="宋体" w:eastAsia="宋体" w:cs="宋体"/>
                <w:spacing w:val="1"/>
                <w:w w:val="125"/>
                <w:sz w:val="17"/>
              </w:rPr>
              <w:t>0</w:t>
            </w:r>
            <w:r>
              <w:rPr>
                <w:rFonts w:hint="eastAsia" w:ascii="宋体" w:hAnsi="宋体" w:eastAsia="宋体" w:cs="宋体"/>
                <w:spacing w:val="-6"/>
                <w:w w:val="154"/>
                <w:sz w:val="17"/>
              </w:rPr>
              <w:t>.</w:t>
            </w:r>
            <w:r>
              <w:rPr>
                <w:rFonts w:hint="eastAsia" w:ascii="宋体" w:hAnsi="宋体" w:eastAsia="宋体" w:cs="宋体"/>
                <w:spacing w:val="1"/>
                <w:w w:val="125"/>
                <w:sz w:val="17"/>
              </w:rPr>
              <w:t>32</w:t>
            </w:r>
            <w:r>
              <w:rPr>
                <w:rFonts w:hint="eastAsia" w:ascii="宋体" w:hAnsi="宋体" w:eastAsia="宋体" w:cs="宋体"/>
                <w:w w:val="104"/>
                <w:sz w:val="17"/>
              </w:rPr>
              <w:t>S</w:t>
            </w:r>
          </w:p>
          <w:p>
            <w:pPr>
              <w:pStyle w:val="19"/>
              <w:spacing w:before="166"/>
              <w:ind w:left="100"/>
              <w:rPr>
                <w:rFonts w:hint="eastAsia" w:ascii="宋体" w:hAnsi="宋体" w:eastAsia="宋体" w:cs="宋体"/>
                <w:sz w:val="17"/>
              </w:rPr>
            </w:pPr>
            <w:r>
              <w:rPr>
                <w:rFonts w:hint="eastAsia" w:ascii="宋体" w:hAnsi="宋体" w:eastAsia="宋体" w:cs="宋体"/>
                <w:w w:val="98"/>
                <w:sz w:val="17"/>
              </w:rPr>
              <w:t>）</w:t>
            </w:r>
          </w:p>
          <w:p>
            <w:pPr>
              <w:pStyle w:val="19"/>
              <w:rPr>
                <w:rFonts w:hint="eastAsia" w:ascii="宋体" w:hAnsi="宋体" w:eastAsia="宋体" w:cs="宋体"/>
                <w:b/>
                <w:sz w:val="13"/>
              </w:rPr>
            </w:pPr>
          </w:p>
          <w:p>
            <w:pPr>
              <w:pStyle w:val="19"/>
              <w:numPr>
                <w:ilvl w:val="0"/>
                <w:numId w:val="38"/>
              </w:numPr>
              <w:tabs>
                <w:tab w:val="left" w:pos="372"/>
              </w:tabs>
              <w:spacing w:before="0" w:after="0" w:line="422" w:lineRule="auto"/>
              <w:ind w:left="100" w:right="186" w:firstLine="0"/>
              <w:jc w:val="left"/>
              <w:rPr>
                <w:rFonts w:hint="eastAsia" w:ascii="宋体" w:hAnsi="宋体" w:eastAsia="宋体" w:cs="宋体"/>
                <w:sz w:val="17"/>
              </w:rPr>
            </w:pPr>
            <w:r>
              <w:rPr>
                <w:rFonts w:hint="eastAsia" w:ascii="宋体" w:hAnsi="宋体" w:eastAsia="宋体" w:cs="宋体"/>
                <w:spacing w:val="-1"/>
                <w:sz w:val="17"/>
              </w:rPr>
              <w:t>所投</w:t>
            </w:r>
            <w:r>
              <w:rPr>
                <w:rFonts w:hint="eastAsia" w:ascii="宋体" w:hAnsi="宋体" w:eastAsia="宋体" w:cs="宋体"/>
                <w:spacing w:val="-3"/>
                <w:sz w:val="17"/>
              </w:rPr>
              <w:t>LED</w:t>
            </w:r>
            <w:r>
              <w:rPr>
                <w:rFonts w:hint="eastAsia" w:ascii="宋体" w:hAnsi="宋体" w:eastAsia="宋体" w:cs="宋体"/>
                <w:spacing w:val="-1"/>
                <w:sz w:val="17"/>
              </w:rPr>
              <w:t>显示屏的灯管耐焊耐热：灯珠引脚无氧化</w:t>
            </w:r>
            <w:r>
              <w:rPr>
                <w:rFonts w:hint="eastAsia" w:ascii="宋体" w:hAnsi="宋体" w:eastAsia="宋体" w:cs="宋体"/>
                <w:spacing w:val="-6"/>
                <w:sz w:val="17"/>
              </w:rPr>
              <w:t>,</w:t>
            </w:r>
            <w:r>
              <w:rPr>
                <w:rFonts w:hint="eastAsia" w:ascii="宋体" w:hAnsi="宋体" w:eastAsia="宋体" w:cs="宋体"/>
                <w:sz w:val="17"/>
              </w:rPr>
              <w:t>焊接正常</w:t>
            </w:r>
            <w:r>
              <w:rPr>
                <w:rFonts w:hint="eastAsia" w:ascii="宋体" w:hAnsi="宋体" w:eastAsia="宋体" w:cs="宋体"/>
                <w:spacing w:val="-6"/>
                <w:sz w:val="17"/>
              </w:rPr>
              <w:t>,</w:t>
            </w:r>
            <w:r>
              <w:rPr>
                <w:rFonts w:hint="eastAsia" w:ascii="宋体" w:hAnsi="宋体" w:eastAsia="宋体" w:cs="宋体"/>
                <w:sz w:val="17"/>
              </w:rPr>
              <w:t>灯珠胶体正常</w:t>
            </w:r>
            <w:r>
              <w:rPr>
                <w:rFonts w:hint="eastAsia" w:ascii="宋体" w:hAnsi="宋体" w:eastAsia="宋体" w:cs="宋体"/>
                <w:spacing w:val="-6"/>
                <w:sz w:val="17"/>
              </w:rPr>
              <w:t>,</w:t>
            </w:r>
            <w:r>
              <w:rPr>
                <w:rFonts w:hint="eastAsia" w:ascii="宋体" w:hAnsi="宋体" w:eastAsia="宋体" w:cs="宋体"/>
                <w:sz w:val="17"/>
              </w:rPr>
              <w:t>点亮正常；灯管抗静电(ESD)</w:t>
            </w:r>
            <w:r>
              <w:rPr>
                <w:rFonts w:hint="eastAsia" w:ascii="宋体" w:hAnsi="宋体" w:eastAsia="宋体" w:cs="宋体"/>
                <w:spacing w:val="-1"/>
                <w:sz w:val="17"/>
              </w:rPr>
              <w:t>测试：</w:t>
            </w:r>
            <w:r>
              <w:rPr>
                <w:rFonts w:hint="eastAsia" w:ascii="宋体" w:hAnsi="宋体" w:eastAsia="宋体" w:cs="宋体"/>
                <w:spacing w:val="-3"/>
                <w:sz w:val="17"/>
              </w:rPr>
              <w:t xml:space="preserve">HB </w:t>
            </w:r>
            <w:r>
              <w:rPr>
                <w:rFonts w:hint="eastAsia" w:ascii="宋体" w:hAnsi="宋体" w:eastAsia="宋体" w:cs="宋体"/>
                <w:w w:val="105"/>
                <w:sz w:val="17"/>
              </w:rPr>
              <w:t>M模式:ESD&gt;2000V，灯珠点亮无异常；灯管红墨水试验：纯红墨水常温浸泡24h,无渗透</w:t>
            </w:r>
            <w:r>
              <w:rPr>
                <w:rFonts w:hint="eastAsia" w:ascii="宋体" w:hAnsi="宋体" w:eastAsia="宋体" w:cs="宋体"/>
                <w:spacing w:val="-6"/>
                <w:w w:val="105"/>
                <w:sz w:val="17"/>
              </w:rPr>
              <w:t>,</w:t>
            </w:r>
            <w:r>
              <w:rPr>
                <w:rFonts w:hint="eastAsia" w:ascii="宋体" w:hAnsi="宋体" w:eastAsia="宋体" w:cs="宋体"/>
                <w:w w:val="105"/>
                <w:sz w:val="17"/>
              </w:rPr>
              <w:t>灯管气密性良好。</w:t>
            </w:r>
          </w:p>
          <w:p>
            <w:pPr>
              <w:pStyle w:val="19"/>
              <w:numPr>
                <w:ilvl w:val="0"/>
                <w:numId w:val="38"/>
              </w:numPr>
              <w:tabs>
                <w:tab w:val="left" w:pos="372"/>
              </w:tabs>
              <w:spacing w:before="2" w:after="0" w:line="422" w:lineRule="auto"/>
              <w:ind w:left="100" w:right="157" w:firstLine="0"/>
              <w:jc w:val="left"/>
              <w:rPr>
                <w:rFonts w:hint="eastAsia" w:ascii="宋体" w:hAnsi="宋体" w:eastAsia="宋体" w:cs="宋体"/>
                <w:sz w:val="17"/>
              </w:rPr>
            </w:pPr>
            <w:r>
              <w:rPr>
                <w:rFonts w:hint="eastAsia" w:ascii="宋体" w:hAnsi="宋体" w:eastAsia="宋体" w:cs="宋体"/>
                <w:sz w:val="17"/>
              </w:rPr>
              <w:t>为不影响屏体周边人员的健康，要求投标人所投</w:t>
            </w:r>
            <w:r>
              <w:rPr>
                <w:rFonts w:hint="eastAsia" w:ascii="宋体" w:hAnsi="宋体" w:eastAsia="宋体" w:cs="宋体"/>
                <w:spacing w:val="-3"/>
                <w:sz w:val="17"/>
              </w:rPr>
              <w:t>LED</w:t>
            </w:r>
            <w:r>
              <w:rPr>
                <w:rFonts w:hint="eastAsia" w:ascii="宋体" w:hAnsi="宋体" w:eastAsia="宋体" w:cs="宋体"/>
                <w:sz w:val="17"/>
              </w:rPr>
              <w:t>显示屏在正常工作中，显示屏</w:t>
            </w:r>
            <w:r>
              <w:rPr>
                <w:rFonts w:hint="eastAsia" w:ascii="宋体" w:hAnsi="宋体" w:eastAsia="宋体" w:cs="宋体"/>
                <w:spacing w:val="-4"/>
                <w:sz w:val="17"/>
              </w:rPr>
              <w:t>1m</w:t>
            </w:r>
            <w:r>
              <w:rPr>
                <w:rFonts w:hint="eastAsia" w:ascii="宋体" w:hAnsi="宋体" w:eastAsia="宋体" w:cs="宋体"/>
                <w:sz w:val="17"/>
              </w:rPr>
              <w:t>范围内，前后左右4</w:t>
            </w:r>
            <w:r>
              <w:rPr>
                <w:rFonts w:hint="eastAsia" w:ascii="宋体" w:hAnsi="宋体" w:eastAsia="宋体" w:cs="宋体"/>
                <w:spacing w:val="-4"/>
                <w:sz w:val="17"/>
              </w:rPr>
              <w:t>个位置噪</w:t>
            </w:r>
            <w:r>
              <w:rPr>
                <w:rFonts w:hint="eastAsia" w:ascii="宋体" w:hAnsi="宋体" w:eastAsia="宋体" w:cs="宋体"/>
                <w:w w:val="105"/>
                <w:sz w:val="17"/>
              </w:rPr>
              <w:t>音不大于1.4dB；所投</w:t>
            </w:r>
            <w:r>
              <w:rPr>
                <w:rFonts w:hint="eastAsia" w:ascii="宋体" w:hAnsi="宋体" w:eastAsia="宋体" w:cs="宋体"/>
                <w:spacing w:val="-3"/>
                <w:w w:val="105"/>
                <w:sz w:val="17"/>
              </w:rPr>
              <w:t>LED</w:t>
            </w:r>
            <w:r>
              <w:rPr>
                <w:rFonts w:hint="eastAsia" w:ascii="宋体" w:hAnsi="宋体" w:eastAsia="宋体" w:cs="宋体"/>
                <w:w w:val="105"/>
                <w:sz w:val="17"/>
              </w:rPr>
              <w:t>显示屏观看舒适度需符合：“人眼视觉舒适度</w:t>
            </w:r>
            <w:r>
              <w:rPr>
                <w:rFonts w:hint="eastAsia" w:ascii="宋体" w:hAnsi="宋体" w:eastAsia="宋体" w:cs="宋体"/>
                <w:spacing w:val="-5"/>
                <w:w w:val="105"/>
                <w:sz w:val="17"/>
              </w:rPr>
              <w:t>(VICO)1</w:t>
            </w:r>
            <w:r>
              <w:rPr>
                <w:rFonts w:hint="eastAsia" w:ascii="宋体" w:hAnsi="宋体" w:eastAsia="宋体" w:cs="宋体"/>
                <w:w w:val="105"/>
                <w:sz w:val="17"/>
              </w:rPr>
              <w:t>级，基本无疲劳感。</w:t>
            </w:r>
          </w:p>
          <w:p>
            <w:pPr>
              <w:pStyle w:val="19"/>
              <w:numPr>
                <w:ilvl w:val="0"/>
                <w:numId w:val="38"/>
              </w:numPr>
              <w:tabs>
                <w:tab w:val="left" w:pos="372"/>
              </w:tabs>
              <w:spacing w:before="1"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所投产品具备高光效集成线路控制系统、集成泛光灯线路控制系统；</w:t>
            </w:r>
          </w:p>
          <w:p>
            <w:pPr>
              <w:pStyle w:val="19"/>
              <w:numPr>
                <w:ilvl w:val="0"/>
                <w:numId w:val="38"/>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所投产品支持坏点逐级校正检测；</w:t>
            </w:r>
          </w:p>
          <w:p>
            <w:pPr>
              <w:pStyle w:val="19"/>
              <w:numPr>
                <w:ilvl w:val="0"/>
                <w:numId w:val="38"/>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提供</w:t>
            </w:r>
            <w:r>
              <w:rPr>
                <w:rFonts w:hint="eastAsia" w:ascii="宋体" w:hAnsi="宋体" w:eastAsia="宋体" w:cs="宋体"/>
                <w:spacing w:val="-3"/>
                <w:sz w:val="17"/>
              </w:rPr>
              <w:t>LED</w:t>
            </w:r>
            <w:r>
              <w:rPr>
                <w:rFonts w:hint="eastAsia" w:ascii="宋体" w:hAnsi="宋体" w:eastAsia="宋体" w:cs="宋体"/>
                <w:sz w:val="17"/>
              </w:rPr>
              <w:t>显示屏老化测试软件；</w:t>
            </w:r>
          </w:p>
          <w:p>
            <w:pPr>
              <w:pStyle w:val="19"/>
              <w:numPr>
                <w:ilvl w:val="0"/>
                <w:numId w:val="38"/>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所投产品支持屏幕智能组态电源检测；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4"/>
        <w:ind w:left="120" w:right="0" w:firstLine="0"/>
        <w:jc w:val="left"/>
        <w:rPr>
          <w:rFonts w:hint="eastAsia" w:ascii="宋体" w:hAnsi="宋体" w:eastAsia="宋体" w:cs="宋体"/>
          <w:b/>
          <w:sz w:val="19"/>
        </w:rPr>
      </w:pPr>
      <w:r>
        <w:rPr>
          <w:rFonts w:hint="eastAsia" w:ascii="宋体" w:hAnsi="宋体" w:eastAsia="宋体" w:cs="宋体"/>
          <w:b/>
          <w:sz w:val="19"/>
        </w:rPr>
        <w:t>附表二：视频处理器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pgSz w:w="11900" w:h="16840"/>
          <w:pgMar w:top="560" w:right="560" w:bottom="28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520"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5"/>
              <w:rPr>
                <w:rFonts w:hint="eastAsia" w:ascii="宋体" w:hAnsi="宋体" w:eastAsia="宋体" w:cs="宋体"/>
                <w:b/>
                <w:sz w:val="21"/>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spacing w:before="80"/>
              <w:ind w:left="100"/>
              <w:rPr>
                <w:rFonts w:hint="eastAsia" w:ascii="宋体" w:hAnsi="宋体" w:eastAsia="宋体" w:cs="宋体"/>
                <w:sz w:val="17"/>
              </w:rPr>
            </w:pPr>
            <w:r>
              <w:rPr>
                <w:rFonts w:hint="eastAsia" w:ascii="宋体" w:hAnsi="宋体" w:eastAsia="宋体" w:cs="宋体"/>
                <w:w w:val="120"/>
                <w:sz w:val="17"/>
              </w:rPr>
              <w:t>1.支持3D、2D两种显示模式，可在普通LED显示屏实现3D效果；</w:t>
            </w:r>
          </w:p>
          <w:p>
            <w:pPr>
              <w:pStyle w:val="19"/>
              <w:spacing w:before="167"/>
              <w:ind w:left="100"/>
              <w:rPr>
                <w:rFonts w:hint="eastAsia" w:ascii="宋体" w:hAnsi="宋体" w:eastAsia="宋体" w:cs="宋体"/>
                <w:sz w:val="17"/>
              </w:rPr>
            </w:pPr>
            <w:r>
              <w:rPr>
                <w:rFonts w:hint="eastAsia" w:ascii="宋体" w:hAnsi="宋体" w:eastAsia="宋体" w:cs="宋体"/>
                <w:w w:val="110"/>
                <w:sz w:val="17"/>
              </w:rPr>
              <w:t>2.3D模式，最大带载650万像素，最宽4096像素，最高4096像素；</w:t>
            </w:r>
          </w:p>
          <w:p>
            <w:pPr>
              <w:pStyle w:val="19"/>
              <w:spacing w:before="166"/>
              <w:ind w:left="100"/>
              <w:rPr>
                <w:rFonts w:hint="eastAsia" w:ascii="宋体" w:hAnsi="宋体" w:eastAsia="宋体" w:cs="宋体"/>
                <w:sz w:val="17"/>
              </w:rPr>
            </w:pPr>
            <w:r>
              <w:rPr>
                <w:rFonts w:hint="eastAsia" w:ascii="宋体" w:hAnsi="宋体" w:eastAsia="宋体" w:cs="宋体"/>
                <w:w w:val="110"/>
                <w:sz w:val="17"/>
              </w:rPr>
              <w:t>3.2D模式，最大带载1300万像素，最宽8192像素，最高4096像素；</w:t>
            </w:r>
          </w:p>
          <w:p>
            <w:pPr>
              <w:pStyle w:val="19"/>
              <w:spacing w:before="166" w:line="422" w:lineRule="auto"/>
              <w:ind w:left="100" w:right="5264"/>
              <w:rPr>
                <w:rFonts w:hint="eastAsia" w:ascii="宋体" w:hAnsi="宋体" w:eastAsia="宋体" w:cs="宋体"/>
                <w:sz w:val="17"/>
              </w:rPr>
            </w:pPr>
            <w:r>
              <w:rPr>
                <w:rFonts w:hint="eastAsia" w:ascii="宋体" w:hAnsi="宋体" w:eastAsia="宋体" w:cs="宋体"/>
                <w:spacing w:val="-4"/>
                <w:w w:val="110"/>
                <w:sz w:val="17"/>
              </w:rPr>
              <w:t>★4.支持不少于</w:t>
            </w:r>
            <w:r>
              <w:rPr>
                <w:rFonts w:hint="eastAsia" w:ascii="宋体" w:hAnsi="宋体" w:eastAsia="宋体" w:cs="宋体"/>
                <w:spacing w:val="-3"/>
                <w:w w:val="110"/>
                <w:sz w:val="17"/>
              </w:rPr>
              <w:t>1路DP1.4、1路</w:t>
            </w:r>
            <w:r>
              <w:rPr>
                <w:rFonts w:hint="eastAsia" w:ascii="宋体" w:hAnsi="宋体" w:eastAsia="宋体" w:cs="宋体"/>
                <w:spacing w:val="-4"/>
                <w:w w:val="110"/>
                <w:sz w:val="17"/>
              </w:rPr>
              <w:t>HDMI2.0</w:t>
            </w:r>
            <w:r>
              <w:rPr>
                <w:rFonts w:hint="eastAsia" w:ascii="宋体" w:hAnsi="宋体" w:eastAsia="宋体" w:cs="宋体"/>
                <w:spacing w:val="-6"/>
                <w:w w:val="110"/>
                <w:sz w:val="17"/>
              </w:rPr>
              <w:t xml:space="preserve">输入； </w:t>
            </w:r>
            <w:r>
              <w:rPr>
                <w:rFonts w:hint="eastAsia" w:ascii="宋体" w:hAnsi="宋体" w:eastAsia="宋体" w:cs="宋体"/>
                <w:spacing w:val="-3"/>
                <w:w w:val="115"/>
                <w:sz w:val="17"/>
              </w:rPr>
              <w:t>5.</w:t>
            </w:r>
            <w:r>
              <w:rPr>
                <w:rFonts w:hint="eastAsia" w:ascii="宋体" w:hAnsi="宋体" w:eastAsia="宋体" w:cs="宋体"/>
                <w:w w:val="115"/>
                <w:sz w:val="17"/>
              </w:rPr>
              <w:t>支持不少于2路</w:t>
            </w:r>
            <w:r>
              <w:rPr>
                <w:rFonts w:hint="eastAsia" w:ascii="宋体" w:hAnsi="宋体" w:eastAsia="宋体" w:cs="宋体"/>
                <w:spacing w:val="-4"/>
                <w:w w:val="115"/>
                <w:sz w:val="17"/>
              </w:rPr>
              <w:t>HDMI1.4</w:t>
            </w:r>
            <w:r>
              <w:rPr>
                <w:rFonts w:hint="eastAsia" w:ascii="宋体" w:hAnsi="宋体" w:eastAsia="宋体" w:cs="宋体"/>
                <w:w w:val="115"/>
                <w:sz w:val="17"/>
              </w:rPr>
              <w:t>和2路</w:t>
            </w:r>
            <w:r>
              <w:rPr>
                <w:rFonts w:hint="eastAsia" w:ascii="宋体" w:hAnsi="宋体" w:eastAsia="宋体" w:cs="宋体"/>
                <w:spacing w:val="-7"/>
                <w:w w:val="115"/>
                <w:sz w:val="17"/>
              </w:rPr>
              <w:t>DVI</w:t>
            </w:r>
            <w:r>
              <w:rPr>
                <w:rFonts w:hint="eastAsia" w:ascii="宋体" w:hAnsi="宋体" w:eastAsia="宋体" w:cs="宋体"/>
                <w:w w:val="115"/>
                <w:sz w:val="17"/>
              </w:rPr>
              <w:t>输入；</w:t>
            </w:r>
          </w:p>
          <w:p>
            <w:pPr>
              <w:pStyle w:val="19"/>
              <w:numPr>
                <w:ilvl w:val="0"/>
                <w:numId w:val="39"/>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支持最大带载1300万像素，最宽16384像素，或最高8192像素；</w:t>
            </w:r>
          </w:p>
          <w:p>
            <w:pPr>
              <w:pStyle w:val="19"/>
              <w:numPr>
                <w:ilvl w:val="0"/>
                <w:numId w:val="3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支持最大输入分辨率4096×2160@60Hz，支持自定义分辨率设置；</w:t>
            </w:r>
          </w:p>
          <w:p>
            <w:pPr>
              <w:pStyle w:val="19"/>
              <w:numPr>
                <w:ilvl w:val="0"/>
                <w:numId w:val="3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支持不少于20路千兆网口输出；【提供此功能的证明资料】</w:t>
            </w:r>
          </w:p>
          <w:p>
            <w:pPr>
              <w:pStyle w:val="19"/>
              <w:numPr>
                <w:ilvl w:val="0"/>
                <w:numId w:val="39"/>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支持对视频信号任意切换，裁剪，拼接，缩放；</w:t>
            </w:r>
          </w:p>
          <w:p>
            <w:pPr>
              <w:pStyle w:val="19"/>
              <w:numPr>
                <w:ilvl w:val="0"/>
                <w:numId w:val="39"/>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支持不少于6画面显示，位置，大小可自由调节；</w:t>
            </w:r>
          </w:p>
          <w:p>
            <w:pPr>
              <w:pStyle w:val="19"/>
              <w:numPr>
                <w:ilvl w:val="0"/>
                <w:numId w:val="39"/>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支持精确颜色管理，调整显示屏色域；</w:t>
            </w:r>
          </w:p>
          <w:p>
            <w:pPr>
              <w:pStyle w:val="19"/>
              <w:numPr>
                <w:ilvl w:val="0"/>
                <w:numId w:val="39"/>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95"/>
                <w:sz w:val="17"/>
              </w:rPr>
              <w:t>支持视频同步锁相技术；</w:t>
            </w:r>
          </w:p>
          <w:p>
            <w:pPr>
              <w:pStyle w:val="19"/>
              <w:numPr>
                <w:ilvl w:val="0"/>
                <w:numId w:val="39"/>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w w:val="95"/>
                <w:sz w:val="17"/>
              </w:rPr>
              <w:t>支持独立音频输入输出；</w:t>
            </w:r>
          </w:p>
          <w:p>
            <w:pPr>
              <w:pStyle w:val="19"/>
              <w:numPr>
                <w:ilvl w:val="0"/>
                <w:numId w:val="39"/>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支持</w:t>
            </w:r>
            <w:r>
              <w:rPr>
                <w:rFonts w:hint="eastAsia" w:ascii="宋体" w:hAnsi="宋体" w:eastAsia="宋体" w:cs="宋体"/>
                <w:spacing w:val="-5"/>
                <w:w w:val="105"/>
                <w:sz w:val="17"/>
              </w:rPr>
              <w:t>HDMI</w:t>
            </w:r>
            <w:r>
              <w:rPr>
                <w:rFonts w:hint="eastAsia" w:ascii="宋体" w:hAnsi="宋体" w:eastAsia="宋体" w:cs="宋体"/>
                <w:w w:val="105"/>
                <w:sz w:val="17"/>
              </w:rPr>
              <w:t>和</w:t>
            </w:r>
            <w:r>
              <w:rPr>
                <w:rFonts w:hint="eastAsia" w:ascii="宋体" w:hAnsi="宋体" w:eastAsia="宋体" w:cs="宋体"/>
                <w:spacing w:val="4"/>
                <w:w w:val="105"/>
                <w:sz w:val="17"/>
              </w:rPr>
              <w:t>DP</w:t>
            </w:r>
            <w:r>
              <w:rPr>
                <w:rFonts w:hint="eastAsia" w:ascii="宋体" w:hAnsi="宋体" w:eastAsia="宋体" w:cs="宋体"/>
                <w:w w:val="105"/>
                <w:sz w:val="17"/>
              </w:rPr>
              <w:t>音频解析输出；</w:t>
            </w:r>
          </w:p>
          <w:p>
            <w:pPr>
              <w:pStyle w:val="19"/>
              <w:numPr>
                <w:ilvl w:val="0"/>
                <w:numId w:val="39"/>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w:t>
            </w:r>
            <w:r>
              <w:rPr>
                <w:rFonts w:hint="eastAsia" w:ascii="宋体" w:hAnsi="宋体" w:eastAsia="宋体" w:cs="宋体"/>
                <w:spacing w:val="-8"/>
                <w:sz w:val="17"/>
              </w:rPr>
              <w:t>LAN</w:t>
            </w:r>
            <w:r>
              <w:rPr>
                <w:rFonts w:hint="eastAsia" w:ascii="宋体" w:hAnsi="宋体" w:eastAsia="宋体" w:cs="宋体"/>
                <w:sz w:val="17"/>
              </w:rPr>
              <w:t>口控制；</w:t>
            </w:r>
          </w:p>
          <w:p>
            <w:pPr>
              <w:pStyle w:val="19"/>
              <w:numPr>
                <w:ilvl w:val="0"/>
                <w:numId w:val="39"/>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支持手机端APP控制；</w:t>
            </w:r>
          </w:p>
          <w:p>
            <w:pPr>
              <w:pStyle w:val="19"/>
              <w:numPr>
                <w:ilvl w:val="0"/>
                <w:numId w:val="39"/>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支持RS232串口协议控制；</w:t>
            </w:r>
          </w:p>
          <w:p>
            <w:pPr>
              <w:pStyle w:val="19"/>
              <w:numPr>
                <w:ilvl w:val="0"/>
                <w:numId w:val="39"/>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支持主动式3D显示功能；【提供此功能的证明资料】</w:t>
            </w:r>
          </w:p>
          <w:p>
            <w:pPr>
              <w:pStyle w:val="19"/>
              <w:numPr>
                <w:ilvl w:val="0"/>
                <w:numId w:val="39"/>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支持HDCP协议的高带宽数字内容保护技术；</w:t>
            </w:r>
          </w:p>
          <w:p>
            <w:pPr>
              <w:pStyle w:val="19"/>
              <w:numPr>
                <w:ilvl w:val="0"/>
                <w:numId w:val="39"/>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支持亮度和色温调节；</w:t>
            </w:r>
          </w:p>
          <w:p>
            <w:pPr>
              <w:pStyle w:val="19"/>
              <w:numPr>
                <w:ilvl w:val="0"/>
                <w:numId w:val="39"/>
              </w:numPr>
              <w:tabs>
                <w:tab w:val="left" w:pos="372"/>
              </w:tabs>
              <w:spacing w:before="166" w:after="0" w:line="422" w:lineRule="auto"/>
              <w:ind w:left="100" w:right="193" w:firstLine="0"/>
              <w:jc w:val="left"/>
              <w:rPr>
                <w:rFonts w:hint="eastAsia" w:ascii="宋体" w:hAnsi="宋体" w:eastAsia="宋体" w:cs="宋体"/>
                <w:sz w:val="17"/>
              </w:rPr>
            </w:pPr>
            <w:r>
              <w:rPr>
                <w:rFonts w:hint="eastAsia" w:ascii="宋体" w:hAnsi="宋体" w:eastAsia="宋体" w:cs="宋体"/>
                <w:w w:val="95"/>
                <w:sz w:val="17"/>
              </w:rPr>
              <w:t>通过该发送可调试显示屏的色域坐标显示不同坐标值色温，进行精确颜色管理；可任意改变0-255</w:t>
            </w:r>
            <w:r>
              <w:rPr>
                <w:rFonts w:hint="eastAsia" w:ascii="宋体" w:hAnsi="宋体" w:eastAsia="宋体" w:cs="宋体"/>
                <w:spacing w:val="-3"/>
                <w:w w:val="95"/>
                <w:sz w:val="17"/>
              </w:rPr>
              <w:t xml:space="preserve">灰阶不同灰度值    </w:t>
            </w:r>
            <w:r>
              <w:rPr>
                <w:rFonts w:hint="eastAsia" w:ascii="宋体" w:hAnsi="宋体" w:eastAsia="宋体" w:cs="宋体"/>
                <w:w w:val="105"/>
                <w:sz w:val="17"/>
              </w:rPr>
              <w:t>的亮度显示并进行任意调节；色温调整精度在100K以内；</w:t>
            </w:r>
          </w:p>
          <w:p>
            <w:pPr>
              <w:pStyle w:val="19"/>
              <w:numPr>
                <w:ilvl w:val="0"/>
                <w:numId w:val="39"/>
              </w:numPr>
              <w:tabs>
                <w:tab w:val="left" w:pos="372"/>
              </w:tabs>
              <w:spacing w:before="2" w:after="0" w:line="422" w:lineRule="auto"/>
              <w:ind w:left="100" w:right="193" w:firstLine="0"/>
              <w:jc w:val="left"/>
              <w:rPr>
                <w:rFonts w:hint="eastAsia" w:ascii="宋体" w:hAnsi="宋体" w:eastAsia="宋体" w:cs="宋体"/>
                <w:sz w:val="17"/>
              </w:rPr>
            </w:pPr>
            <w:r>
              <w:rPr>
                <w:rFonts w:hint="eastAsia" w:ascii="宋体" w:hAnsi="宋体" w:eastAsia="宋体" w:cs="宋体"/>
                <w:spacing w:val="-1"/>
                <w:w w:val="105"/>
                <w:sz w:val="17"/>
              </w:rPr>
              <w:t>可在局域网内实现通过web控制设备，支持Windows</w:t>
            </w:r>
            <w:r>
              <w:rPr>
                <w:rFonts w:hint="eastAsia" w:ascii="宋体" w:hAnsi="宋体" w:eastAsia="宋体" w:cs="宋体"/>
                <w:w w:val="105"/>
                <w:sz w:val="17"/>
              </w:rPr>
              <w:t>、</w:t>
            </w:r>
            <w:r>
              <w:rPr>
                <w:rFonts w:hint="eastAsia" w:ascii="宋体" w:hAnsi="宋体" w:eastAsia="宋体" w:cs="宋体"/>
                <w:spacing w:val="-3"/>
                <w:w w:val="105"/>
                <w:sz w:val="17"/>
              </w:rPr>
              <w:t>macOS</w:t>
            </w:r>
            <w:r>
              <w:rPr>
                <w:rFonts w:hint="eastAsia" w:ascii="宋体" w:hAnsi="宋体" w:eastAsia="宋体" w:cs="宋体"/>
                <w:w w:val="105"/>
                <w:sz w:val="17"/>
              </w:rPr>
              <w:t>、</w:t>
            </w:r>
            <w:r>
              <w:rPr>
                <w:rFonts w:hint="eastAsia" w:ascii="宋体" w:hAnsi="宋体" w:eastAsia="宋体" w:cs="宋体"/>
                <w:spacing w:val="-7"/>
                <w:w w:val="105"/>
                <w:sz w:val="17"/>
              </w:rPr>
              <w:t>Linux</w:t>
            </w:r>
            <w:r>
              <w:rPr>
                <w:rFonts w:hint="eastAsia" w:ascii="宋体" w:hAnsi="宋体" w:eastAsia="宋体" w:cs="宋体"/>
                <w:w w:val="105"/>
                <w:sz w:val="17"/>
              </w:rPr>
              <w:t>、麒麟系统、</w:t>
            </w:r>
            <w:r>
              <w:rPr>
                <w:rFonts w:hint="eastAsia" w:ascii="宋体" w:hAnsi="宋体" w:eastAsia="宋体" w:cs="宋体"/>
                <w:spacing w:val="-3"/>
                <w:w w:val="105"/>
                <w:sz w:val="17"/>
              </w:rPr>
              <w:t>Android</w:t>
            </w:r>
            <w:r>
              <w:rPr>
                <w:rFonts w:hint="eastAsia" w:ascii="宋体" w:hAnsi="宋体" w:eastAsia="宋体" w:cs="宋体"/>
                <w:w w:val="105"/>
                <w:sz w:val="17"/>
              </w:rPr>
              <w:t>、</w:t>
            </w:r>
            <w:r>
              <w:rPr>
                <w:rFonts w:hint="eastAsia" w:ascii="宋体" w:hAnsi="宋体" w:eastAsia="宋体" w:cs="宋体"/>
                <w:spacing w:val="-4"/>
                <w:w w:val="105"/>
                <w:sz w:val="17"/>
              </w:rPr>
              <w:t>iOS</w:t>
            </w:r>
            <w:r>
              <w:rPr>
                <w:rFonts w:hint="eastAsia" w:ascii="宋体" w:hAnsi="宋体" w:eastAsia="宋体" w:cs="宋体"/>
                <w:w w:val="105"/>
                <w:sz w:val="17"/>
              </w:rPr>
              <w:t>等系统平台， 支持电脑、平板、手机等多种硬件平台；【提供此功能的证明资料】</w:t>
            </w:r>
          </w:p>
          <w:p>
            <w:pPr>
              <w:pStyle w:val="19"/>
              <w:numPr>
                <w:ilvl w:val="0"/>
                <w:numId w:val="39"/>
              </w:numPr>
              <w:tabs>
                <w:tab w:val="left" w:pos="372"/>
              </w:tabs>
              <w:spacing w:before="1"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可稳定的兼容显卡，网络盒子，会议系统，拼接器，DVD，信号发生器等多种信号源；</w:t>
            </w:r>
          </w:p>
          <w:p>
            <w:pPr>
              <w:pStyle w:val="19"/>
              <w:numPr>
                <w:ilvl w:val="0"/>
                <w:numId w:val="39"/>
              </w:numPr>
              <w:tabs>
                <w:tab w:val="left" w:pos="372"/>
              </w:tabs>
              <w:spacing w:before="166" w:after="0" w:line="422" w:lineRule="auto"/>
              <w:ind w:left="100" w:right="85" w:firstLine="0"/>
              <w:jc w:val="left"/>
              <w:rPr>
                <w:rFonts w:hint="eastAsia" w:ascii="宋体" w:hAnsi="宋体" w:eastAsia="宋体" w:cs="宋体"/>
                <w:sz w:val="17"/>
              </w:rPr>
            </w:pPr>
            <w:r>
              <w:rPr>
                <w:rFonts w:hint="eastAsia" w:ascii="宋体" w:hAnsi="宋体" w:eastAsia="宋体" w:cs="宋体"/>
                <w:w w:val="98"/>
                <w:sz w:val="17"/>
              </w:rPr>
              <w:t>支持</w:t>
            </w:r>
            <w:r>
              <w:rPr>
                <w:rFonts w:hint="eastAsia" w:ascii="宋体" w:hAnsi="宋体" w:eastAsia="宋体" w:cs="宋体"/>
                <w:spacing w:val="-7"/>
                <w:w w:val="116"/>
                <w:sz w:val="17"/>
              </w:rPr>
              <w:t>H</w:t>
            </w:r>
            <w:r>
              <w:rPr>
                <w:rFonts w:hint="eastAsia" w:ascii="宋体" w:hAnsi="宋体" w:eastAsia="宋体" w:cs="宋体"/>
                <w:spacing w:val="2"/>
                <w:w w:val="117"/>
                <w:sz w:val="17"/>
              </w:rPr>
              <w:t>D</w:t>
            </w:r>
            <w:r>
              <w:rPr>
                <w:rFonts w:hint="eastAsia" w:ascii="宋体" w:hAnsi="宋体" w:eastAsia="宋体" w:cs="宋体"/>
                <w:spacing w:val="3"/>
                <w:w w:val="109"/>
                <w:sz w:val="17"/>
              </w:rPr>
              <w:t>R</w:t>
            </w:r>
            <w:r>
              <w:rPr>
                <w:rFonts w:hint="eastAsia" w:ascii="宋体" w:hAnsi="宋体" w:eastAsia="宋体" w:cs="宋体"/>
                <w:w w:val="98"/>
                <w:sz w:val="17"/>
              </w:rPr>
              <w:t>、</w:t>
            </w:r>
            <w:r>
              <w:rPr>
                <w:rFonts w:hint="eastAsia" w:ascii="宋体" w:hAnsi="宋体" w:eastAsia="宋体" w:cs="宋体"/>
                <w:spacing w:val="-7"/>
                <w:w w:val="116"/>
                <w:sz w:val="17"/>
              </w:rPr>
              <w:t>H</w:t>
            </w:r>
            <w:r>
              <w:rPr>
                <w:rFonts w:hint="eastAsia" w:ascii="宋体" w:hAnsi="宋体" w:eastAsia="宋体" w:cs="宋体"/>
                <w:spacing w:val="2"/>
                <w:w w:val="117"/>
                <w:sz w:val="17"/>
              </w:rPr>
              <w:t>D</w:t>
            </w:r>
            <w:r>
              <w:rPr>
                <w:rFonts w:hint="eastAsia" w:ascii="宋体" w:hAnsi="宋体" w:eastAsia="宋体" w:cs="宋体"/>
                <w:spacing w:val="3"/>
                <w:w w:val="109"/>
                <w:sz w:val="17"/>
              </w:rPr>
              <w:t>R</w:t>
            </w:r>
            <w:r>
              <w:rPr>
                <w:rFonts w:hint="eastAsia" w:ascii="宋体" w:hAnsi="宋体" w:eastAsia="宋体" w:cs="宋体"/>
                <w:spacing w:val="-1"/>
                <w:w w:val="71"/>
                <w:sz w:val="17"/>
              </w:rPr>
              <w:t>-</w:t>
            </w:r>
            <w:r>
              <w:rPr>
                <w:rFonts w:hint="eastAsia" w:ascii="宋体" w:hAnsi="宋体" w:eastAsia="宋体" w:cs="宋体"/>
                <w:spacing w:val="-7"/>
                <w:w w:val="116"/>
                <w:sz w:val="17"/>
              </w:rPr>
              <w:t>H</w:t>
            </w:r>
            <w:r>
              <w:rPr>
                <w:rFonts w:hint="eastAsia" w:ascii="宋体" w:hAnsi="宋体" w:eastAsia="宋体" w:cs="宋体"/>
                <w:spacing w:val="-10"/>
                <w:w w:val="102"/>
                <w:sz w:val="17"/>
              </w:rPr>
              <w:t>L</w:t>
            </w:r>
            <w:r>
              <w:rPr>
                <w:rFonts w:hint="eastAsia" w:ascii="宋体" w:hAnsi="宋体" w:eastAsia="宋体" w:cs="宋体"/>
                <w:spacing w:val="1"/>
                <w:w w:val="112"/>
                <w:sz w:val="17"/>
              </w:rPr>
              <w:t>G</w:t>
            </w:r>
            <w:r>
              <w:rPr>
                <w:rFonts w:hint="eastAsia" w:ascii="宋体" w:hAnsi="宋体" w:eastAsia="宋体" w:cs="宋体"/>
                <w:spacing w:val="-6"/>
                <w:w w:val="154"/>
                <w:sz w:val="17"/>
              </w:rPr>
              <w:t>,</w:t>
            </w:r>
            <w:r>
              <w:rPr>
                <w:rFonts w:hint="eastAsia" w:ascii="宋体" w:hAnsi="宋体" w:eastAsia="宋体" w:cs="宋体"/>
                <w:w w:val="98"/>
                <w:sz w:val="17"/>
              </w:rPr>
              <w:t>输出色彩空间支持</w:t>
            </w:r>
            <w:r>
              <w:rPr>
                <w:rFonts w:hint="eastAsia" w:ascii="宋体" w:hAnsi="宋体" w:eastAsia="宋体" w:cs="宋体"/>
                <w:spacing w:val="1"/>
                <w:w w:val="104"/>
                <w:sz w:val="17"/>
              </w:rPr>
              <w:t>S</w:t>
            </w:r>
            <w:r>
              <w:rPr>
                <w:rFonts w:hint="eastAsia" w:ascii="宋体" w:hAnsi="宋体" w:eastAsia="宋体" w:cs="宋体"/>
                <w:spacing w:val="3"/>
                <w:w w:val="109"/>
                <w:sz w:val="17"/>
              </w:rPr>
              <w:t>R</w:t>
            </w:r>
            <w:r>
              <w:rPr>
                <w:rFonts w:hint="eastAsia" w:ascii="宋体" w:hAnsi="宋体" w:eastAsia="宋体" w:cs="宋体"/>
                <w:spacing w:val="1"/>
                <w:w w:val="112"/>
                <w:sz w:val="17"/>
              </w:rPr>
              <w:t>G</w:t>
            </w:r>
            <w:r>
              <w:rPr>
                <w:rFonts w:hint="eastAsia" w:ascii="宋体" w:hAnsi="宋体" w:eastAsia="宋体" w:cs="宋体"/>
                <w:spacing w:val="4"/>
                <w:w w:val="106"/>
                <w:sz w:val="17"/>
              </w:rPr>
              <w:t>B</w:t>
            </w:r>
            <w:r>
              <w:rPr>
                <w:rFonts w:hint="eastAsia" w:ascii="宋体" w:hAnsi="宋体" w:eastAsia="宋体" w:cs="宋体"/>
                <w:w w:val="98"/>
                <w:sz w:val="17"/>
              </w:rPr>
              <w:t>、</w:t>
            </w:r>
            <w:r>
              <w:rPr>
                <w:rFonts w:hint="eastAsia" w:ascii="宋体" w:hAnsi="宋体" w:eastAsia="宋体" w:cs="宋体"/>
                <w:spacing w:val="-6"/>
                <w:w w:val="115"/>
                <w:sz w:val="17"/>
              </w:rPr>
              <w:t>N</w:t>
            </w:r>
            <w:r>
              <w:rPr>
                <w:rFonts w:hint="eastAsia" w:ascii="宋体" w:hAnsi="宋体" w:eastAsia="宋体" w:cs="宋体"/>
                <w:spacing w:val="5"/>
                <w:w w:val="102"/>
                <w:sz w:val="17"/>
              </w:rPr>
              <w:t>T</w:t>
            </w:r>
            <w:r>
              <w:rPr>
                <w:rFonts w:hint="eastAsia" w:ascii="宋体" w:hAnsi="宋体" w:eastAsia="宋体" w:cs="宋体"/>
                <w:spacing w:val="1"/>
                <w:w w:val="104"/>
                <w:sz w:val="17"/>
              </w:rPr>
              <w:t>S</w:t>
            </w:r>
            <w:r>
              <w:rPr>
                <w:rFonts w:hint="eastAsia" w:ascii="宋体" w:hAnsi="宋体" w:eastAsia="宋体" w:cs="宋体"/>
                <w:spacing w:val="2"/>
                <w:w w:val="103"/>
                <w:sz w:val="17"/>
              </w:rPr>
              <w:t>C</w:t>
            </w:r>
            <w:r>
              <w:rPr>
                <w:rFonts w:hint="eastAsia" w:ascii="宋体" w:hAnsi="宋体" w:eastAsia="宋体" w:cs="宋体"/>
                <w:w w:val="98"/>
                <w:sz w:val="17"/>
              </w:rPr>
              <w:t>、</w:t>
            </w:r>
            <w:r>
              <w:rPr>
                <w:rFonts w:hint="eastAsia" w:ascii="宋体" w:hAnsi="宋体" w:eastAsia="宋体" w:cs="宋体"/>
                <w:spacing w:val="3"/>
                <w:w w:val="109"/>
                <w:sz w:val="17"/>
              </w:rPr>
              <w:t>R</w:t>
            </w:r>
            <w:r>
              <w:rPr>
                <w:rFonts w:hint="eastAsia" w:ascii="宋体" w:hAnsi="宋体" w:eastAsia="宋体" w:cs="宋体"/>
                <w:spacing w:val="4"/>
                <w:w w:val="121"/>
                <w:sz w:val="17"/>
              </w:rPr>
              <w:t>e</w:t>
            </w:r>
            <w:r>
              <w:rPr>
                <w:rFonts w:hint="eastAsia" w:ascii="宋体" w:hAnsi="宋体" w:eastAsia="宋体" w:cs="宋体"/>
                <w:spacing w:val="3"/>
                <w:w w:val="108"/>
                <w:sz w:val="17"/>
              </w:rPr>
              <w:t>c</w:t>
            </w:r>
            <w:r>
              <w:rPr>
                <w:rFonts w:hint="eastAsia" w:ascii="宋体" w:hAnsi="宋体" w:eastAsia="宋体" w:cs="宋体"/>
                <w:spacing w:val="-6"/>
                <w:w w:val="154"/>
                <w:sz w:val="17"/>
              </w:rPr>
              <w:t>.</w:t>
            </w:r>
            <w:r>
              <w:rPr>
                <w:rFonts w:hint="eastAsia" w:ascii="宋体" w:hAnsi="宋体" w:eastAsia="宋体" w:cs="宋体"/>
                <w:spacing w:val="1"/>
                <w:w w:val="125"/>
                <w:sz w:val="17"/>
              </w:rPr>
              <w:t>2020</w:t>
            </w:r>
            <w:r>
              <w:rPr>
                <w:rFonts w:hint="eastAsia" w:ascii="宋体" w:hAnsi="宋体" w:eastAsia="宋体" w:cs="宋体"/>
                <w:w w:val="98"/>
                <w:sz w:val="17"/>
              </w:rPr>
              <w:t>、</w:t>
            </w:r>
            <w:r>
              <w:rPr>
                <w:rFonts w:hint="eastAsia" w:ascii="宋体" w:hAnsi="宋体" w:eastAsia="宋体" w:cs="宋体"/>
                <w:spacing w:val="-7"/>
                <w:w w:val="106"/>
                <w:sz w:val="17"/>
              </w:rPr>
              <w:t>A</w:t>
            </w:r>
            <w:r>
              <w:rPr>
                <w:rFonts w:hint="eastAsia" w:ascii="宋体" w:hAnsi="宋体" w:eastAsia="宋体" w:cs="宋体"/>
                <w:spacing w:val="1"/>
                <w:w w:val="126"/>
                <w:sz w:val="17"/>
              </w:rPr>
              <w:t>d</w:t>
            </w:r>
            <w:r>
              <w:rPr>
                <w:rFonts w:hint="eastAsia" w:ascii="宋体" w:hAnsi="宋体" w:eastAsia="宋体" w:cs="宋体"/>
                <w:spacing w:val="5"/>
                <w:w w:val="119"/>
                <w:sz w:val="17"/>
              </w:rPr>
              <w:t>o</w:t>
            </w:r>
            <w:r>
              <w:rPr>
                <w:rFonts w:hint="eastAsia" w:ascii="宋体" w:hAnsi="宋体" w:eastAsia="宋体" w:cs="宋体"/>
                <w:spacing w:val="1"/>
                <w:w w:val="126"/>
                <w:sz w:val="17"/>
              </w:rPr>
              <w:t>b</w:t>
            </w:r>
            <w:r>
              <w:rPr>
                <w:rFonts w:hint="eastAsia" w:ascii="宋体" w:hAnsi="宋体" w:eastAsia="宋体" w:cs="宋体"/>
                <w:w w:val="121"/>
                <w:sz w:val="17"/>
              </w:rPr>
              <w:t>e</w:t>
            </w:r>
            <w:r>
              <w:rPr>
                <w:rFonts w:hint="eastAsia" w:ascii="宋体" w:hAnsi="宋体" w:eastAsia="宋体" w:cs="宋体"/>
                <w:spacing w:val="24"/>
                <w:sz w:val="17"/>
              </w:rPr>
              <w:t xml:space="preserve"> </w:t>
            </w:r>
            <w:r>
              <w:rPr>
                <w:rFonts w:hint="eastAsia" w:ascii="宋体" w:hAnsi="宋体" w:eastAsia="宋体" w:cs="宋体"/>
                <w:spacing w:val="3"/>
                <w:w w:val="109"/>
                <w:sz w:val="17"/>
              </w:rPr>
              <w:t>R</w:t>
            </w:r>
            <w:r>
              <w:rPr>
                <w:rFonts w:hint="eastAsia" w:ascii="宋体" w:hAnsi="宋体" w:eastAsia="宋体" w:cs="宋体"/>
                <w:spacing w:val="1"/>
                <w:w w:val="112"/>
                <w:sz w:val="17"/>
              </w:rPr>
              <w:t>G</w:t>
            </w:r>
            <w:r>
              <w:rPr>
                <w:rFonts w:hint="eastAsia" w:ascii="宋体" w:hAnsi="宋体" w:eastAsia="宋体" w:cs="宋体"/>
                <w:spacing w:val="4"/>
                <w:w w:val="106"/>
                <w:sz w:val="17"/>
              </w:rPr>
              <w:t>B</w:t>
            </w:r>
            <w:r>
              <w:rPr>
                <w:rFonts w:hint="eastAsia" w:ascii="宋体" w:hAnsi="宋体" w:eastAsia="宋体" w:cs="宋体"/>
                <w:w w:val="98"/>
                <w:sz w:val="17"/>
              </w:rPr>
              <w:t>、</w:t>
            </w:r>
            <w:r>
              <w:rPr>
                <w:rFonts w:hint="eastAsia" w:ascii="宋体" w:hAnsi="宋体" w:eastAsia="宋体" w:cs="宋体"/>
                <w:spacing w:val="3"/>
                <w:w w:val="109"/>
                <w:sz w:val="17"/>
              </w:rPr>
              <w:t>R</w:t>
            </w:r>
            <w:r>
              <w:rPr>
                <w:rFonts w:hint="eastAsia" w:ascii="宋体" w:hAnsi="宋体" w:eastAsia="宋体" w:cs="宋体"/>
                <w:spacing w:val="4"/>
                <w:w w:val="121"/>
                <w:sz w:val="17"/>
              </w:rPr>
              <w:t>e</w:t>
            </w:r>
            <w:r>
              <w:rPr>
                <w:rFonts w:hint="eastAsia" w:ascii="宋体" w:hAnsi="宋体" w:eastAsia="宋体" w:cs="宋体"/>
                <w:spacing w:val="3"/>
                <w:w w:val="108"/>
                <w:sz w:val="17"/>
              </w:rPr>
              <w:t>c</w:t>
            </w:r>
            <w:r>
              <w:rPr>
                <w:rFonts w:hint="eastAsia" w:ascii="宋体" w:hAnsi="宋体" w:eastAsia="宋体" w:cs="宋体"/>
                <w:spacing w:val="-6"/>
                <w:w w:val="154"/>
                <w:sz w:val="17"/>
              </w:rPr>
              <w:t>.</w:t>
            </w:r>
            <w:r>
              <w:rPr>
                <w:rFonts w:hint="eastAsia" w:ascii="宋体" w:hAnsi="宋体" w:eastAsia="宋体" w:cs="宋体"/>
                <w:spacing w:val="1"/>
                <w:w w:val="125"/>
                <w:sz w:val="17"/>
              </w:rPr>
              <w:t>601</w:t>
            </w:r>
            <w:r>
              <w:rPr>
                <w:rFonts w:hint="eastAsia" w:ascii="宋体" w:hAnsi="宋体" w:eastAsia="宋体" w:cs="宋体"/>
                <w:w w:val="98"/>
                <w:sz w:val="17"/>
              </w:rPr>
              <w:t>、</w:t>
            </w:r>
            <w:r>
              <w:rPr>
                <w:rFonts w:hint="eastAsia" w:ascii="宋体" w:hAnsi="宋体" w:eastAsia="宋体" w:cs="宋体"/>
                <w:spacing w:val="2"/>
                <w:w w:val="117"/>
                <w:sz w:val="17"/>
              </w:rPr>
              <w:t>D</w:t>
            </w:r>
            <w:r>
              <w:rPr>
                <w:rFonts w:hint="eastAsia" w:ascii="宋体" w:hAnsi="宋体" w:eastAsia="宋体" w:cs="宋体"/>
                <w:spacing w:val="2"/>
                <w:w w:val="103"/>
                <w:sz w:val="17"/>
              </w:rPr>
              <w:t>C</w:t>
            </w:r>
            <w:r>
              <w:rPr>
                <w:rFonts w:hint="eastAsia" w:ascii="宋体" w:hAnsi="宋体" w:eastAsia="宋体" w:cs="宋体"/>
                <w:spacing w:val="-14"/>
                <w:w w:val="118"/>
                <w:sz w:val="17"/>
              </w:rPr>
              <w:t>I</w:t>
            </w:r>
            <w:r>
              <w:rPr>
                <w:rFonts w:hint="eastAsia" w:ascii="宋体" w:hAnsi="宋体" w:eastAsia="宋体" w:cs="宋体"/>
                <w:spacing w:val="-1"/>
                <w:w w:val="71"/>
                <w:sz w:val="17"/>
              </w:rPr>
              <w:t>-</w:t>
            </w:r>
            <w:r>
              <w:rPr>
                <w:rFonts w:hint="eastAsia" w:ascii="宋体" w:hAnsi="宋体" w:eastAsia="宋体" w:cs="宋体"/>
                <w:spacing w:val="6"/>
                <w:w w:val="96"/>
                <w:sz w:val="17"/>
              </w:rPr>
              <w:t>P</w:t>
            </w:r>
            <w:r>
              <w:rPr>
                <w:rFonts w:hint="eastAsia" w:ascii="宋体" w:hAnsi="宋体" w:eastAsia="宋体" w:cs="宋体"/>
                <w:spacing w:val="1"/>
                <w:w w:val="125"/>
                <w:sz w:val="17"/>
              </w:rPr>
              <w:t>3</w:t>
            </w:r>
            <w:r>
              <w:rPr>
                <w:rFonts w:hint="eastAsia" w:ascii="宋体" w:hAnsi="宋体" w:eastAsia="宋体" w:cs="宋体"/>
                <w:w w:val="98"/>
                <w:sz w:val="17"/>
              </w:rPr>
              <w:t>、</w:t>
            </w:r>
            <w:r>
              <w:rPr>
                <w:rFonts w:hint="eastAsia" w:ascii="宋体" w:hAnsi="宋体" w:eastAsia="宋体" w:cs="宋体"/>
                <w:spacing w:val="6"/>
                <w:w w:val="96"/>
                <w:sz w:val="17"/>
              </w:rPr>
              <w:t>P</w:t>
            </w:r>
            <w:r>
              <w:rPr>
                <w:rFonts w:hint="eastAsia" w:ascii="宋体" w:hAnsi="宋体" w:eastAsia="宋体" w:cs="宋体"/>
                <w:spacing w:val="-7"/>
                <w:w w:val="106"/>
                <w:sz w:val="17"/>
              </w:rPr>
              <w:t>A</w:t>
            </w:r>
            <w:r>
              <w:rPr>
                <w:rFonts w:hint="eastAsia" w:ascii="宋体" w:hAnsi="宋体" w:eastAsia="宋体" w:cs="宋体"/>
                <w:spacing w:val="-10"/>
                <w:w w:val="102"/>
                <w:sz w:val="17"/>
              </w:rPr>
              <w:t>L</w:t>
            </w:r>
            <w:r>
              <w:rPr>
                <w:rFonts w:hint="eastAsia" w:ascii="宋体" w:hAnsi="宋体" w:eastAsia="宋体" w:cs="宋体"/>
                <w:w w:val="98"/>
                <w:sz w:val="17"/>
              </w:rPr>
              <w:t xml:space="preserve">、 </w:t>
            </w:r>
            <w:r>
              <w:rPr>
                <w:rFonts w:hint="eastAsia" w:ascii="宋体" w:hAnsi="宋体" w:eastAsia="宋体" w:cs="宋体"/>
                <w:w w:val="110"/>
                <w:sz w:val="17"/>
              </w:rPr>
              <w:t>Rec.709；</w:t>
            </w:r>
          </w:p>
          <w:p>
            <w:pPr>
              <w:pStyle w:val="19"/>
              <w:numPr>
                <w:ilvl w:val="0"/>
                <w:numId w:val="39"/>
              </w:numPr>
              <w:tabs>
                <w:tab w:val="left" w:pos="372"/>
              </w:tabs>
              <w:spacing w:before="2"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支持通过网络控制设备，支持</w:t>
            </w:r>
            <w:r>
              <w:rPr>
                <w:rFonts w:hint="eastAsia" w:ascii="宋体" w:hAnsi="宋体" w:eastAsia="宋体" w:cs="宋体"/>
                <w:spacing w:val="4"/>
                <w:w w:val="105"/>
                <w:sz w:val="17"/>
              </w:rPr>
              <w:t>TCP</w:t>
            </w:r>
            <w:r>
              <w:rPr>
                <w:rFonts w:hint="eastAsia" w:ascii="宋体" w:hAnsi="宋体" w:eastAsia="宋体" w:cs="宋体"/>
                <w:w w:val="105"/>
                <w:sz w:val="17"/>
              </w:rPr>
              <w:t>和UDP；</w:t>
            </w:r>
          </w:p>
          <w:p>
            <w:pPr>
              <w:pStyle w:val="19"/>
              <w:numPr>
                <w:ilvl w:val="0"/>
                <w:numId w:val="39"/>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为防止他人误操作，控制系统具有管理权限；</w:t>
            </w:r>
          </w:p>
          <w:p>
            <w:pPr>
              <w:pStyle w:val="19"/>
              <w:numPr>
                <w:ilvl w:val="0"/>
                <w:numId w:val="39"/>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控制系统支持3D应用显示；【提供此功能的证明资料】</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60"/>
        <w:ind w:left="120" w:right="0" w:firstLine="0"/>
        <w:jc w:val="left"/>
        <w:rPr>
          <w:rFonts w:hint="eastAsia" w:ascii="宋体" w:hAnsi="宋体" w:eastAsia="宋体" w:cs="宋体"/>
          <w:b/>
          <w:sz w:val="19"/>
        </w:rPr>
      </w:pPr>
      <w:r>
        <w:rPr>
          <w:rFonts w:hint="eastAsia" w:ascii="宋体" w:hAnsi="宋体" w:eastAsia="宋体" w:cs="宋体"/>
          <w:b/>
          <w:sz w:val="19"/>
        </w:rPr>
        <w:t>附表三：屏幕结构及包边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01"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75"/>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40"/>
              </w:numPr>
              <w:tabs>
                <w:tab w:val="left" w:pos="264"/>
              </w:tabs>
              <w:spacing w:before="80" w:after="0" w:line="422" w:lineRule="auto"/>
              <w:ind w:left="100" w:right="121" w:firstLine="0"/>
              <w:jc w:val="left"/>
              <w:rPr>
                <w:rFonts w:hint="eastAsia" w:ascii="宋体" w:hAnsi="宋体" w:eastAsia="宋体" w:cs="宋体"/>
                <w:sz w:val="17"/>
              </w:rPr>
            </w:pPr>
            <w:r>
              <w:rPr>
                <w:rFonts w:hint="eastAsia" w:ascii="宋体" w:hAnsi="宋体" w:eastAsia="宋体" w:cs="宋体"/>
                <w:spacing w:val="-1"/>
                <w:w w:val="95"/>
                <w:sz w:val="17"/>
              </w:rPr>
              <w:t xml:space="preserve">主框架采用：角铁、方管、槽钢、铁板、化学螺栓、膨胀螺钉和辅材；主框架为保证安全以及平整度，需要采用焊接   </w:t>
            </w:r>
            <w:r>
              <w:rPr>
                <w:rFonts w:hint="eastAsia" w:ascii="宋体" w:hAnsi="宋体" w:eastAsia="宋体" w:cs="宋体"/>
                <w:sz w:val="17"/>
              </w:rPr>
              <w:t>方式，牢固焊接制作；</w:t>
            </w:r>
          </w:p>
          <w:p>
            <w:pPr>
              <w:pStyle w:val="19"/>
              <w:numPr>
                <w:ilvl w:val="0"/>
                <w:numId w:val="40"/>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因该项目使用单位和场合的特殊性；</w:t>
            </w:r>
          </w:p>
          <w:p>
            <w:pPr>
              <w:pStyle w:val="19"/>
              <w:numPr>
                <w:ilvl w:val="0"/>
                <w:numId w:val="4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显示屏为贴墙安装，显示屏的厚度≤25CM；</w:t>
            </w:r>
          </w:p>
          <w:p>
            <w:pPr>
              <w:pStyle w:val="19"/>
              <w:numPr>
                <w:ilvl w:val="0"/>
                <w:numId w:val="4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包含动力电缆，音频线，网线等综合；</w:t>
            </w:r>
          </w:p>
          <w:p>
            <w:pPr>
              <w:pStyle w:val="19"/>
              <w:numPr>
                <w:ilvl w:val="0"/>
                <w:numId w:val="40"/>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包含不锈钢包边；</w:t>
            </w:r>
          </w:p>
        </w:tc>
      </w:tr>
    </w:tbl>
    <w:p>
      <w:pPr>
        <w:spacing w:after="0" w:line="240" w:lineRule="auto"/>
        <w:jc w:val="left"/>
        <w:rPr>
          <w:rFonts w:hint="eastAsia" w:ascii="宋体" w:hAnsi="宋体" w:eastAsia="宋体" w:cs="宋体"/>
          <w:sz w:val="17"/>
        </w:rPr>
        <w:sectPr>
          <w:footerReference r:id="rId8" w:type="default"/>
          <w:pgSz w:w="11900" w:h="16840"/>
          <w:pgMar w:top="560" w:right="560" w:bottom="280" w:left="540" w:header="0" w:footer="93" w:gutter="0"/>
          <w:pgNumType w:start="20"/>
          <w:cols w:space="720" w:num="1"/>
        </w:sectPr>
      </w:pPr>
    </w:p>
    <w:p>
      <w:pPr>
        <w:pStyle w:val="9"/>
        <w:ind w:left="1182"/>
        <w:rPr>
          <w:rFonts w:hint="eastAsia" w:ascii="宋体" w:hAnsi="宋体" w:eastAsia="宋体" w:cs="宋体"/>
          <w:sz w:val="20"/>
        </w:rPr>
      </w:pPr>
      <w:r>
        <w:rPr>
          <w:rFonts w:hint="eastAsia" w:ascii="宋体" w:hAnsi="宋体" w:eastAsia="宋体" w:cs="宋体"/>
          <w:position w:val="0"/>
          <w:sz w:val="20"/>
        </w:rPr>
        <mc:AlternateContent>
          <mc:Choice Requires="wps">
            <w:drawing>
              <wp:inline distT="0" distB="0" distL="114300" distR="114300">
                <wp:extent cx="6029325" cy="252095"/>
                <wp:effectExtent l="5080" t="4445" r="4445" b="10160"/>
                <wp:docPr id="19" name="文本框 19"/>
                <wp:cNvGraphicFramePr/>
                <a:graphic xmlns:a="http://schemas.openxmlformats.org/drawingml/2006/main">
                  <a:graphicData uri="http://schemas.microsoft.com/office/word/2010/wordprocessingShape">
                    <wps:wsp>
                      <wps:cNvSpPr txBox="1"/>
                      <wps:spPr>
                        <a:xfrm>
                          <a:off x="0" y="0"/>
                          <a:ext cx="6029325" cy="252095"/>
                        </a:xfrm>
                        <a:prstGeom prst="rect">
                          <a:avLst/>
                        </a:prstGeom>
                        <a:noFill/>
                        <a:ln w="7622" cap="flat" cmpd="sng">
                          <a:solidFill>
                            <a:srgbClr val="000000"/>
                          </a:solidFill>
                          <a:prstDash val="solid"/>
                          <a:miter/>
                          <a:headEnd type="none" w="med" len="med"/>
                          <a:tailEnd type="none" w="med" len="med"/>
                        </a:ln>
                      </wps:spPr>
                      <wps:txbx>
                        <w:txbxContent>
                          <w:p>
                            <w:pPr>
                              <w:pStyle w:val="9"/>
                              <w:spacing w:before="62"/>
                              <w:ind w:left="96"/>
                            </w:pPr>
                            <w:r>
                              <w:t>打</w:t>
                            </w:r>
                            <w:r>
                              <w:rPr>
                                <w:rFonts w:hint="eastAsia" w:ascii="MS UI Gothic" w:hAnsi="MS UI Gothic" w:eastAsia="MS UI Gothic"/>
                              </w:rPr>
                              <w:t>“★”</w:t>
                            </w:r>
                            <w:r>
                              <w:t>号条款为实质性条款，若有任何一条负偏离或不满足则导致投标无效。</w:t>
                            </w:r>
                          </w:p>
                        </w:txbxContent>
                      </wps:txbx>
                      <wps:bodyPr lIns="0" tIns="0" rIns="0" bIns="0" upright="1"/>
                    </wps:wsp>
                  </a:graphicData>
                </a:graphic>
              </wp:inline>
            </w:drawing>
          </mc:Choice>
          <mc:Fallback>
            <w:pict>
              <v:shape id="_x0000_s1026" o:spid="_x0000_s1026" o:spt="202" type="#_x0000_t202" style="height:19.85pt;width:474.75pt;" filled="f" stroked="t" coordsize="21600,21600" o:gfxdata="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vlvwe1AAAAAQBAAAPAAAAAAAAAAEA&#10;IAAAACIAAABkcnMvZG93bnJldi54bWxQSwECFAAUAAAACACHTuJA0SuEThMCAAAzBAAADgAAAAAA&#10;AAABACAAAAAjAQAAZHJzL2Uyb0RvYy54bWxQSwUGAAAAAAYABgBZAQAAqAUAAAAA&#10;">
                <v:fill on="f" focussize="0,0"/>
                <v:stroke weight="0.600157480314961pt" color="#000000" joinstyle="miter"/>
                <v:imagedata o:title=""/>
                <o:lock v:ext="edit" aspectratio="f"/>
                <v:textbox inset="0mm,0mm,0mm,0mm">
                  <w:txbxContent>
                    <w:p>
                      <w:pPr>
                        <w:pStyle w:val="9"/>
                        <w:spacing w:before="62"/>
                        <w:ind w:left="96"/>
                      </w:pPr>
                      <w:r>
                        <w:t>打</w:t>
                      </w:r>
                      <w:r>
                        <w:rPr>
                          <w:rFonts w:hint="eastAsia" w:ascii="MS UI Gothic" w:hAnsi="MS UI Gothic" w:eastAsia="MS UI Gothic"/>
                        </w:rPr>
                        <w:t>“★”</w:t>
                      </w:r>
                      <w:r>
                        <w:t>号条款为实质性条款，若有任何一条负偏离或不满足则导致投标无效。</w:t>
                      </w:r>
                    </w:p>
                  </w:txbxContent>
                </v:textbox>
                <w10:wrap type="none"/>
                <w10:anchorlock/>
              </v:shape>
            </w:pict>
          </mc:Fallback>
        </mc:AlternateContent>
      </w:r>
    </w:p>
    <w:p>
      <w:pPr>
        <w:spacing w:before="5"/>
        <w:ind w:left="120" w:right="0" w:firstLine="0"/>
        <w:jc w:val="left"/>
        <w:rPr>
          <w:rFonts w:hint="eastAsia" w:ascii="宋体" w:hAnsi="宋体" w:eastAsia="宋体" w:cs="宋体"/>
          <w:b/>
          <w:sz w:val="19"/>
        </w:rPr>
      </w:pPr>
      <w:r>
        <w:rPr>
          <w:rFonts w:hint="eastAsia" w:ascii="宋体" w:hAnsi="宋体" w:eastAsia="宋体" w:cs="宋体"/>
        </w:rPr>
        <mc:AlternateContent>
          <mc:Choice Requires="wps">
            <w:drawing>
              <wp:anchor distT="0" distB="0" distL="114300" distR="114300" simplePos="0" relativeHeight="251665408" behindDoc="0" locked="0" layoutInCell="1" allowOverlap="1">
                <wp:simplePos x="0" y="0"/>
                <wp:positionH relativeFrom="page">
                  <wp:posOffset>426720</wp:posOffset>
                </wp:positionH>
                <wp:positionV relativeFrom="paragraph">
                  <wp:posOffset>-283845</wp:posOffset>
                </wp:positionV>
                <wp:extent cx="671195" cy="252095"/>
                <wp:effectExtent l="5080" t="5080" r="9525" b="9525"/>
                <wp:wrapNone/>
                <wp:docPr id="21" name="文本框 21"/>
                <wp:cNvGraphicFramePr/>
                <a:graphic xmlns:a="http://schemas.openxmlformats.org/drawingml/2006/main">
                  <a:graphicData uri="http://schemas.microsoft.com/office/word/2010/wordprocessingShape">
                    <wps:wsp>
                      <wps:cNvSpPr txBox="1"/>
                      <wps:spPr>
                        <a:xfrm>
                          <a:off x="0" y="0"/>
                          <a:ext cx="671195" cy="252095"/>
                        </a:xfrm>
                        <a:prstGeom prst="rect">
                          <a:avLst/>
                        </a:prstGeom>
                        <a:noFill/>
                        <a:ln w="7622" cap="flat" cmpd="sng">
                          <a:solidFill>
                            <a:srgbClr val="000000"/>
                          </a:solidFill>
                          <a:prstDash val="solid"/>
                          <a:miter/>
                          <a:headEnd type="none" w="med" len="med"/>
                          <a:tailEnd type="none" w="med" len="med"/>
                        </a:ln>
                      </wps:spPr>
                      <wps:txbx>
                        <w:txbxContent>
                          <w:p>
                            <w:pPr>
                              <w:pStyle w:val="9"/>
                              <w:spacing w:before="62"/>
                              <w:ind w:left="96"/>
                            </w:pPr>
                            <w:r>
                              <w:t>说明</w:t>
                            </w:r>
                          </w:p>
                        </w:txbxContent>
                      </wps:txbx>
                      <wps:bodyPr lIns="0" tIns="0" rIns="0" bIns="0" upright="1"/>
                    </wps:wsp>
                  </a:graphicData>
                </a:graphic>
              </wp:anchor>
            </w:drawing>
          </mc:Choice>
          <mc:Fallback>
            <w:pict>
              <v:shape id="_x0000_s1026" o:spid="_x0000_s1026" o:spt="202" type="#_x0000_t202" style="position:absolute;left:0pt;margin-left:33.6pt;margin-top:-22.35pt;height:19.85pt;width:52.85pt;mso-position-horizontal-relative:page;z-index:251665408;mso-width-relative:page;mso-height-relative:page;" filled="f" stroked="t" coordsize="21600,21600" o:gfxdata="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2M6hv1wAAAAkBAAAPAAAAAAAA&#10;AAEAIAAAACIAAABkcnMvZG93bnJldi54bWxQSwECFAAUAAAACACHTuJAkQVKARMCAAAyBAAADgAA&#10;AAAAAAABACAAAAAmAQAAZHJzL2Uyb0RvYy54bWxQSwUGAAAAAAYABgBZAQAAqwUAAAAA&#10;">
                <v:fill on="f" focussize="0,0"/>
                <v:stroke weight="0.600157480314961pt" color="#000000" joinstyle="miter"/>
                <v:imagedata o:title=""/>
                <o:lock v:ext="edit" aspectratio="f"/>
                <v:textbox inset="0mm,0mm,0mm,0mm">
                  <w:txbxContent>
                    <w:p>
                      <w:pPr>
                        <w:pStyle w:val="9"/>
                        <w:spacing w:before="62"/>
                        <w:ind w:left="96"/>
                      </w:pPr>
                      <w:r>
                        <w:t>说明</w:t>
                      </w:r>
                    </w:p>
                  </w:txbxContent>
                </v:textbox>
              </v:shape>
            </w:pict>
          </mc:Fallback>
        </mc:AlternateContent>
      </w:r>
      <w:r>
        <w:rPr>
          <w:rFonts w:hint="eastAsia" w:ascii="宋体" w:hAnsi="宋体" w:eastAsia="宋体" w:cs="宋体"/>
          <w:b/>
          <w:sz w:val="19"/>
        </w:rPr>
        <w:t>附表四：立体眼镜发射器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53"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87"/>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spacing w:before="80"/>
              <w:ind w:left="100"/>
              <w:rPr>
                <w:rFonts w:hint="eastAsia" w:ascii="宋体" w:hAnsi="宋体" w:eastAsia="宋体" w:cs="宋体"/>
                <w:sz w:val="17"/>
              </w:rPr>
            </w:pPr>
            <w:r>
              <w:rPr>
                <w:rFonts w:hint="eastAsia" w:ascii="宋体" w:hAnsi="宋体" w:eastAsia="宋体" w:cs="宋体"/>
                <w:spacing w:val="1"/>
                <w:w w:val="125"/>
                <w:sz w:val="17"/>
              </w:rPr>
              <w:t>1</w:t>
            </w:r>
            <w:r>
              <w:rPr>
                <w:rFonts w:hint="eastAsia" w:ascii="宋体" w:hAnsi="宋体" w:eastAsia="宋体" w:cs="宋体"/>
                <w:spacing w:val="-6"/>
                <w:w w:val="154"/>
                <w:sz w:val="17"/>
              </w:rPr>
              <w:t>.</w:t>
            </w:r>
            <w:r>
              <w:rPr>
                <w:rFonts w:hint="eastAsia" w:ascii="宋体" w:hAnsi="宋体" w:eastAsia="宋体" w:cs="宋体"/>
                <w:w w:val="98"/>
                <w:sz w:val="17"/>
              </w:rPr>
              <w:t>频率：</w:t>
            </w:r>
            <w:r>
              <w:rPr>
                <w:rFonts w:hint="eastAsia" w:ascii="宋体" w:hAnsi="宋体" w:eastAsia="宋体" w:cs="宋体"/>
                <w:spacing w:val="1"/>
                <w:w w:val="125"/>
                <w:sz w:val="17"/>
              </w:rPr>
              <w:t>2</w:t>
            </w:r>
            <w:r>
              <w:rPr>
                <w:rFonts w:hint="eastAsia" w:ascii="宋体" w:hAnsi="宋体" w:eastAsia="宋体" w:cs="宋体"/>
                <w:spacing w:val="-6"/>
                <w:w w:val="154"/>
                <w:sz w:val="17"/>
              </w:rPr>
              <w:t>.</w:t>
            </w:r>
            <w:r>
              <w:rPr>
                <w:rFonts w:hint="eastAsia" w:ascii="宋体" w:hAnsi="宋体" w:eastAsia="宋体" w:cs="宋体"/>
                <w:spacing w:val="1"/>
                <w:w w:val="125"/>
                <w:sz w:val="17"/>
              </w:rPr>
              <w:t>45</w:t>
            </w:r>
            <w:r>
              <w:rPr>
                <w:rFonts w:hint="eastAsia" w:ascii="宋体" w:hAnsi="宋体" w:eastAsia="宋体" w:cs="宋体"/>
                <w:spacing w:val="1"/>
                <w:w w:val="112"/>
                <w:sz w:val="17"/>
              </w:rPr>
              <w:t>G</w:t>
            </w:r>
            <w:r>
              <w:rPr>
                <w:rFonts w:hint="eastAsia" w:ascii="宋体" w:hAnsi="宋体" w:eastAsia="宋体" w:cs="宋体"/>
                <w:spacing w:val="3"/>
                <w:w w:val="165"/>
                <w:sz w:val="17"/>
              </w:rPr>
              <w:t>+</w:t>
            </w:r>
            <w:r>
              <w:rPr>
                <w:rFonts w:hint="eastAsia" w:ascii="宋体" w:hAnsi="宋体" w:eastAsia="宋体" w:cs="宋体"/>
                <w:spacing w:val="-1"/>
                <w:w w:val="71"/>
                <w:sz w:val="17"/>
              </w:rPr>
              <w:t>-</w:t>
            </w:r>
            <w:r>
              <w:rPr>
                <w:rFonts w:hint="eastAsia" w:ascii="宋体" w:hAnsi="宋体" w:eastAsia="宋体" w:cs="宋体"/>
                <w:spacing w:val="1"/>
                <w:w w:val="125"/>
                <w:sz w:val="17"/>
              </w:rPr>
              <w:t>500</w:t>
            </w:r>
            <w:r>
              <w:rPr>
                <w:rFonts w:hint="eastAsia" w:ascii="宋体" w:hAnsi="宋体" w:eastAsia="宋体" w:cs="宋体"/>
                <w:spacing w:val="-1"/>
                <w:w w:val="114"/>
                <w:sz w:val="17"/>
              </w:rPr>
              <w:t>M</w:t>
            </w:r>
            <w:r>
              <w:rPr>
                <w:rFonts w:hint="eastAsia" w:ascii="宋体" w:hAnsi="宋体" w:eastAsia="宋体" w:cs="宋体"/>
                <w:spacing w:val="-7"/>
                <w:w w:val="116"/>
                <w:sz w:val="17"/>
              </w:rPr>
              <w:t>H</w:t>
            </w:r>
            <w:r>
              <w:rPr>
                <w:rFonts w:hint="eastAsia" w:ascii="宋体" w:hAnsi="宋体" w:eastAsia="宋体" w:cs="宋体"/>
                <w:spacing w:val="7"/>
                <w:w w:val="113"/>
                <w:sz w:val="17"/>
              </w:rPr>
              <w:t>z</w:t>
            </w:r>
            <w:r>
              <w:rPr>
                <w:rFonts w:hint="eastAsia" w:ascii="宋体" w:hAnsi="宋体" w:eastAsia="宋体" w:cs="宋体"/>
                <w:w w:val="98"/>
                <w:sz w:val="17"/>
              </w:rPr>
              <w:t>；</w:t>
            </w:r>
          </w:p>
          <w:p>
            <w:pPr>
              <w:pStyle w:val="19"/>
              <w:numPr>
                <w:ilvl w:val="0"/>
                <w:numId w:val="41"/>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发射功率：0.3W</w:t>
            </w:r>
            <w:r>
              <w:rPr>
                <w:rFonts w:hint="eastAsia" w:ascii="宋体" w:hAnsi="宋体" w:eastAsia="宋体" w:cs="宋体"/>
                <w:spacing w:val="-20"/>
                <w:w w:val="110"/>
                <w:sz w:val="17"/>
              </w:rPr>
              <w:t xml:space="preserve"> </w:t>
            </w:r>
            <w:r>
              <w:rPr>
                <w:rFonts w:hint="eastAsia" w:ascii="宋体" w:hAnsi="宋体" w:eastAsia="宋体" w:cs="宋体"/>
                <w:spacing w:val="-4"/>
                <w:w w:val="110"/>
                <w:sz w:val="17"/>
              </w:rPr>
              <w:t>MAX；</w:t>
            </w:r>
          </w:p>
          <w:p>
            <w:pPr>
              <w:pStyle w:val="19"/>
              <w:numPr>
                <w:ilvl w:val="0"/>
                <w:numId w:val="4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传输速度：100KHz；</w:t>
            </w:r>
          </w:p>
          <w:p>
            <w:pPr>
              <w:pStyle w:val="19"/>
              <w:numPr>
                <w:ilvl w:val="0"/>
                <w:numId w:val="4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pacing w:val="-1"/>
                <w:w w:val="110"/>
                <w:sz w:val="17"/>
              </w:rPr>
              <w:t>峰值功率：</w:t>
            </w:r>
            <w:r>
              <w:rPr>
                <w:rFonts w:hint="eastAsia" w:ascii="宋体" w:hAnsi="宋体" w:eastAsia="宋体" w:cs="宋体"/>
                <w:spacing w:val="-3"/>
                <w:w w:val="110"/>
                <w:sz w:val="17"/>
              </w:rPr>
              <w:t>0.3W；</w:t>
            </w:r>
          </w:p>
          <w:p>
            <w:pPr>
              <w:pStyle w:val="19"/>
              <w:numPr>
                <w:ilvl w:val="0"/>
                <w:numId w:val="4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工作电流：≤100mA；</w:t>
            </w:r>
          </w:p>
          <w:p>
            <w:pPr>
              <w:pStyle w:val="19"/>
              <w:numPr>
                <w:ilvl w:val="0"/>
                <w:numId w:val="41"/>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天线增益：2DB</w:t>
            </w:r>
            <w:r>
              <w:rPr>
                <w:rFonts w:hint="eastAsia" w:ascii="宋体" w:hAnsi="宋体" w:eastAsia="宋体" w:cs="宋体"/>
                <w:spacing w:val="-6"/>
                <w:w w:val="110"/>
                <w:sz w:val="17"/>
              </w:rPr>
              <w:t xml:space="preserve"> </w:t>
            </w:r>
            <w:r>
              <w:rPr>
                <w:rFonts w:hint="eastAsia" w:ascii="宋体" w:hAnsi="宋体" w:eastAsia="宋体" w:cs="宋体"/>
                <w:w w:val="110"/>
                <w:sz w:val="17"/>
              </w:rPr>
              <w:t>5DB</w:t>
            </w:r>
            <w:r>
              <w:rPr>
                <w:rFonts w:hint="eastAsia" w:ascii="宋体" w:hAnsi="宋体" w:eastAsia="宋体" w:cs="宋体"/>
                <w:spacing w:val="-5"/>
                <w:w w:val="110"/>
                <w:sz w:val="17"/>
              </w:rPr>
              <w:t xml:space="preserve"> </w:t>
            </w:r>
            <w:r>
              <w:rPr>
                <w:rFonts w:hint="eastAsia" w:ascii="宋体" w:hAnsi="宋体" w:eastAsia="宋体" w:cs="宋体"/>
                <w:w w:val="110"/>
                <w:sz w:val="17"/>
              </w:rPr>
              <w:t>8DB</w:t>
            </w:r>
            <w:r>
              <w:rPr>
                <w:rFonts w:hint="eastAsia" w:ascii="宋体" w:hAnsi="宋体" w:eastAsia="宋体" w:cs="宋体"/>
                <w:spacing w:val="-6"/>
                <w:w w:val="110"/>
                <w:sz w:val="17"/>
              </w:rPr>
              <w:t xml:space="preserve"> </w:t>
            </w:r>
            <w:r>
              <w:rPr>
                <w:rFonts w:hint="eastAsia" w:ascii="宋体" w:hAnsi="宋体" w:eastAsia="宋体" w:cs="宋体"/>
                <w:w w:val="110"/>
                <w:sz w:val="17"/>
              </w:rPr>
              <w:t>12DB</w:t>
            </w:r>
            <w:r>
              <w:rPr>
                <w:rFonts w:hint="eastAsia" w:ascii="宋体" w:hAnsi="宋体" w:eastAsia="宋体" w:cs="宋体"/>
                <w:spacing w:val="-5"/>
                <w:w w:val="110"/>
                <w:sz w:val="17"/>
              </w:rPr>
              <w:t xml:space="preserve"> </w:t>
            </w:r>
            <w:r>
              <w:rPr>
                <w:rFonts w:hint="eastAsia" w:ascii="宋体" w:hAnsi="宋体" w:eastAsia="宋体" w:cs="宋体"/>
                <w:w w:val="110"/>
                <w:sz w:val="17"/>
              </w:rPr>
              <w:t>14DB</w:t>
            </w:r>
            <w:r>
              <w:rPr>
                <w:rFonts w:hint="eastAsia" w:ascii="宋体" w:hAnsi="宋体" w:eastAsia="宋体" w:cs="宋体"/>
                <w:spacing w:val="-5"/>
                <w:w w:val="110"/>
                <w:sz w:val="17"/>
              </w:rPr>
              <w:t xml:space="preserve"> </w:t>
            </w:r>
            <w:r>
              <w:rPr>
                <w:rFonts w:hint="eastAsia" w:ascii="宋体" w:hAnsi="宋体" w:eastAsia="宋体" w:cs="宋体"/>
                <w:w w:val="110"/>
                <w:sz w:val="17"/>
              </w:rPr>
              <w:t>可选；</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7</w:t>
            </w:r>
            <w:r>
              <w:rPr>
                <w:rFonts w:hint="eastAsia" w:ascii="宋体" w:hAnsi="宋体" w:eastAsia="宋体" w:cs="宋体"/>
                <w:spacing w:val="-6"/>
                <w:w w:val="154"/>
                <w:sz w:val="17"/>
              </w:rPr>
              <w:t>.</w:t>
            </w:r>
            <w:r>
              <w:rPr>
                <w:rFonts w:hint="eastAsia" w:ascii="宋体" w:hAnsi="宋体" w:eastAsia="宋体" w:cs="宋体"/>
                <w:w w:val="98"/>
                <w:sz w:val="17"/>
              </w:rPr>
              <w:t>工作温度：</w:t>
            </w:r>
            <w:r>
              <w:rPr>
                <w:rFonts w:hint="eastAsia" w:ascii="宋体" w:hAnsi="宋体" w:eastAsia="宋体" w:cs="宋体"/>
                <w:spacing w:val="-1"/>
                <w:w w:val="71"/>
                <w:sz w:val="17"/>
              </w:rPr>
              <w:t>-</w:t>
            </w:r>
            <w:r>
              <w:rPr>
                <w:rFonts w:hint="eastAsia" w:ascii="宋体" w:hAnsi="宋体" w:eastAsia="宋体" w:cs="宋体"/>
                <w:spacing w:val="1"/>
                <w:w w:val="125"/>
                <w:sz w:val="17"/>
              </w:rPr>
              <w:t>10</w:t>
            </w:r>
            <w:r>
              <w:rPr>
                <w:rFonts w:hint="eastAsia" w:ascii="宋体" w:hAnsi="宋体" w:eastAsia="宋体" w:cs="宋体"/>
                <w:spacing w:val="3"/>
                <w:w w:val="111"/>
                <w:sz w:val="17"/>
              </w:rPr>
              <w:t>℃</w:t>
            </w:r>
            <w:r>
              <w:rPr>
                <w:rFonts w:hint="eastAsia" w:ascii="宋体" w:hAnsi="宋体" w:eastAsia="宋体" w:cs="宋体"/>
                <w:spacing w:val="3"/>
                <w:w w:val="200"/>
                <w:sz w:val="17"/>
              </w:rPr>
              <w:t>~</w:t>
            </w:r>
            <w:r>
              <w:rPr>
                <w:rFonts w:hint="eastAsia" w:ascii="宋体" w:hAnsi="宋体" w:eastAsia="宋体" w:cs="宋体"/>
                <w:spacing w:val="1"/>
                <w:w w:val="125"/>
                <w:sz w:val="17"/>
              </w:rPr>
              <w:t>70</w:t>
            </w:r>
            <w:r>
              <w:rPr>
                <w:rFonts w:hint="eastAsia" w:ascii="宋体" w:hAnsi="宋体" w:eastAsia="宋体" w:cs="宋体"/>
                <w:spacing w:val="3"/>
                <w:w w:val="111"/>
                <w:sz w:val="17"/>
              </w:rPr>
              <w:t>℃</w:t>
            </w:r>
            <w:r>
              <w:rPr>
                <w:rFonts w:hint="eastAsia" w:ascii="宋体" w:hAnsi="宋体" w:eastAsia="宋体" w:cs="宋体"/>
                <w:w w:val="98"/>
                <w:sz w:val="17"/>
              </w:rPr>
              <w:t>；</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8</w:t>
            </w:r>
            <w:r>
              <w:rPr>
                <w:rFonts w:hint="eastAsia" w:ascii="宋体" w:hAnsi="宋体" w:eastAsia="宋体" w:cs="宋体"/>
                <w:spacing w:val="-6"/>
                <w:w w:val="154"/>
                <w:sz w:val="17"/>
              </w:rPr>
              <w:t>.</w:t>
            </w:r>
            <w:r>
              <w:rPr>
                <w:rFonts w:hint="eastAsia" w:ascii="宋体" w:hAnsi="宋体" w:eastAsia="宋体" w:cs="宋体"/>
                <w:w w:val="98"/>
                <w:sz w:val="17"/>
              </w:rPr>
              <w:t>传输角度：</w:t>
            </w:r>
            <w:r>
              <w:rPr>
                <w:rFonts w:hint="eastAsia" w:ascii="宋体" w:hAnsi="宋体" w:eastAsia="宋体" w:cs="宋体"/>
                <w:spacing w:val="1"/>
                <w:w w:val="125"/>
                <w:sz w:val="17"/>
              </w:rPr>
              <w:t>360</w:t>
            </w:r>
            <w:r>
              <w:rPr>
                <w:rFonts w:hint="eastAsia" w:ascii="宋体" w:hAnsi="宋体" w:eastAsia="宋体" w:cs="宋体"/>
                <w:w w:val="49"/>
                <w:sz w:val="17"/>
              </w:rPr>
              <w:t>°</w:t>
            </w:r>
            <w:r>
              <w:rPr>
                <w:rFonts w:hint="eastAsia" w:ascii="宋体" w:hAnsi="宋体" w:eastAsia="宋体" w:cs="宋体"/>
                <w:spacing w:val="3"/>
                <w:w w:val="82"/>
                <w:sz w:val="17"/>
              </w:rPr>
              <w:t>±</w:t>
            </w:r>
            <w:r>
              <w:rPr>
                <w:rFonts w:hint="eastAsia" w:ascii="宋体" w:hAnsi="宋体" w:eastAsia="宋体" w:cs="宋体"/>
                <w:spacing w:val="1"/>
                <w:w w:val="125"/>
                <w:sz w:val="17"/>
              </w:rPr>
              <w:t>5</w:t>
            </w:r>
            <w:r>
              <w:rPr>
                <w:rFonts w:hint="eastAsia" w:ascii="宋体" w:hAnsi="宋体" w:eastAsia="宋体" w:cs="宋体"/>
                <w:spacing w:val="-4"/>
                <w:w w:val="187"/>
                <w:sz w:val="17"/>
              </w:rPr>
              <w:t>%</w:t>
            </w:r>
            <w:r>
              <w:rPr>
                <w:rFonts w:hint="eastAsia" w:ascii="宋体" w:hAnsi="宋体" w:eastAsia="宋体" w:cs="宋体"/>
                <w:w w:val="98"/>
                <w:sz w:val="17"/>
              </w:rPr>
              <w:t>；</w:t>
            </w:r>
          </w:p>
          <w:p>
            <w:pPr>
              <w:pStyle w:val="19"/>
              <w:spacing w:before="167"/>
              <w:ind w:left="100"/>
              <w:rPr>
                <w:rFonts w:hint="eastAsia" w:ascii="宋体" w:hAnsi="宋体" w:eastAsia="宋体" w:cs="宋体"/>
                <w:sz w:val="17"/>
              </w:rPr>
            </w:pPr>
            <w:r>
              <w:rPr>
                <w:rFonts w:hint="eastAsia" w:ascii="宋体" w:hAnsi="宋体" w:eastAsia="宋体" w:cs="宋体"/>
                <w:w w:val="120"/>
                <w:sz w:val="17"/>
              </w:rPr>
              <w:t>9.传输距离：正向不大于110米，反向不大于90米；</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z w:val="19"/>
        </w:rPr>
        <w:t>附表五：立体眼镜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22"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8"/>
              <w:rPr>
                <w:rFonts w:hint="eastAsia" w:ascii="宋体" w:hAnsi="宋体" w:eastAsia="宋体" w:cs="宋体"/>
                <w:b/>
                <w:sz w:val="22"/>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spacing w:before="80"/>
              <w:ind w:left="100"/>
              <w:rPr>
                <w:rFonts w:hint="eastAsia" w:ascii="宋体" w:hAnsi="宋体" w:eastAsia="宋体" w:cs="宋体"/>
                <w:sz w:val="17"/>
              </w:rPr>
            </w:pPr>
            <w:r>
              <w:rPr>
                <w:rFonts w:hint="eastAsia" w:ascii="宋体" w:hAnsi="宋体" w:eastAsia="宋体" w:cs="宋体"/>
                <w:spacing w:val="1"/>
                <w:w w:val="125"/>
                <w:sz w:val="17"/>
              </w:rPr>
              <w:t>1</w:t>
            </w:r>
            <w:r>
              <w:rPr>
                <w:rFonts w:hint="eastAsia" w:ascii="宋体" w:hAnsi="宋体" w:eastAsia="宋体" w:cs="宋体"/>
                <w:spacing w:val="-6"/>
                <w:w w:val="154"/>
                <w:sz w:val="17"/>
              </w:rPr>
              <w:t>.</w:t>
            </w:r>
            <w:r>
              <w:rPr>
                <w:rFonts w:hint="eastAsia" w:ascii="宋体" w:hAnsi="宋体" w:eastAsia="宋体" w:cs="宋体"/>
                <w:w w:val="98"/>
                <w:sz w:val="17"/>
              </w:rPr>
              <w:t>光学特性：工作模式为液晶快门式，透过率：</w:t>
            </w:r>
            <w:r>
              <w:rPr>
                <w:rFonts w:hint="eastAsia" w:ascii="宋体" w:hAnsi="宋体" w:eastAsia="宋体" w:cs="宋体"/>
                <w:spacing w:val="1"/>
                <w:w w:val="125"/>
                <w:sz w:val="17"/>
              </w:rPr>
              <w:t>40</w:t>
            </w:r>
            <w:r>
              <w:rPr>
                <w:rFonts w:hint="eastAsia" w:ascii="宋体" w:hAnsi="宋体" w:eastAsia="宋体" w:cs="宋体"/>
                <w:spacing w:val="3"/>
                <w:w w:val="82"/>
                <w:sz w:val="17"/>
              </w:rPr>
              <w:t>±</w:t>
            </w:r>
            <w:r>
              <w:rPr>
                <w:rFonts w:hint="eastAsia" w:ascii="宋体" w:hAnsi="宋体" w:eastAsia="宋体" w:cs="宋体"/>
                <w:spacing w:val="1"/>
                <w:w w:val="125"/>
                <w:sz w:val="17"/>
              </w:rPr>
              <w:t>2</w:t>
            </w:r>
            <w:r>
              <w:rPr>
                <w:rFonts w:hint="eastAsia" w:ascii="宋体" w:hAnsi="宋体" w:eastAsia="宋体" w:cs="宋体"/>
                <w:spacing w:val="-4"/>
                <w:w w:val="187"/>
                <w:sz w:val="17"/>
              </w:rPr>
              <w:t>%</w:t>
            </w:r>
            <w:r>
              <w:rPr>
                <w:rFonts w:hint="eastAsia" w:ascii="宋体" w:hAnsi="宋体" w:eastAsia="宋体" w:cs="宋体"/>
                <w:w w:val="98"/>
                <w:sz w:val="17"/>
              </w:rPr>
              <w:t>（</w:t>
            </w:r>
            <w:r>
              <w:rPr>
                <w:rFonts w:hint="eastAsia" w:ascii="宋体" w:hAnsi="宋体" w:eastAsia="宋体" w:cs="宋体"/>
                <w:spacing w:val="5"/>
                <w:w w:val="102"/>
                <w:sz w:val="17"/>
              </w:rPr>
              <w:t>TY</w:t>
            </w:r>
            <w:r>
              <w:rPr>
                <w:rFonts w:hint="eastAsia" w:ascii="宋体" w:hAnsi="宋体" w:eastAsia="宋体" w:cs="宋体"/>
                <w:spacing w:val="6"/>
                <w:w w:val="96"/>
                <w:sz w:val="17"/>
              </w:rPr>
              <w:t>P</w:t>
            </w:r>
            <w:r>
              <w:rPr>
                <w:rFonts w:hint="eastAsia" w:ascii="宋体" w:hAnsi="宋体" w:eastAsia="宋体" w:cs="宋体"/>
                <w:spacing w:val="-6"/>
                <w:w w:val="154"/>
                <w:sz w:val="17"/>
              </w:rPr>
              <w:t>.</w:t>
            </w:r>
            <w:r>
              <w:rPr>
                <w:rFonts w:hint="eastAsia" w:ascii="宋体" w:hAnsi="宋体" w:eastAsia="宋体" w:cs="宋体"/>
                <w:w w:val="98"/>
                <w:sz w:val="17"/>
              </w:rPr>
              <w:t>），对比度</w:t>
            </w:r>
            <w:r>
              <w:rPr>
                <w:rFonts w:hint="eastAsia" w:ascii="宋体" w:hAnsi="宋体" w:eastAsia="宋体" w:cs="宋体"/>
                <w:spacing w:val="1"/>
                <w:w w:val="125"/>
                <w:sz w:val="17"/>
              </w:rPr>
              <w:t>1000</w:t>
            </w:r>
            <w:r>
              <w:rPr>
                <w:rFonts w:hint="eastAsia" w:ascii="宋体" w:hAnsi="宋体" w:eastAsia="宋体" w:cs="宋体"/>
                <w:w w:val="98"/>
                <w:sz w:val="17"/>
              </w:rPr>
              <w:t>：</w:t>
            </w:r>
            <w:r>
              <w:rPr>
                <w:rFonts w:hint="eastAsia" w:ascii="宋体" w:hAnsi="宋体" w:eastAsia="宋体" w:cs="宋体"/>
                <w:spacing w:val="1"/>
                <w:w w:val="125"/>
                <w:sz w:val="17"/>
              </w:rPr>
              <w:t>1</w:t>
            </w:r>
            <w:r>
              <w:rPr>
                <w:rFonts w:hint="eastAsia" w:ascii="宋体" w:hAnsi="宋体" w:eastAsia="宋体" w:cs="宋体"/>
                <w:w w:val="98"/>
                <w:sz w:val="17"/>
              </w:rPr>
              <w:t>；</w:t>
            </w:r>
          </w:p>
          <w:p>
            <w:pPr>
              <w:pStyle w:val="19"/>
              <w:spacing w:before="167"/>
              <w:ind w:left="100"/>
              <w:rPr>
                <w:rFonts w:hint="eastAsia" w:ascii="宋体" w:hAnsi="宋体" w:eastAsia="宋体" w:cs="宋体"/>
                <w:sz w:val="17"/>
              </w:rPr>
            </w:pPr>
            <w:r>
              <w:rPr>
                <w:rFonts w:hint="eastAsia" w:ascii="宋体" w:hAnsi="宋体" w:eastAsia="宋体" w:cs="宋体"/>
                <w:w w:val="115"/>
                <w:sz w:val="17"/>
              </w:rPr>
              <w:t>2.场频：96-480Hz；</w:t>
            </w:r>
          </w:p>
          <w:p>
            <w:pPr>
              <w:pStyle w:val="19"/>
              <w:numPr>
                <w:ilvl w:val="0"/>
                <w:numId w:val="42"/>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供电方式：充电型眼镜，电池类型为</w:t>
            </w:r>
            <w:r>
              <w:rPr>
                <w:rFonts w:hint="eastAsia" w:ascii="宋体" w:hAnsi="宋体" w:eastAsia="宋体" w:cs="宋体"/>
                <w:spacing w:val="-3"/>
                <w:w w:val="110"/>
                <w:sz w:val="17"/>
              </w:rPr>
              <w:t>3.7V</w:t>
            </w:r>
            <w:r>
              <w:rPr>
                <w:rFonts w:hint="eastAsia" w:ascii="宋体" w:hAnsi="宋体" w:eastAsia="宋体" w:cs="宋体"/>
                <w:w w:val="110"/>
                <w:sz w:val="17"/>
              </w:rPr>
              <w:t>锂电池，容量≥45Mah；</w:t>
            </w:r>
          </w:p>
          <w:p>
            <w:pPr>
              <w:pStyle w:val="19"/>
              <w:numPr>
                <w:ilvl w:val="0"/>
                <w:numId w:val="42"/>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连续工作时间：≥60小时；</w:t>
            </w:r>
          </w:p>
          <w:p>
            <w:pPr>
              <w:pStyle w:val="19"/>
              <w:numPr>
                <w:ilvl w:val="0"/>
                <w:numId w:val="42"/>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响应时间：≤1.5ms；</w:t>
            </w:r>
          </w:p>
          <w:p>
            <w:pPr>
              <w:pStyle w:val="19"/>
              <w:numPr>
                <w:ilvl w:val="0"/>
                <w:numId w:val="42"/>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额定工作电流：≤0.8mA；</w:t>
            </w:r>
          </w:p>
          <w:p>
            <w:pPr>
              <w:pStyle w:val="19"/>
              <w:numPr>
                <w:ilvl w:val="0"/>
                <w:numId w:val="42"/>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充电时间：2小时以内；</w:t>
            </w:r>
          </w:p>
          <w:p>
            <w:pPr>
              <w:pStyle w:val="19"/>
              <w:numPr>
                <w:ilvl w:val="0"/>
                <w:numId w:val="42"/>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射频传输特性：接收距离≥80M；（配合立体信号发射器使用）</w:t>
            </w:r>
          </w:p>
          <w:p>
            <w:pPr>
              <w:pStyle w:val="19"/>
              <w:spacing w:before="167"/>
              <w:ind w:left="100"/>
              <w:rPr>
                <w:rFonts w:hint="eastAsia" w:ascii="宋体" w:hAnsi="宋体" w:eastAsia="宋体" w:cs="宋体"/>
                <w:sz w:val="17"/>
              </w:rPr>
            </w:pPr>
            <w:r>
              <w:rPr>
                <w:rFonts w:hint="eastAsia" w:ascii="宋体" w:hAnsi="宋体" w:eastAsia="宋体" w:cs="宋体"/>
                <w:spacing w:val="1"/>
                <w:w w:val="125"/>
                <w:sz w:val="17"/>
              </w:rPr>
              <w:t>9</w:t>
            </w:r>
            <w:r>
              <w:rPr>
                <w:rFonts w:hint="eastAsia" w:ascii="宋体" w:hAnsi="宋体" w:eastAsia="宋体" w:cs="宋体"/>
                <w:spacing w:val="-6"/>
                <w:w w:val="154"/>
                <w:sz w:val="17"/>
              </w:rPr>
              <w:t>.</w:t>
            </w:r>
            <w:r>
              <w:rPr>
                <w:rFonts w:hint="eastAsia" w:ascii="宋体" w:hAnsi="宋体" w:eastAsia="宋体" w:cs="宋体"/>
                <w:w w:val="98"/>
                <w:sz w:val="17"/>
              </w:rPr>
              <w:t>温度特性：工作温度为</w:t>
            </w:r>
            <w:r>
              <w:rPr>
                <w:rFonts w:hint="eastAsia" w:ascii="宋体" w:hAnsi="宋体" w:eastAsia="宋体" w:cs="宋体"/>
                <w:spacing w:val="1"/>
                <w:w w:val="125"/>
                <w:sz w:val="17"/>
              </w:rPr>
              <w:t>0</w:t>
            </w:r>
            <w:r>
              <w:rPr>
                <w:rFonts w:hint="eastAsia" w:ascii="宋体" w:hAnsi="宋体" w:eastAsia="宋体" w:cs="宋体"/>
                <w:spacing w:val="3"/>
                <w:w w:val="111"/>
                <w:sz w:val="17"/>
              </w:rPr>
              <w:t>℃</w:t>
            </w:r>
            <w:r>
              <w:rPr>
                <w:rFonts w:hint="eastAsia" w:ascii="宋体" w:hAnsi="宋体" w:eastAsia="宋体" w:cs="宋体"/>
                <w:spacing w:val="3"/>
                <w:w w:val="200"/>
                <w:sz w:val="17"/>
              </w:rPr>
              <w:t>~</w:t>
            </w:r>
            <w:r>
              <w:rPr>
                <w:rFonts w:hint="eastAsia" w:ascii="宋体" w:hAnsi="宋体" w:eastAsia="宋体" w:cs="宋体"/>
                <w:spacing w:val="1"/>
                <w:w w:val="125"/>
                <w:sz w:val="17"/>
              </w:rPr>
              <w:t>50</w:t>
            </w:r>
            <w:r>
              <w:rPr>
                <w:rFonts w:hint="eastAsia" w:ascii="宋体" w:hAnsi="宋体" w:eastAsia="宋体" w:cs="宋体"/>
                <w:spacing w:val="3"/>
                <w:w w:val="111"/>
                <w:sz w:val="17"/>
              </w:rPr>
              <w:t>℃</w:t>
            </w:r>
            <w:r>
              <w:rPr>
                <w:rFonts w:hint="eastAsia" w:ascii="宋体" w:hAnsi="宋体" w:eastAsia="宋体" w:cs="宋体"/>
                <w:w w:val="98"/>
                <w:sz w:val="17"/>
              </w:rPr>
              <w:t>，存储温度为</w:t>
            </w:r>
            <w:r>
              <w:rPr>
                <w:rFonts w:hint="eastAsia" w:ascii="宋体" w:hAnsi="宋体" w:eastAsia="宋体" w:cs="宋体"/>
                <w:spacing w:val="-1"/>
                <w:w w:val="71"/>
                <w:sz w:val="17"/>
              </w:rPr>
              <w:t>-</w:t>
            </w:r>
            <w:r>
              <w:rPr>
                <w:rFonts w:hint="eastAsia" w:ascii="宋体" w:hAnsi="宋体" w:eastAsia="宋体" w:cs="宋体"/>
                <w:spacing w:val="1"/>
                <w:w w:val="125"/>
                <w:sz w:val="17"/>
              </w:rPr>
              <w:t>30</w:t>
            </w:r>
            <w:r>
              <w:rPr>
                <w:rFonts w:hint="eastAsia" w:ascii="宋体" w:hAnsi="宋体" w:eastAsia="宋体" w:cs="宋体"/>
                <w:spacing w:val="3"/>
                <w:w w:val="111"/>
                <w:sz w:val="17"/>
              </w:rPr>
              <w:t>℃</w:t>
            </w:r>
            <w:r>
              <w:rPr>
                <w:rFonts w:hint="eastAsia" w:ascii="宋体" w:hAnsi="宋体" w:eastAsia="宋体" w:cs="宋体"/>
                <w:spacing w:val="3"/>
                <w:w w:val="200"/>
                <w:sz w:val="17"/>
              </w:rPr>
              <w:t>~</w:t>
            </w:r>
            <w:r>
              <w:rPr>
                <w:rFonts w:hint="eastAsia" w:ascii="宋体" w:hAnsi="宋体" w:eastAsia="宋体" w:cs="宋体"/>
                <w:spacing w:val="1"/>
                <w:w w:val="125"/>
                <w:sz w:val="17"/>
              </w:rPr>
              <w:t>70</w:t>
            </w:r>
            <w:r>
              <w:rPr>
                <w:rFonts w:hint="eastAsia" w:ascii="宋体" w:hAnsi="宋体" w:eastAsia="宋体" w:cs="宋体"/>
                <w:spacing w:val="3"/>
                <w:w w:val="111"/>
                <w:sz w:val="17"/>
              </w:rPr>
              <w:t>℃</w:t>
            </w:r>
            <w:r>
              <w:rPr>
                <w:rFonts w:hint="eastAsia" w:ascii="宋体" w:hAnsi="宋体" w:eastAsia="宋体" w:cs="宋体"/>
                <w:w w:val="98"/>
                <w:sz w:val="17"/>
              </w:rPr>
              <w:t>；</w:t>
            </w:r>
          </w:p>
          <w:p>
            <w:pPr>
              <w:pStyle w:val="19"/>
              <w:numPr>
                <w:ilvl w:val="0"/>
                <w:numId w:val="43"/>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10"/>
                <w:sz w:val="17"/>
              </w:rPr>
              <w:t>待机时间：≥45天；</w:t>
            </w:r>
          </w:p>
          <w:p>
            <w:pPr>
              <w:pStyle w:val="19"/>
              <w:numPr>
                <w:ilvl w:val="0"/>
                <w:numId w:val="43"/>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轻量级眼镜重量：≤40g；</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z w:val="19"/>
        </w:rPr>
        <w:t>附表六：图形工作站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pgSz w:w="11900" w:h="16840"/>
          <w:pgMar w:top="580" w:right="560" w:bottom="280" w:left="540" w:header="0" w:footer="9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342"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3"/>
              <w:rPr>
                <w:rFonts w:hint="eastAsia" w:ascii="宋体" w:hAnsi="宋体" w:eastAsia="宋体" w:cs="宋体"/>
                <w:b/>
                <w:sz w:val="27"/>
              </w:rPr>
            </w:pPr>
          </w:p>
          <w:p>
            <w:pPr>
              <w:pStyle w:val="19"/>
              <w:spacing w:before="1"/>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44"/>
              </w:numPr>
              <w:tabs>
                <w:tab w:val="left" w:pos="264"/>
              </w:tabs>
              <w:spacing w:before="80" w:after="0" w:line="422" w:lineRule="auto"/>
              <w:ind w:left="100" w:right="158" w:firstLine="0"/>
              <w:jc w:val="left"/>
              <w:rPr>
                <w:rFonts w:hint="eastAsia" w:ascii="宋体" w:hAnsi="宋体" w:eastAsia="宋体" w:cs="宋体"/>
                <w:sz w:val="17"/>
              </w:rPr>
            </w:pPr>
            <w:r>
              <w:rPr>
                <w:rFonts w:hint="eastAsia" w:ascii="宋体" w:hAnsi="宋体" w:eastAsia="宋体" w:cs="宋体"/>
                <w:sz w:val="17"/>
              </w:rPr>
              <w:t>专业绘图设计3D渲染型台式机，流畅播放3D场景及3D程序，专门针对虚拟现实高强度三维应用所优化，在64位</w:t>
            </w:r>
            <w:r>
              <w:rPr>
                <w:rFonts w:hint="eastAsia" w:ascii="宋体" w:hAnsi="宋体" w:eastAsia="宋体" w:cs="宋体"/>
                <w:spacing w:val="-12"/>
                <w:sz w:val="17"/>
              </w:rPr>
              <w:t xml:space="preserve">Wi </w:t>
            </w:r>
            <w:r>
              <w:rPr>
                <w:rFonts w:hint="eastAsia" w:ascii="宋体" w:hAnsi="宋体" w:eastAsia="宋体" w:cs="宋体"/>
                <w:w w:val="115"/>
                <w:sz w:val="17"/>
              </w:rPr>
              <w:t>ndows平台上实现高性能专业图形运算；</w:t>
            </w:r>
          </w:p>
          <w:p>
            <w:pPr>
              <w:pStyle w:val="19"/>
              <w:numPr>
                <w:ilvl w:val="0"/>
                <w:numId w:val="44"/>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支持500万面超大规模虚拟现实场景实时漫游，帧率不低于30FPS，支持16倍抗锯齿，32倍各项异性过滤；</w:t>
            </w:r>
          </w:p>
          <w:p>
            <w:pPr>
              <w:pStyle w:val="19"/>
              <w:numPr>
                <w:ilvl w:val="0"/>
                <w:numId w:val="44"/>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预装</w:t>
            </w:r>
            <w:r>
              <w:rPr>
                <w:rFonts w:hint="eastAsia" w:ascii="宋体" w:hAnsi="宋体" w:eastAsia="宋体" w:cs="宋体"/>
                <w:spacing w:val="-3"/>
                <w:w w:val="105"/>
                <w:sz w:val="17"/>
              </w:rPr>
              <w:t>Windows</w:t>
            </w:r>
            <w:r>
              <w:rPr>
                <w:rFonts w:hint="eastAsia" w:ascii="宋体" w:hAnsi="宋体" w:eastAsia="宋体" w:cs="宋体"/>
                <w:spacing w:val="-4"/>
                <w:w w:val="105"/>
                <w:sz w:val="17"/>
              </w:rPr>
              <w:t xml:space="preserve"> </w:t>
            </w:r>
            <w:r>
              <w:rPr>
                <w:rFonts w:hint="eastAsia" w:ascii="宋体" w:hAnsi="宋体" w:eastAsia="宋体" w:cs="宋体"/>
                <w:w w:val="105"/>
                <w:sz w:val="17"/>
              </w:rPr>
              <w:t>10</w:t>
            </w:r>
            <w:r>
              <w:rPr>
                <w:rFonts w:hint="eastAsia" w:ascii="宋体" w:hAnsi="宋体" w:eastAsia="宋体" w:cs="宋体"/>
                <w:spacing w:val="-10"/>
                <w:w w:val="105"/>
                <w:sz w:val="17"/>
              </w:rPr>
              <w:t xml:space="preserve"> </w:t>
            </w:r>
            <w:r>
              <w:rPr>
                <w:rFonts w:hint="eastAsia" w:ascii="宋体" w:hAnsi="宋体" w:eastAsia="宋体" w:cs="宋体"/>
                <w:w w:val="105"/>
                <w:sz w:val="17"/>
              </w:rPr>
              <w:t>64位专业中文版操作系统，免费提供虚拟仿真实验教学软件安装调试服务；</w:t>
            </w:r>
          </w:p>
          <w:p>
            <w:pPr>
              <w:pStyle w:val="19"/>
              <w:numPr>
                <w:ilvl w:val="0"/>
                <w:numId w:val="44"/>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整机一年质量保证，三年上门维修服务；</w:t>
            </w:r>
          </w:p>
          <w:p>
            <w:pPr>
              <w:pStyle w:val="19"/>
              <w:numPr>
                <w:ilvl w:val="0"/>
                <w:numId w:val="44"/>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搭载最新一代英特尔志强主流处理器，主频不低于3.0GHz；</w:t>
            </w:r>
          </w:p>
          <w:p>
            <w:pPr>
              <w:pStyle w:val="19"/>
              <w:numPr>
                <w:ilvl w:val="0"/>
                <w:numId w:val="44"/>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支持64GB</w:t>
            </w:r>
            <w:r>
              <w:rPr>
                <w:rFonts w:hint="eastAsia" w:ascii="宋体" w:hAnsi="宋体" w:eastAsia="宋体" w:cs="宋体"/>
                <w:spacing w:val="-4"/>
                <w:w w:val="105"/>
                <w:sz w:val="17"/>
              </w:rPr>
              <w:t xml:space="preserve"> </w:t>
            </w:r>
            <w:r>
              <w:rPr>
                <w:rFonts w:hint="eastAsia" w:ascii="宋体" w:hAnsi="宋体" w:eastAsia="宋体" w:cs="宋体"/>
                <w:w w:val="105"/>
                <w:sz w:val="17"/>
              </w:rPr>
              <w:t>DDR4</w:t>
            </w:r>
            <w:r>
              <w:rPr>
                <w:rFonts w:hint="eastAsia" w:ascii="宋体" w:hAnsi="宋体" w:eastAsia="宋体" w:cs="宋体"/>
                <w:spacing w:val="-6"/>
                <w:w w:val="105"/>
                <w:sz w:val="17"/>
              </w:rPr>
              <w:t xml:space="preserve"> </w:t>
            </w:r>
            <w:r>
              <w:rPr>
                <w:rFonts w:hint="eastAsia" w:ascii="宋体" w:hAnsi="宋体" w:eastAsia="宋体" w:cs="宋体"/>
                <w:w w:val="105"/>
                <w:sz w:val="17"/>
              </w:rPr>
              <w:t>MHz内存，助力各项操作流畅进行，本机配置32GB；</w:t>
            </w:r>
          </w:p>
          <w:p>
            <w:pPr>
              <w:pStyle w:val="19"/>
              <w:numPr>
                <w:ilvl w:val="0"/>
                <w:numId w:val="44"/>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采用</w:t>
            </w:r>
            <w:r>
              <w:rPr>
                <w:rFonts w:hint="eastAsia" w:ascii="宋体" w:hAnsi="宋体" w:eastAsia="宋体" w:cs="宋体"/>
                <w:spacing w:val="-7"/>
                <w:sz w:val="17"/>
              </w:rPr>
              <w:t>NVIDIA</w:t>
            </w:r>
            <w:r>
              <w:rPr>
                <w:rFonts w:hint="eastAsia" w:ascii="宋体" w:hAnsi="宋体" w:eastAsia="宋体" w:cs="宋体"/>
                <w:spacing w:val="-4"/>
                <w:sz w:val="17"/>
              </w:rPr>
              <w:t xml:space="preserve"> </w:t>
            </w:r>
            <w:r>
              <w:rPr>
                <w:rFonts w:hint="eastAsia" w:ascii="宋体" w:hAnsi="宋体" w:eastAsia="宋体" w:cs="宋体"/>
                <w:spacing w:val="-3"/>
                <w:sz w:val="17"/>
              </w:rPr>
              <w:t>Quadro</w:t>
            </w:r>
            <w:r>
              <w:rPr>
                <w:rFonts w:hint="eastAsia" w:ascii="宋体" w:hAnsi="宋体" w:eastAsia="宋体" w:cs="宋体"/>
                <w:spacing w:val="10"/>
                <w:sz w:val="17"/>
              </w:rPr>
              <w:t xml:space="preserve"> </w:t>
            </w:r>
            <w:r>
              <w:rPr>
                <w:rFonts w:hint="eastAsia" w:ascii="宋体" w:hAnsi="宋体" w:eastAsia="宋体" w:cs="宋体"/>
                <w:sz w:val="17"/>
              </w:rPr>
              <w:t>RTX系列专业图形处理显卡，显存不低于16GB，具备高分辨率及图像处理能力；</w:t>
            </w:r>
          </w:p>
          <w:p>
            <w:pPr>
              <w:pStyle w:val="19"/>
              <w:numPr>
                <w:ilvl w:val="0"/>
                <w:numId w:val="44"/>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系统运行硬盘采用512GB固态硬盘，搭配</w:t>
            </w:r>
            <w:r>
              <w:rPr>
                <w:rFonts w:hint="eastAsia" w:ascii="宋体" w:hAnsi="宋体" w:eastAsia="宋体" w:cs="宋体"/>
                <w:spacing w:val="3"/>
                <w:sz w:val="17"/>
              </w:rPr>
              <w:t>1TB</w:t>
            </w:r>
            <w:r>
              <w:rPr>
                <w:rFonts w:hint="eastAsia" w:ascii="宋体" w:hAnsi="宋体" w:eastAsia="宋体" w:cs="宋体"/>
                <w:sz w:val="17"/>
              </w:rPr>
              <w:t>独立存储空间；</w:t>
            </w:r>
          </w:p>
          <w:p>
            <w:pPr>
              <w:pStyle w:val="19"/>
              <w:numPr>
                <w:ilvl w:val="0"/>
                <w:numId w:val="44"/>
              </w:numPr>
              <w:tabs>
                <w:tab w:val="left" w:pos="264"/>
              </w:tabs>
              <w:spacing w:before="166" w:after="0" w:line="422" w:lineRule="auto"/>
              <w:ind w:left="100" w:right="193" w:firstLine="0"/>
              <w:jc w:val="left"/>
              <w:rPr>
                <w:rFonts w:hint="eastAsia" w:ascii="宋体" w:hAnsi="宋体" w:eastAsia="宋体" w:cs="宋体"/>
                <w:sz w:val="17"/>
              </w:rPr>
            </w:pPr>
            <w:r>
              <w:rPr>
                <w:rFonts w:hint="eastAsia" w:ascii="宋体" w:hAnsi="宋体" w:eastAsia="宋体" w:cs="宋体"/>
                <w:sz w:val="17"/>
              </w:rPr>
              <w:t>支持</w:t>
            </w:r>
            <w:r>
              <w:rPr>
                <w:rFonts w:hint="eastAsia" w:ascii="宋体" w:hAnsi="宋体" w:eastAsia="宋体" w:cs="宋体"/>
                <w:spacing w:val="-7"/>
                <w:sz w:val="17"/>
              </w:rPr>
              <w:t>maya/3dmax</w:t>
            </w:r>
            <w:r>
              <w:rPr>
                <w:rFonts w:hint="eastAsia" w:ascii="宋体" w:hAnsi="宋体" w:eastAsia="宋体" w:cs="宋体"/>
                <w:sz w:val="17"/>
              </w:rPr>
              <w:t>建模软件实时渲染开窗口：支持窗口位置自定义、分辨率自定义，显示方式支持上下格式</w:t>
            </w:r>
            <w:r>
              <w:rPr>
                <w:rFonts w:hint="eastAsia" w:ascii="宋体" w:hAnsi="宋体" w:eastAsia="宋体" w:cs="宋体"/>
                <w:spacing w:val="3"/>
                <w:sz w:val="17"/>
              </w:rPr>
              <w:t>/</w:t>
            </w:r>
            <w:r>
              <w:rPr>
                <w:rFonts w:hint="eastAsia" w:ascii="宋体" w:hAnsi="宋体" w:eastAsia="宋体" w:cs="宋体"/>
                <w:spacing w:val="-5"/>
                <w:sz w:val="17"/>
              </w:rPr>
              <w:t>左右格</w:t>
            </w:r>
            <w:r>
              <w:rPr>
                <w:rFonts w:hint="eastAsia" w:ascii="宋体" w:hAnsi="宋体" w:eastAsia="宋体" w:cs="宋体"/>
                <w:w w:val="110"/>
                <w:sz w:val="17"/>
              </w:rPr>
              <w:t>式</w:t>
            </w:r>
            <w:r>
              <w:rPr>
                <w:rFonts w:hint="eastAsia" w:ascii="宋体" w:hAnsi="宋体" w:eastAsia="宋体" w:cs="宋体"/>
                <w:spacing w:val="3"/>
                <w:sz w:val="17"/>
              </w:rPr>
              <w:t>/</w:t>
            </w:r>
            <w:r>
              <w:rPr>
                <w:rFonts w:hint="eastAsia" w:ascii="宋体" w:hAnsi="宋体" w:eastAsia="宋体" w:cs="宋体"/>
                <w:w w:val="110"/>
                <w:sz w:val="17"/>
              </w:rPr>
              <w:t>深度图像；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60"/>
        <w:ind w:left="120" w:right="0" w:firstLine="0"/>
        <w:jc w:val="left"/>
        <w:rPr>
          <w:rFonts w:hint="eastAsia" w:ascii="宋体" w:hAnsi="宋体" w:eastAsia="宋体" w:cs="宋体"/>
          <w:b/>
          <w:sz w:val="19"/>
        </w:rPr>
      </w:pPr>
      <w:r>
        <w:rPr>
          <w:rFonts w:hint="eastAsia" w:ascii="宋体" w:hAnsi="宋体" w:eastAsia="宋体" w:cs="宋体"/>
          <w:b/>
          <w:sz w:val="19"/>
        </w:rPr>
        <w:t>附表七：虚拟现实桥接软件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606"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7"/>
              <w:rPr>
                <w:rFonts w:hint="eastAsia" w:ascii="宋体" w:hAnsi="宋体" w:eastAsia="宋体" w:cs="宋体"/>
                <w:b/>
                <w:sz w:val="15"/>
              </w:rPr>
            </w:pPr>
          </w:p>
          <w:p>
            <w:pPr>
              <w:pStyle w:val="19"/>
              <w:spacing w:before="1"/>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45"/>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支持多通道立体显示环境的桥接软件；</w:t>
            </w:r>
          </w:p>
          <w:p>
            <w:pPr>
              <w:pStyle w:val="19"/>
              <w:numPr>
                <w:ilvl w:val="0"/>
                <w:numId w:val="45"/>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软件提供方便、简洁、完善的图像化界面；</w:t>
            </w:r>
          </w:p>
          <w:p>
            <w:pPr>
              <w:pStyle w:val="19"/>
              <w:numPr>
                <w:ilvl w:val="0"/>
                <w:numId w:val="4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支持主动立体方式；</w:t>
            </w:r>
          </w:p>
          <w:p>
            <w:pPr>
              <w:pStyle w:val="19"/>
              <w:numPr>
                <w:ilvl w:val="0"/>
                <w:numId w:val="4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支持多通道配置和渲染，使基于沉浸式系统的多个屏幕和多个电脑的高分辨率图像信号同步；</w:t>
            </w:r>
          </w:p>
          <w:p>
            <w:pPr>
              <w:pStyle w:val="19"/>
              <w:numPr>
                <w:ilvl w:val="0"/>
                <w:numId w:val="4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支持以用户为中心的视角；</w:t>
            </w:r>
          </w:p>
          <w:p>
            <w:pPr>
              <w:pStyle w:val="19"/>
              <w:numPr>
                <w:ilvl w:val="0"/>
                <w:numId w:val="45"/>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提供现成的交互应用，如导航或物体抓取，提供简单的应用程序编程接口，可以很容易创建自己的复杂交互应用；</w:t>
            </w:r>
          </w:p>
          <w:p>
            <w:pPr>
              <w:pStyle w:val="19"/>
              <w:numPr>
                <w:ilvl w:val="0"/>
                <w:numId w:val="45"/>
              </w:numPr>
              <w:tabs>
                <w:tab w:val="left" w:pos="264"/>
              </w:tabs>
              <w:spacing w:before="166" w:after="0" w:line="422" w:lineRule="auto"/>
              <w:ind w:left="100" w:right="169" w:firstLine="0"/>
              <w:jc w:val="left"/>
              <w:rPr>
                <w:rFonts w:hint="eastAsia" w:ascii="宋体" w:hAnsi="宋体" w:eastAsia="宋体" w:cs="宋体"/>
                <w:sz w:val="17"/>
              </w:rPr>
            </w:pPr>
            <w:r>
              <w:rPr>
                <w:rFonts w:hint="eastAsia" w:ascii="宋体" w:hAnsi="宋体" w:eastAsia="宋体" w:cs="宋体"/>
                <w:w w:val="95"/>
                <w:sz w:val="17"/>
              </w:rPr>
              <w:t>支持虚拟现实应用程序从一个单通道VR系统到另一个多通道VR</w:t>
            </w:r>
            <w:r>
              <w:rPr>
                <w:rFonts w:hint="eastAsia" w:ascii="宋体" w:hAnsi="宋体" w:eastAsia="宋体" w:cs="宋体"/>
                <w:spacing w:val="-1"/>
                <w:w w:val="95"/>
                <w:sz w:val="17"/>
              </w:rPr>
              <w:t xml:space="preserve">系统的移植，无需修改应用程序，而只需设定一个新    </w:t>
            </w:r>
            <w:r>
              <w:rPr>
                <w:rFonts w:hint="eastAsia" w:ascii="宋体" w:hAnsi="宋体" w:eastAsia="宋体" w:cs="宋体"/>
                <w:sz w:val="17"/>
              </w:rPr>
              <w:t>的配置即可在新的VR系统启用应用程序；</w:t>
            </w:r>
          </w:p>
          <w:p>
            <w:pPr>
              <w:pStyle w:val="19"/>
              <w:numPr>
                <w:ilvl w:val="0"/>
                <w:numId w:val="45"/>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支持集中管理所有的虚拟现实相关运算，如交互设备接口、立体视觉和集群等；</w:t>
            </w:r>
          </w:p>
          <w:p>
            <w:pPr>
              <w:pStyle w:val="19"/>
              <w:numPr>
                <w:ilvl w:val="0"/>
                <w:numId w:val="4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支持大部分虚拟现实系统，如</w:t>
            </w:r>
            <w:r>
              <w:rPr>
                <w:rFonts w:hint="eastAsia" w:ascii="宋体" w:hAnsi="宋体" w:eastAsia="宋体" w:cs="宋体"/>
                <w:spacing w:val="-3"/>
                <w:sz w:val="17"/>
              </w:rPr>
              <w:t>LED</w:t>
            </w:r>
            <w:r>
              <w:rPr>
                <w:rFonts w:hint="eastAsia" w:ascii="宋体" w:hAnsi="宋体" w:eastAsia="宋体" w:cs="宋体"/>
                <w:sz w:val="17"/>
              </w:rPr>
              <w:t>大屏、多通道投影显示交互系统等；</w:t>
            </w:r>
          </w:p>
          <w:p>
            <w:pPr>
              <w:pStyle w:val="19"/>
              <w:numPr>
                <w:ilvl w:val="0"/>
                <w:numId w:val="45"/>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支持大多数通过VRPN协议运行的交互设备，如三维手柄，追踪</w:t>
            </w:r>
            <w:r>
              <w:rPr>
                <w:rFonts w:hint="eastAsia" w:ascii="宋体" w:hAnsi="宋体" w:eastAsia="宋体" w:cs="宋体"/>
                <w:spacing w:val="-5"/>
                <w:sz w:val="17"/>
              </w:rPr>
              <w:t>Marker</w:t>
            </w:r>
            <w:r>
              <w:rPr>
                <w:rFonts w:hint="eastAsia" w:ascii="宋体" w:hAnsi="宋体" w:eastAsia="宋体" w:cs="宋体"/>
                <w:sz w:val="17"/>
              </w:rPr>
              <w:t>点等；</w:t>
            </w:r>
          </w:p>
          <w:p>
            <w:pPr>
              <w:pStyle w:val="19"/>
              <w:numPr>
                <w:ilvl w:val="0"/>
                <w:numId w:val="45"/>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软件需支持光学追踪系统；</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0"/>
        <w:ind w:left="120" w:right="0" w:firstLine="0"/>
        <w:jc w:val="left"/>
        <w:rPr>
          <w:rFonts w:hint="eastAsia" w:ascii="宋体" w:hAnsi="宋体" w:eastAsia="宋体" w:cs="宋体"/>
          <w:b/>
          <w:sz w:val="19"/>
        </w:rPr>
      </w:pPr>
      <w:r>
        <w:rPr>
          <w:rFonts w:hint="eastAsia" w:ascii="宋体" w:hAnsi="宋体" w:eastAsia="宋体" w:cs="宋体"/>
          <w:b/>
          <w:sz w:val="19"/>
        </w:rPr>
        <w:t>附表八： 3D眼镜充电柜 是否进口：否</w:t>
      </w:r>
    </w:p>
    <w:p>
      <w:pPr>
        <w:pStyle w:val="9"/>
        <w:spacing w:before="4"/>
        <w:rPr>
          <w:rFonts w:hint="eastAsia" w:ascii="宋体" w:hAnsi="宋体" w:eastAsia="宋体" w:cs="宋体"/>
          <w:b/>
          <w:sz w:val="5"/>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pgSz w:w="11900" w:h="16840"/>
          <w:pgMar w:top="560" w:right="560" w:bottom="280" w:left="540" w:header="0" w:footer="9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42"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7"/>
              <w:rPr>
                <w:rFonts w:hint="eastAsia" w:ascii="宋体" w:hAnsi="宋体" w:eastAsia="宋体" w:cs="宋体"/>
                <w:b/>
                <w:sz w:val="31"/>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46"/>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w w:val="98"/>
                <w:sz w:val="17"/>
              </w:rPr>
              <w:t>主体材质：</w:t>
            </w:r>
            <w:r>
              <w:rPr>
                <w:rFonts w:hint="eastAsia" w:ascii="宋体" w:hAnsi="宋体" w:eastAsia="宋体" w:cs="宋体"/>
                <w:spacing w:val="1"/>
                <w:w w:val="125"/>
                <w:sz w:val="17"/>
              </w:rPr>
              <w:t>1</w:t>
            </w:r>
            <w:r>
              <w:rPr>
                <w:rFonts w:hint="eastAsia" w:ascii="宋体" w:hAnsi="宋体" w:eastAsia="宋体" w:cs="宋体"/>
                <w:spacing w:val="-6"/>
                <w:w w:val="154"/>
                <w:sz w:val="17"/>
              </w:rPr>
              <w:t>.</w:t>
            </w:r>
            <w:r>
              <w:rPr>
                <w:rFonts w:hint="eastAsia" w:ascii="宋体" w:hAnsi="宋体" w:eastAsia="宋体" w:cs="宋体"/>
                <w:spacing w:val="1"/>
                <w:w w:val="125"/>
                <w:sz w:val="17"/>
              </w:rPr>
              <w:t>0</w:t>
            </w:r>
            <w:r>
              <w:rPr>
                <w:rFonts w:hint="eastAsia" w:ascii="宋体" w:hAnsi="宋体" w:eastAsia="宋体" w:cs="宋体"/>
                <w:spacing w:val="-1"/>
                <w:w w:val="71"/>
                <w:sz w:val="17"/>
              </w:rPr>
              <w:t>-</w:t>
            </w:r>
            <w:r>
              <w:rPr>
                <w:rFonts w:hint="eastAsia" w:ascii="宋体" w:hAnsi="宋体" w:eastAsia="宋体" w:cs="宋体"/>
                <w:spacing w:val="1"/>
                <w:w w:val="125"/>
                <w:sz w:val="17"/>
              </w:rPr>
              <w:t>1</w:t>
            </w:r>
            <w:r>
              <w:rPr>
                <w:rFonts w:hint="eastAsia" w:ascii="宋体" w:hAnsi="宋体" w:eastAsia="宋体" w:cs="宋体"/>
                <w:spacing w:val="-6"/>
                <w:w w:val="154"/>
                <w:sz w:val="17"/>
              </w:rPr>
              <w:t>.</w:t>
            </w:r>
            <w:r>
              <w:rPr>
                <w:rFonts w:hint="eastAsia" w:ascii="宋体" w:hAnsi="宋体" w:eastAsia="宋体" w:cs="宋体"/>
                <w:spacing w:val="1"/>
                <w:w w:val="125"/>
                <w:sz w:val="17"/>
              </w:rPr>
              <w:t>8</w:t>
            </w:r>
            <w:r>
              <w:rPr>
                <w:rFonts w:hint="eastAsia" w:ascii="宋体" w:hAnsi="宋体" w:eastAsia="宋体" w:cs="宋体"/>
                <w:spacing w:val="-8"/>
                <w:w w:val="131"/>
                <w:sz w:val="17"/>
              </w:rPr>
              <w:t>mm</w:t>
            </w:r>
            <w:r>
              <w:rPr>
                <w:rFonts w:hint="eastAsia" w:ascii="宋体" w:hAnsi="宋体" w:eastAsia="宋体" w:cs="宋体"/>
                <w:spacing w:val="1"/>
                <w:w w:val="104"/>
                <w:sz w:val="17"/>
              </w:rPr>
              <w:t>S</w:t>
            </w:r>
            <w:r>
              <w:rPr>
                <w:rFonts w:hint="eastAsia" w:ascii="宋体" w:hAnsi="宋体" w:eastAsia="宋体" w:cs="宋体"/>
                <w:spacing w:val="6"/>
                <w:w w:val="96"/>
                <w:sz w:val="17"/>
              </w:rPr>
              <w:t>P</w:t>
            </w:r>
            <w:r>
              <w:rPr>
                <w:rFonts w:hint="eastAsia" w:ascii="宋体" w:hAnsi="宋体" w:eastAsia="宋体" w:cs="宋体"/>
                <w:spacing w:val="2"/>
                <w:w w:val="103"/>
                <w:sz w:val="17"/>
              </w:rPr>
              <w:t>CC</w:t>
            </w:r>
            <w:r>
              <w:rPr>
                <w:rFonts w:hint="eastAsia" w:ascii="宋体" w:hAnsi="宋体" w:eastAsia="宋体" w:cs="宋体"/>
                <w:w w:val="98"/>
                <w:sz w:val="17"/>
              </w:rPr>
              <w:t>冷轧碳素钢与环保</w:t>
            </w:r>
            <w:r>
              <w:rPr>
                <w:rFonts w:hint="eastAsia" w:ascii="宋体" w:hAnsi="宋体" w:eastAsia="宋体" w:cs="宋体"/>
                <w:spacing w:val="-7"/>
                <w:w w:val="106"/>
                <w:sz w:val="17"/>
              </w:rPr>
              <w:t>A</w:t>
            </w:r>
            <w:r>
              <w:rPr>
                <w:rFonts w:hint="eastAsia" w:ascii="宋体" w:hAnsi="宋体" w:eastAsia="宋体" w:cs="宋体"/>
                <w:spacing w:val="4"/>
                <w:w w:val="106"/>
                <w:sz w:val="17"/>
              </w:rPr>
              <w:t>B</w:t>
            </w:r>
            <w:r>
              <w:rPr>
                <w:rFonts w:hint="eastAsia" w:ascii="宋体" w:hAnsi="宋体" w:eastAsia="宋体" w:cs="宋体"/>
                <w:spacing w:val="1"/>
                <w:w w:val="104"/>
                <w:sz w:val="17"/>
              </w:rPr>
              <w:t>S</w:t>
            </w:r>
            <w:r>
              <w:rPr>
                <w:rFonts w:hint="eastAsia" w:ascii="宋体" w:hAnsi="宋体" w:eastAsia="宋体" w:cs="宋体"/>
                <w:w w:val="98"/>
                <w:sz w:val="17"/>
              </w:rPr>
              <w:t>工程塑料相结合；</w:t>
            </w:r>
          </w:p>
          <w:p>
            <w:pPr>
              <w:pStyle w:val="19"/>
              <w:numPr>
                <w:ilvl w:val="0"/>
                <w:numId w:val="46"/>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采用全封闭防盗结构、工艺上耐酸碱腐蚀、耐磨、防静电等；</w:t>
            </w:r>
          </w:p>
          <w:p>
            <w:pPr>
              <w:pStyle w:val="19"/>
              <w:numPr>
                <w:ilvl w:val="0"/>
                <w:numId w:val="46"/>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分三</w:t>
            </w:r>
            <w:r>
              <w:rPr>
                <w:rFonts w:hint="eastAsia" w:ascii="宋体" w:hAnsi="宋体" w:eastAsia="宋体" w:cs="宋体"/>
                <w:spacing w:val="3"/>
                <w:sz w:val="17"/>
              </w:rPr>
              <w:t>/</w:t>
            </w:r>
            <w:r>
              <w:rPr>
                <w:rFonts w:hint="eastAsia" w:ascii="宋体" w:hAnsi="宋体" w:eastAsia="宋体" w:cs="宋体"/>
                <w:sz w:val="17"/>
              </w:rPr>
              <w:t>四层前后放置设计，每层可容纳多位VR设备同时充电，采用USB充电模式，同时赠送安卓数据线方便安全；</w:t>
            </w:r>
          </w:p>
          <w:p>
            <w:pPr>
              <w:pStyle w:val="19"/>
              <w:numPr>
                <w:ilvl w:val="0"/>
                <w:numId w:val="46"/>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高品质超静音脚轮（四轮万向，两轮带刹车）和左右人体工学把手；</w:t>
            </w:r>
          </w:p>
          <w:p>
            <w:pPr>
              <w:pStyle w:val="19"/>
              <w:numPr>
                <w:ilvl w:val="0"/>
                <w:numId w:val="46"/>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环保ABS工程塑料单机隔断，其中内置隔板上带有卡线槽且不划伤屏幕，同时又预留凹槽方便拿取电脑；</w:t>
            </w:r>
          </w:p>
          <w:p>
            <w:pPr>
              <w:pStyle w:val="19"/>
              <w:numPr>
                <w:ilvl w:val="0"/>
                <w:numId w:val="46"/>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一体化电源管理系统：</w:t>
            </w:r>
          </w:p>
          <w:p>
            <w:pPr>
              <w:pStyle w:val="19"/>
              <w:numPr>
                <w:ilvl w:val="0"/>
                <w:numId w:val="47"/>
              </w:numPr>
              <w:tabs>
                <w:tab w:val="left" w:pos="276"/>
              </w:tabs>
              <w:spacing w:before="166" w:after="0" w:line="422" w:lineRule="auto"/>
              <w:ind w:left="100" w:right="109" w:firstLine="0"/>
              <w:jc w:val="left"/>
              <w:rPr>
                <w:rFonts w:hint="eastAsia" w:ascii="宋体" w:hAnsi="宋体" w:eastAsia="宋体" w:cs="宋体"/>
                <w:sz w:val="17"/>
              </w:rPr>
            </w:pPr>
            <w:r>
              <w:rPr>
                <w:rFonts w:hint="eastAsia" w:ascii="宋体" w:hAnsi="宋体" w:eastAsia="宋体" w:cs="宋体"/>
                <w:spacing w:val="-1"/>
                <w:w w:val="95"/>
                <w:sz w:val="17"/>
              </w:rPr>
              <w:t>USB</w:t>
            </w:r>
            <w:r>
              <w:rPr>
                <w:rFonts w:hint="eastAsia" w:ascii="宋体" w:hAnsi="宋体" w:eastAsia="宋体" w:cs="宋体"/>
                <w:w w:val="95"/>
                <w:sz w:val="17"/>
              </w:rPr>
              <w:t>供电，5V/2A</w:t>
            </w:r>
            <w:r>
              <w:rPr>
                <w:rFonts w:hint="eastAsia" w:ascii="宋体" w:hAnsi="宋体" w:eastAsia="宋体" w:cs="宋体"/>
                <w:spacing w:val="-1"/>
                <w:w w:val="95"/>
                <w:sz w:val="17"/>
              </w:rPr>
              <w:t xml:space="preserve">直接输出，全电源管理芯片式集成电路设计，自动检测平板允许输入电流，优先供应低电位设备，    </w:t>
            </w:r>
            <w:r>
              <w:rPr>
                <w:rFonts w:hint="eastAsia" w:ascii="宋体" w:hAnsi="宋体" w:eastAsia="宋体" w:cs="宋体"/>
                <w:w w:val="105"/>
                <w:sz w:val="17"/>
              </w:rPr>
              <w:t>根据电池电量自动以普通，快速，涓流三种模式供电，满电自动断电；</w:t>
            </w:r>
          </w:p>
          <w:p>
            <w:pPr>
              <w:pStyle w:val="19"/>
              <w:numPr>
                <w:ilvl w:val="0"/>
                <w:numId w:val="47"/>
              </w:numPr>
              <w:tabs>
                <w:tab w:val="left" w:pos="276"/>
              </w:tabs>
              <w:spacing w:before="2" w:after="0" w:line="240" w:lineRule="auto"/>
              <w:ind w:left="275" w:right="0" w:hanging="176"/>
              <w:jc w:val="left"/>
              <w:rPr>
                <w:rFonts w:hint="eastAsia" w:ascii="宋体" w:hAnsi="宋体" w:eastAsia="宋体" w:cs="宋体"/>
                <w:sz w:val="17"/>
              </w:rPr>
            </w:pPr>
            <w:r>
              <w:rPr>
                <w:rFonts w:hint="eastAsia" w:ascii="宋体" w:hAnsi="宋体" w:eastAsia="宋体" w:cs="宋体"/>
                <w:sz w:val="17"/>
              </w:rPr>
              <w:t>过载保护：当功率过大或电流不稳定时自动断电，防止损坏设备；</w:t>
            </w:r>
          </w:p>
          <w:p>
            <w:pPr>
              <w:pStyle w:val="19"/>
              <w:numPr>
                <w:ilvl w:val="0"/>
                <w:numId w:val="47"/>
              </w:numPr>
              <w:tabs>
                <w:tab w:val="left" w:pos="276"/>
              </w:tabs>
              <w:spacing w:before="166" w:after="0" w:line="240" w:lineRule="auto"/>
              <w:ind w:left="275" w:right="0" w:hanging="176"/>
              <w:jc w:val="left"/>
              <w:rPr>
                <w:rFonts w:hint="eastAsia" w:ascii="宋体" w:hAnsi="宋体" w:eastAsia="宋体" w:cs="宋体"/>
                <w:sz w:val="17"/>
              </w:rPr>
            </w:pPr>
            <w:r>
              <w:rPr>
                <w:rFonts w:hint="eastAsia" w:ascii="宋体" w:hAnsi="宋体" w:eastAsia="宋体" w:cs="宋体"/>
                <w:sz w:val="17"/>
              </w:rPr>
              <w:t>带有定时时长显示屏，数码显示定时时长；</w:t>
            </w:r>
          </w:p>
          <w:p>
            <w:pPr>
              <w:pStyle w:val="19"/>
              <w:numPr>
                <w:ilvl w:val="0"/>
                <w:numId w:val="47"/>
              </w:numPr>
              <w:tabs>
                <w:tab w:val="left" w:pos="276"/>
              </w:tabs>
              <w:spacing w:before="166" w:after="0" w:line="422" w:lineRule="auto"/>
              <w:ind w:left="100" w:right="109" w:firstLine="0"/>
              <w:jc w:val="left"/>
              <w:rPr>
                <w:rFonts w:hint="eastAsia" w:ascii="宋体" w:hAnsi="宋体" w:eastAsia="宋体" w:cs="宋体"/>
                <w:sz w:val="17"/>
              </w:rPr>
            </w:pPr>
            <w:r>
              <w:rPr>
                <w:rFonts w:hint="eastAsia" w:ascii="宋体" w:hAnsi="宋体" w:eastAsia="宋体" w:cs="宋体"/>
                <w:spacing w:val="-1"/>
                <w:w w:val="95"/>
                <w:sz w:val="17"/>
              </w:rPr>
              <w:t xml:space="preserve">互循环散热结构，自动控制风扇在一定温度区域内启动风扇强制散热，充电过程中产生热量由风扇强制排出，保证设   </w:t>
            </w:r>
            <w:r>
              <w:rPr>
                <w:rFonts w:hint="eastAsia" w:ascii="宋体" w:hAnsi="宋体" w:eastAsia="宋体" w:cs="宋体"/>
                <w:sz w:val="17"/>
              </w:rPr>
              <w:t>备在安全温度运行，整体安全可靠，节能环保；</w:t>
            </w:r>
          </w:p>
          <w:p>
            <w:pPr>
              <w:pStyle w:val="19"/>
              <w:numPr>
                <w:ilvl w:val="0"/>
                <w:numId w:val="47"/>
              </w:numPr>
              <w:tabs>
                <w:tab w:val="left" w:pos="276"/>
              </w:tabs>
              <w:spacing w:before="2" w:after="0" w:line="240" w:lineRule="auto"/>
              <w:ind w:left="275" w:right="0" w:hanging="176"/>
              <w:jc w:val="left"/>
              <w:rPr>
                <w:rFonts w:hint="eastAsia" w:ascii="宋体" w:hAnsi="宋体" w:eastAsia="宋体" w:cs="宋体"/>
                <w:sz w:val="17"/>
              </w:rPr>
            </w:pPr>
            <w:r>
              <w:rPr>
                <w:rFonts w:hint="eastAsia" w:ascii="宋体" w:hAnsi="宋体" w:eastAsia="宋体" w:cs="宋体"/>
                <w:spacing w:val="-2"/>
                <w:sz w:val="17"/>
              </w:rPr>
              <w:t>满足宽频电压输入，范围为</w:t>
            </w:r>
            <w:r>
              <w:rPr>
                <w:rFonts w:hint="eastAsia" w:ascii="宋体" w:hAnsi="宋体" w:eastAsia="宋体" w:cs="宋体"/>
                <w:spacing w:val="-1"/>
                <w:sz w:val="17"/>
              </w:rPr>
              <w:t>110V-240V；</w:t>
            </w:r>
          </w:p>
          <w:p>
            <w:pPr>
              <w:pStyle w:val="19"/>
              <w:numPr>
                <w:ilvl w:val="0"/>
                <w:numId w:val="48"/>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标配防漏电、防短路多重保护系统，确保使用者人身安全；</w:t>
            </w:r>
          </w:p>
          <w:p>
            <w:pPr>
              <w:pStyle w:val="19"/>
              <w:numPr>
                <w:ilvl w:val="0"/>
                <w:numId w:val="48"/>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柜体侧面带有置物槽，可存放电源线，无线AP等；</w:t>
            </w:r>
          </w:p>
          <w:p>
            <w:pPr>
              <w:pStyle w:val="19"/>
              <w:numPr>
                <w:ilvl w:val="0"/>
                <w:numId w:val="48"/>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标配消毒功能；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60"/>
        <w:ind w:left="120" w:right="0" w:firstLine="0"/>
        <w:jc w:val="left"/>
        <w:rPr>
          <w:rFonts w:hint="eastAsia" w:ascii="宋体" w:hAnsi="宋体" w:eastAsia="宋体" w:cs="宋体"/>
          <w:b/>
          <w:sz w:val="19"/>
        </w:rPr>
      </w:pPr>
      <w:r>
        <w:rPr>
          <w:rFonts w:hint="eastAsia" w:ascii="宋体" w:hAnsi="宋体" w:eastAsia="宋体" w:cs="宋体"/>
          <w:b/>
          <w:spacing w:val="8"/>
          <w:sz w:val="19"/>
        </w:rPr>
        <w:t>附表九：服务器机柜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22"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8"/>
              <w:rPr>
                <w:rFonts w:hint="eastAsia" w:ascii="宋体" w:hAnsi="宋体" w:eastAsia="宋体" w:cs="宋体"/>
                <w:b/>
                <w:sz w:val="22"/>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49"/>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w w:val="98"/>
                <w:sz w:val="17"/>
              </w:rPr>
              <w:t>符合</w:t>
            </w:r>
            <w:r>
              <w:rPr>
                <w:rFonts w:hint="eastAsia" w:ascii="宋体" w:hAnsi="宋体" w:eastAsia="宋体" w:cs="宋体"/>
                <w:spacing w:val="-7"/>
                <w:w w:val="106"/>
                <w:sz w:val="17"/>
              </w:rPr>
              <w:t>A</w:t>
            </w:r>
            <w:r>
              <w:rPr>
                <w:rFonts w:hint="eastAsia" w:ascii="宋体" w:hAnsi="宋体" w:eastAsia="宋体" w:cs="宋体"/>
                <w:spacing w:val="-6"/>
                <w:w w:val="115"/>
                <w:sz w:val="17"/>
              </w:rPr>
              <w:t>N</w:t>
            </w:r>
            <w:r>
              <w:rPr>
                <w:rFonts w:hint="eastAsia" w:ascii="宋体" w:hAnsi="宋体" w:eastAsia="宋体" w:cs="宋体"/>
                <w:spacing w:val="1"/>
                <w:w w:val="104"/>
                <w:sz w:val="17"/>
              </w:rPr>
              <w:t>S</w:t>
            </w:r>
            <w:r>
              <w:rPr>
                <w:rFonts w:hint="eastAsia" w:ascii="宋体" w:hAnsi="宋体" w:eastAsia="宋体" w:cs="宋体"/>
                <w:spacing w:val="-14"/>
                <w:w w:val="118"/>
                <w:sz w:val="17"/>
              </w:rPr>
              <w:t>I</w:t>
            </w:r>
            <w:r>
              <w:rPr>
                <w:rFonts w:hint="eastAsia" w:ascii="宋体" w:hAnsi="宋体" w:eastAsia="宋体" w:cs="宋体"/>
                <w:spacing w:val="3"/>
                <w:w w:val="66"/>
                <w:sz w:val="17"/>
              </w:rPr>
              <w:t>/</w:t>
            </w:r>
            <w:r>
              <w:rPr>
                <w:rFonts w:hint="eastAsia" w:ascii="宋体" w:hAnsi="宋体" w:eastAsia="宋体" w:cs="宋体"/>
                <w:spacing w:val="1"/>
                <w:w w:val="110"/>
                <w:sz w:val="17"/>
              </w:rPr>
              <w:t>E</w:t>
            </w:r>
            <w:r>
              <w:rPr>
                <w:rFonts w:hint="eastAsia" w:ascii="宋体" w:hAnsi="宋体" w:eastAsia="宋体" w:cs="宋体"/>
                <w:spacing w:val="-14"/>
                <w:w w:val="118"/>
                <w:sz w:val="17"/>
              </w:rPr>
              <w:t>I</w:t>
            </w:r>
            <w:r>
              <w:rPr>
                <w:rFonts w:hint="eastAsia" w:ascii="宋体" w:hAnsi="宋体" w:eastAsia="宋体" w:cs="宋体"/>
                <w:w w:val="106"/>
                <w:sz w:val="17"/>
              </w:rPr>
              <w:t>A</w:t>
            </w:r>
            <w:r>
              <w:rPr>
                <w:rFonts w:hint="eastAsia" w:ascii="宋体" w:hAnsi="宋体" w:eastAsia="宋体" w:cs="宋体"/>
                <w:spacing w:val="1"/>
                <w:sz w:val="17"/>
              </w:rPr>
              <w:t xml:space="preserve"> </w:t>
            </w:r>
            <w:r>
              <w:rPr>
                <w:rFonts w:hint="eastAsia" w:ascii="宋体" w:hAnsi="宋体" w:eastAsia="宋体" w:cs="宋体"/>
                <w:spacing w:val="3"/>
                <w:w w:val="109"/>
                <w:sz w:val="17"/>
              </w:rPr>
              <w:t>R</w:t>
            </w:r>
            <w:r>
              <w:rPr>
                <w:rFonts w:hint="eastAsia" w:ascii="宋体" w:hAnsi="宋体" w:eastAsia="宋体" w:cs="宋体"/>
                <w:spacing w:val="1"/>
                <w:w w:val="104"/>
                <w:sz w:val="17"/>
              </w:rPr>
              <w:t>S</w:t>
            </w:r>
            <w:r>
              <w:rPr>
                <w:rFonts w:hint="eastAsia" w:ascii="宋体" w:hAnsi="宋体" w:eastAsia="宋体" w:cs="宋体"/>
                <w:spacing w:val="-1"/>
                <w:w w:val="71"/>
                <w:sz w:val="17"/>
              </w:rPr>
              <w:t>-</w:t>
            </w:r>
            <w:r>
              <w:rPr>
                <w:rFonts w:hint="eastAsia" w:ascii="宋体" w:hAnsi="宋体" w:eastAsia="宋体" w:cs="宋体"/>
                <w:spacing w:val="1"/>
                <w:w w:val="125"/>
                <w:sz w:val="17"/>
              </w:rPr>
              <w:t>310</w:t>
            </w:r>
            <w:r>
              <w:rPr>
                <w:rFonts w:hint="eastAsia" w:ascii="宋体" w:hAnsi="宋体" w:eastAsia="宋体" w:cs="宋体"/>
                <w:spacing w:val="-1"/>
                <w:w w:val="71"/>
                <w:sz w:val="17"/>
              </w:rPr>
              <w:t>-</w:t>
            </w:r>
            <w:r>
              <w:rPr>
                <w:rFonts w:hint="eastAsia" w:ascii="宋体" w:hAnsi="宋体" w:eastAsia="宋体" w:cs="宋体"/>
                <w:spacing w:val="2"/>
                <w:w w:val="117"/>
                <w:sz w:val="17"/>
              </w:rPr>
              <w:t>D</w:t>
            </w:r>
            <w:r>
              <w:rPr>
                <w:rFonts w:hint="eastAsia" w:ascii="宋体" w:hAnsi="宋体" w:eastAsia="宋体" w:cs="宋体"/>
                <w:w w:val="98"/>
                <w:sz w:val="17"/>
              </w:rPr>
              <w:t>、</w:t>
            </w:r>
            <w:r>
              <w:rPr>
                <w:rFonts w:hint="eastAsia" w:ascii="宋体" w:hAnsi="宋体" w:eastAsia="宋体" w:cs="宋体"/>
                <w:spacing w:val="-14"/>
                <w:w w:val="118"/>
                <w:sz w:val="17"/>
              </w:rPr>
              <w:t>I</w:t>
            </w:r>
            <w:r>
              <w:rPr>
                <w:rFonts w:hint="eastAsia" w:ascii="宋体" w:hAnsi="宋体" w:eastAsia="宋体" w:cs="宋体"/>
                <w:spacing w:val="1"/>
                <w:w w:val="110"/>
                <w:sz w:val="17"/>
              </w:rPr>
              <w:t>E</w:t>
            </w:r>
            <w:r>
              <w:rPr>
                <w:rFonts w:hint="eastAsia" w:ascii="宋体" w:hAnsi="宋体" w:eastAsia="宋体" w:cs="宋体"/>
                <w:spacing w:val="2"/>
                <w:w w:val="103"/>
                <w:sz w:val="17"/>
              </w:rPr>
              <w:t>C</w:t>
            </w:r>
            <w:r>
              <w:rPr>
                <w:rFonts w:hint="eastAsia" w:ascii="宋体" w:hAnsi="宋体" w:eastAsia="宋体" w:cs="宋体"/>
                <w:spacing w:val="1"/>
                <w:w w:val="125"/>
                <w:sz w:val="17"/>
              </w:rPr>
              <w:t>297</w:t>
            </w:r>
            <w:r>
              <w:rPr>
                <w:rFonts w:hint="eastAsia" w:ascii="宋体" w:hAnsi="宋体" w:eastAsia="宋体" w:cs="宋体"/>
                <w:spacing w:val="-1"/>
                <w:w w:val="71"/>
                <w:sz w:val="17"/>
              </w:rPr>
              <w:t>-</w:t>
            </w:r>
            <w:r>
              <w:rPr>
                <w:rFonts w:hint="eastAsia" w:ascii="宋体" w:hAnsi="宋体" w:eastAsia="宋体" w:cs="宋体"/>
                <w:spacing w:val="1"/>
                <w:w w:val="125"/>
                <w:sz w:val="17"/>
              </w:rPr>
              <w:t>2</w:t>
            </w:r>
            <w:r>
              <w:rPr>
                <w:rFonts w:hint="eastAsia" w:ascii="宋体" w:hAnsi="宋体" w:eastAsia="宋体" w:cs="宋体"/>
                <w:w w:val="98"/>
                <w:sz w:val="17"/>
              </w:rPr>
              <w:t>、</w:t>
            </w:r>
            <w:r>
              <w:rPr>
                <w:rFonts w:hint="eastAsia" w:ascii="宋体" w:hAnsi="宋体" w:eastAsia="宋体" w:cs="宋体"/>
                <w:spacing w:val="2"/>
                <w:w w:val="117"/>
                <w:sz w:val="17"/>
              </w:rPr>
              <w:t>D</w:t>
            </w:r>
            <w:r>
              <w:rPr>
                <w:rFonts w:hint="eastAsia" w:ascii="宋体" w:hAnsi="宋体" w:eastAsia="宋体" w:cs="宋体"/>
                <w:spacing w:val="-14"/>
                <w:w w:val="118"/>
                <w:sz w:val="17"/>
              </w:rPr>
              <w:t>I</w:t>
            </w:r>
            <w:r>
              <w:rPr>
                <w:rFonts w:hint="eastAsia" w:ascii="宋体" w:hAnsi="宋体" w:eastAsia="宋体" w:cs="宋体"/>
                <w:spacing w:val="-6"/>
                <w:w w:val="115"/>
                <w:sz w:val="17"/>
              </w:rPr>
              <w:t>N</w:t>
            </w:r>
            <w:r>
              <w:rPr>
                <w:rFonts w:hint="eastAsia" w:ascii="宋体" w:hAnsi="宋体" w:eastAsia="宋体" w:cs="宋体"/>
                <w:spacing w:val="1"/>
                <w:w w:val="125"/>
                <w:sz w:val="17"/>
              </w:rPr>
              <w:t>41491</w:t>
            </w:r>
            <w:r>
              <w:rPr>
                <w:rFonts w:hint="eastAsia" w:ascii="宋体" w:hAnsi="宋体" w:eastAsia="宋体" w:cs="宋体"/>
                <w:w w:val="98"/>
                <w:sz w:val="17"/>
              </w:rPr>
              <w:t>、</w:t>
            </w:r>
            <w:r>
              <w:rPr>
                <w:rFonts w:hint="eastAsia" w:ascii="宋体" w:hAnsi="宋体" w:eastAsia="宋体" w:cs="宋体"/>
                <w:spacing w:val="6"/>
                <w:w w:val="96"/>
                <w:sz w:val="17"/>
              </w:rPr>
              <w:t>P</w:t>
            </w:r>
            <w:r>
              <w:rPr>
                <w:rFonts w:hint="eastAsia" w:ascii="宋体" w:hAnsi="宋体" w:eastAsia="宋体" w:cs="宋体"/>
                <w:spacing w:val="-7"/>
                <w:w w:val="106"/>
                <w:sz w:val="17"/>
              </w:rPr>
              <w:t>A</w:t>
            </w:r>
            <w:r>
              <w:rPr>
                <w:rFonts w:hint="eastAsia" w:ascii="宋体" w:hAnsi="宋体" w:eastAsia="宋体" w:cs="宋体"/>
                <w:spacing w:val="3"/>
                <w:w w:val="109"/>
                <w:sz w:val="17"/>
              </w:rPr>
              <w:t>R</w:t>
            </w:r>
            <w:r>
              <w:rPr>
                <w:rFonts w:hint="eastAsia" w:ascii="宋体" w:hAnsi="宋体" w:eastAsia="宋体" w:cs="宋体"/>
                <w:spacing w:val="5"/>
                <w:w w:val="102"/>
                <w:sz w:val="17"/>
              </w:rPr>
              <w:t>T</w:t>
            </w:r>
            <w:r>
              <w:rPr>
                <w:rFonts w:hint="eastAsia" w:ascii="宋体" w:hAnsi="宋体" w:eastAsia="宋体" w:cs="宋体"/>
                <w:spacing w:val="1"/>
                <w:w w:val="125"/>
                <w:sz w:val="17"/>
              </w:rPr>
              <w:t>1</w:t>
            </w:r>
            <w:r>
              <w:rPr>
                <w:rFonts w:hint="eastAsia" w:ascii="宋体" w:hAnsi="宋体" w:eastAsia="宋体" w:cs="宋体"/>
                <w:w w:val="98"/>
                <w:sz w:val="17"/>
              </w:rPr>
              <w:t>、</w:t>
            </w:r>
            <w:r>
              <w:rPr>
                <w:rFonts w:hint="eastAsia" w:ascii="宋体" w:hAnsi="宋体" w:eastAsia="宋体" w:cs="宋体"/>
                <w:spacing w:val="2"/>
                <w:w w:val="117"/>
                <w:sz w:val="17"/>
              </w:rPr>
              <w:t>D</w:t>
            </w:r>
            <w:r>
              <w:rPr>
                <w:rFonts w:hint="eastAsia" w:ascii="宋体" w:hAnsi="宋体" w:eastAsia="宋体" w:cs="宋体"/>
                <w:spacing w:val="-14"/>
                <w:w w:val="118"/>
                <w:sz w:val="17"/>
              </w:rPr>
              <w:t>I</w:t>
            </w:r>
            <w:r>
              <w:rPr>
                <w:rFonts w:hint="eastAsia" w:ascii="宋体" w:hAnsi="宋体" w:eastAsia="宋体" w:cs="宋体"/>
                <w:spacing w:val="-6"/>
                <w:w w:val="115"/>
                <w:sz w:val="17"/>
              </w:rPr>
              <w:t>N</w:t>
            </w:r>
            <w:r>
              <w:rPr>
                <w:rFonts w:hint="eastAsia" w:ascii="宋体" w:hAnsi="宋体" w:eastAsia="宋体" w:cs="宋体"/>
                <w:spacing w:val="1"/>
                <w:w w:val="125"/>
                <w:sz w:val="17"/>
              </w:rPr>
              <w:t>41494</w:t>
            </w:r>
            <w:r>
              <w:rPr>
                <w:rFonts w:hint="eastAsia" w:ascii="宋体" w:hAnsi="宋体" w:eastAsia="宋体" w:cs="宋体"/>
                <w:w w:val="98"/>
                <w:sz w:val="17"/>
              </w:rPr>
              <w:t>、</w:t>
            </w:r>
            <w:r>
              <w:rPr>
                <w:rFonts w:hint="eastAsia" w:ascii="宋体" w:hAnsi="宋体" w:eastAsia="宋体" w:cs="宋体"/>
                <w:spacing w:val="6"/>
                <w:w w:val="96"/>
                <w:sz w:val="17"/>
              </w:rPr>
              <w:t>P</w:t>
            </w:r>
            <w:r>
              <w:rPr>
                <w:rFonts w:hint="eastAsia" w:ascii="宋体" w:hAnsi="宋体" w:eastAsia="宋体" w:cs="宋体"/>
                <w:spacing w:val="-7"/>
                <w:w w:val="106"/>
                <w:sz w:val="17"/>
              </w:rPr>
              <w:t>A</w:t>
            </w:r>
            <w:r>
              <w:rPr>
                <w:rFonts w:hint="eastAsia" w:ascii="宋体" w:hAnsi="宋体" w:eastAsia="宋体" w:cs="宋体"/>
                <w:spacing w:val="3"/>
                <w:w w:val="109"/>
                <w:sz w:val="17"/>
              </w:rPr>
              <w:t>R</w:t>
            </w:r>
            <w:r>
              <w:rPr>
                <w:rFonts w:hint="eastAsia" w:ascii="宋体" w:hAnsi="宋体" w:eastAsia="宋体" w:cs="宋体"/>
                <w:spacing w:val="5"/>
                <w:w w:val="102"/>
                <w:sz w:val="17"/>
              </w:rPr>
              <w:t>T</w:t>
            </w:r>
            <w:r>
              <w:rPr>
                <w:rFonts w:hint="eastAsia" w:ascii="宋体" w:hAnsi="宋体" w:eastAsia="宋体" w:cs="宋体"/>
                <w:spacing w:val="1"/>
                <w:w w:val="125"/>
                <w:sz w:val="17"/>
              </w:rPr>
              <w:t>7</w:t>
            </w:r>
            <w:r>
              <w:rPr>
                <w:rFonts w:hint="eastAsia" w:ascii="宋体" w:hAnsi="宋体" w:eastAsia="宋体" w:cs="宋体"/>
                <w:w w:val="98"/>
                <w:sz w:val="17"/>
              </w:rPr>
              <w:t>、</w:t>
            </w:r>
            <w:r>
              <w:rPr>
                <w:rFonts w:hint="eastAsia" w:ascii="宋体" w:hAnsi="宋体" w:eastAsia="宋体" w:cs="宋体"/>
                <w:spacing w:val="1"/>
                <w:w w:val="112"/>
                <w:sz w:val="17"/>
              </w:rPr>
              <w:t>G</w:t>
            </w:r>
            <w:r>
              <w:rPr>
                <w:rFonts w:hint="eastAsia" w:ascii="宋体" w:hAnsi="宋体" w:eastAsia="宋体" w:cs="宋体"/>
                <w:spacing w:val="4"/>
                <w:w w:val="106"/>
                <w:sz w:val="17"/>
              </w:rPr>
              <w:t>B</w:t>
            </w:r>
            <w:r>
              <w:rPr>
                <w:rFonts w:hint="eastAsia" w:ascii="宋体" w:hAnsi="宋体" w:eastAsia="宋体" w:cs="宋体"/>
                <w:spacing w:val="3"/>
                <w:w w:val="66"/>
                <w:sz w:val="17"/>
              </w:rPr>
              <w:t>/</w:t>
            </w:r>
            <w:r>
              <w:rPr>
                <w:rFonts w:hint="eastAsia" w:ascii="宋体" w:hAnsi="宋体" w:eastAsia="宋体" w:cs="宋体"/>
                <w:spacing w:val="5"/>
                <w:w w:val="102"/>
                <w:sz w:val="17"/>
              </w:rPr>
              <w:t>T</w:t>
            </w:r>
            <w:r>
              <w:rPr>
                <w:rFonts w:hint="eastAsia" w:ascii="宋体" w:hAnsi="宋体" w:eastAsia="宋体" w:cs="宋体"/>
                <w:spacing w:val="1"/>
                <w:w w:val="125"/>
                <w:sz w:val="17"/>
              </w:rPr>
              <w:t>3047</w:t>
            </w:r>
            <w:r>
              <w:rPr>
                <w:rFonts w:hint="eastAsia" w:ascii="宋体" w:hAnsi="宋体" w:eastAsia="宋体" w:cs="宋体"/>
                <w:spacing w:val="-6"/>
                <w:w w:val="154"/>
                <w:sz w:val="17"/>
              </w:rPr>
              <w:t>.</w:t>
            </w:r>
            <w:r>
              <w:rPr>
                <w:rFonts w:hint="eastAsia" w:ascii="宋体" w:hAnsi="宋体" w:eastAsia="宋体" w:cs="宋体"/>
                <w:spacing w:val="1"/>
                <w:w w:val="125"/>
                <w:sz w:val="17"/>
              </w:rPr>
              <w:t>2</w:t>
            </w:r>
            <w:r>
              <w:rPr>
                <w:rFonts w:hint="eastAsia" w:ascii="宋体" w:hAnsi="宋体" w:eastAsia="宋体" w:cs="宋体"/>
                <w:w w:val="71"/>
                <w:sz w:val="17"/>
              </w:rPr>
              <w:t>-</w:t>
            </w:r>
            <w:r>
              <w:rPr>
                <w:rFonts w:hint="eastAsia" w:ascii="宋体" w:hAnsi="宋体" w:eastAsia="宋体" w:cs="宋体"/>
                <w:spacing w:val="19"/>
                <w:sz w:val="17"/>
              </w:rPr>
              <w:t xml:space="preserve"> </w:t>
            </w:r>
            <w:r>
              <w:rPr>
                <w:rFonts w:hint="eastAsia" w:ascii="宋体" w:hAnsi="宋体" w:eastAsia="宋体" w:cs="宋体"/>
                <w:spacing w:val="1"/>
                <w:w w:val="125"/>
                <w:sz w:val="17"/>
              </w:rPr>
              <w:t>92</w:t>
            </w:r>
            <w:r>
              <w:rPr>
                <w:rFonts w:hint="eastAsia" w:ascii="宋体" w:hAnsi="宋体" w:eastAsia="宋体" w:cs="宋体"/>
                <w:w w:val="98"/>
                <w:sz w:val="17"/>
              </w:rPr>
              <w:t>标准，兼容</w:t>
            </w:r>
          </w:p>
          <w:p>
            <w:pPr>
              <w:pStyle w:val="19"/>
              <w:spacing w:before="167"/>
              <w:ind w:left="100"/>
              <w:rPr>
                <w:rFonts w:hint="eastAsia" w:ascii="宋体" w:hAnsi="宋体" w:eastAsia="宋体" w:cs="宋体"/>
                <w:sz w:val="17"/>
              </w:rPr>
            </w:pPr>
            <w:r>
              <w:rPr>
                <w:rFonts w:hint="eastAsia" w:ascii="宋体" w:hAnsi="宋体" w:eastAsia="宋体" w:cs="宋体"/>
                <w:sz w:val="17"/>
              </w:rPr>
              <w:t>ETSI标准；</w:t>
            </w:r>
          </w:p>
          <w:p>
            <w:pPr>
              <w:pStyle w:val="19"/>
              <w:numPr>
                <w:ilvl w:val="0"/>
                <w:numId w:val="4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外观设计高贵典雅，工艺精湛，尺寸精密，全数控精密加工；</w:t>
            </w:r>
          </w:p>
          <w:p>
            <w:pPr>
              <w:pStyle w:val="19"/>
              <w:numPr>
                <w:ilvl w:val="0"/>
                <w:numId w:val="4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单开平板六角网孔前门，双开平板六角网孔后门；</w:t>
            </w:r>
          </w:p>
          <w:p>
            <w:pPr>
              <w:pStyle w:val="19"/>
              <w:numPr>
                <w:ilvl w:val="0"/>
                <w:numId w:val="4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镀铝锌板材质方孔条与安装梁，设备安装时自动等电位；</w:t>
            </w:r>
          </w:p>
          <w:p>
            <w:pPr>
              <w:pStyle w:val="19"/>
              <w:numPr>
                <w:ilvl w:val="0"/>
                <w:numId w:val="49"/>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无锐边方孔条</w:t>
            </w:r>
            <w:r>
              <w:rPr>
                <w:rFonts w:hint="eastAsia" w:ascii="宋体" w:hAnsi="宋体" w:eastAsia="宋体" w:cs="宋体"/>
                <w:spacing w:val="-6"/>
                <w:w w:val="135"/>
                <w:sz w:val="17"/>
              </w:rPr>
              <w:t>,</w:t>
            </w:r>
            <w:r>
              <w:rPr>
                <w:rFonts w:hint="eastAsia" w:ascii="宋体" w:hAnsi="宋体" w:eastAsia="宋体" w:cs="宋体"/>
                <w:w w:val="105"/>
                <w:sz w:val="17"/>
              </w:rPr>
              <w:t>使您在安装维护中不割伤手；</w:t>
            </w:r>
          </w:p>
          <w:p>
            <w:pPr>
              <w:pStyle w:val="19"/>
              <w:numPr>
                <w:ilvl w:val="0"/>
                <w:numId w:val="49"/>
              </w:numPr>
              <w:tabs>
                <w:tab w:val="left" w:pos="264"/>
              </w:tabs>
              <w:spacing w:before="166" w:after="0" w:line="422" w:lineRule="auto"/>
              <w:ind w:left="100" w:right="121" w:firstLine="0"/>
              <w:jc w:val="left"/>
              <w:rPr>
                <w:rFonts w:hint="eastAsia" w:ascii="宋体" w:hAnsi="宋体" w:eastAsia="宋体" w:cs="宋体"/>
                <w:sz w:val="17"/>
              </w:rPr>
            </w:pPr>
            <w:r>
              <w:rPr>
                <w:rFonts w:hint="eastAsia" w:ascii="宋体" w:hAnsi="宋体" w:eastAsia="宋体" w:cs="宋体"/>
                <w:spacing w:val="-1"/>
                <w:w w:val="95"/>
                <w:sz w:val="17"/>
              </w:rPr>
              <w:t xml:space="preserve">三段式底板部件，中间盖板可按需打开，三段式快开侧门，每段可单独打开，各主要部件预置有接地钉，接地钉带护   </w:t>
            </w:r>
            <w:r>
              <w:rPr>
                <w:rFonts w:hint="eastAsia" w:ascii="宋体" w:hAnsi="宋体" w:eastAsia="宋体" w:cs="宋体"/>
                <w:sz w:val="17"/>
              </w:rPr>
              <w:t>罩；</w:t>
            </w:r>
          </w:p>
          <w:p>
            <w:pPr>
              <w:pStyle w:val="19"/>
              <w:numPr>
                <w:ilvl w:val="0"/>
                <w:numId w:val="49"/>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前后门配高级典雅锁；</w:t>
            </w:r>
          </w:p>
          <w:p>
            <w:pPr>
              <w:pStyle w:val="19"/>
              <w:numPr>
                <w:ilvl w:val="0"/>
                <w:numId w:val="4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轧制九折成材，承重能力≥1000KG；</w:t>
            </w:r>
          </w:p>
          <w:p>
            <w:pPr>
              <w:pStyle w:val="19"/>
              <w:spacing w:before="166"/>
              <w:ind w:left="100"/>
              <w:rPr>
                <w:rFonts w:hint="eastAsia" w:ascii="宋体" w:hAnsi="宋体" w:eastAsia="宋体" w:cs="宋体"/>
                <w:sz w:val="17"/>
              </w:rPr>
            </w:pPr>
            <w:r>
              <w:rPr>
                <w:rFonts w:hint="eastAsia" w:ascii="宋体" w:hAnsi="宋体" w:eastAsia="宋体" w:cs="宋体"/>
                <w:w w:val="120"/>
                <w:sz w:val="17"/>
              </w:rPr>
              <w:t>9.规格尺寸</w:t>
            </w:r>
            <w:r>
              <w:rPr>
                <w:rFonts w:hint="eastAsia" w:ascii="宋体" w:hAnsi="宋体" w:eastAsia="宋体" w:cs="宋体"/>
                <w:w w:val="135"/>
                <w:sz w:val="17"/>
              </w:rPr>
              <w:t>≥</w:t>
            </w:r>
            <w:r>
              <w:rPr>
                <w:rFonts w:hint="eastAsia" w:ascii="宋体" w:hAnsi="宋体" w:eastAsia="宋体" w:cs="宋体"/>
                <w:w w:val="120"/>
                <w:sz w:val="17"/>
              </w:rPr>
              <w:t>宽600mm，深800mm，高2000mm，容量42U；</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pacing w:val="8"/>
          <w:sz w:val="19"/>
        </w:rPr>
        <w:t>附表一十：主扩音箱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33"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spacing w:before="8"/>
              <w:rPr>
                <w:rFonts w:hint="eastAsia" w:ascii="宋体" w:hAnsi="宋体" w:eastAsia="宋体" w:cs="宋体"/>
                <w:b/>
                <w:sz w:val="27"/>
              </w:rPr>
            </w:pPr>
          </w:p>
          <w:p>
            <w:pPr>
              <w:pStyle w:val="19"/>
              <w:spacing w:before="1"/>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50"/>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音箱采用6只3寸全频喇叭单元；</w:t>
            </w:r>
          </w:p>
          <w:p>
            <w:pPr>
              <w:pStyle w:val="19"/>
              <w:numPr>
                <w:ilvl w:val="0"/>
                <w:numId w:val="50"/>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箱体采用厚度</w:t>
            </w:r>
            <w:r>
              <w:rPr>
                <w:rFonts w:hint="eastAsia" w:ascii="宋体" w:hAnsi="宋体" w:eastAsia="宋体" w:cs="宋体"/>
                <w:spacing w:val="-3"/>
                <w:w w:val="115"/>
                <w:sz w:val="17"/>
              </w:rPr>
              <w:t>≥12mm</w:t>
            </w:r>
            <w:r>
              <w:rPr>
                <w:rFonts w:hint="eastAsia" w:ascii="宋体" w:hAnsi="宋体" w:eastAsia="宋体" w:cs="宋体"/>
                <w:sz w:val="17"/>
              </w:rPr>
              <w:t>优质高密度板，精密</w:t>
            </w:r>
            <w:r>
              <w:rPr>
                <w:rFonts w:hint="eastAsia" w:ascii="宋体" w:hAnsi="宋体" w:eastAsia="宋体" w:cs="宋体"/>
                <w:w w:val="115"/>
                <w:sz w:val="17"/>
              </w:rPr>
              <w:t>CNC</w:t>
            </w:r>
            <w:r>
              <w:rPr>
                <w:rFonts w:hint="eastAsia" w:ascii="宋体" w:hAnsi="宋体" w:eastAsia="宋体" w:cs="宋体"/>
                <w:sz w:val="17"/>
              </w:rPr>
              <w:t>加工，耐磨喷漆处理；</w:t>
            </w:r>
          </w:p>
          <w:p>
            <w:pPr>
              <w:pStyle w:val="19"/>
              <w:numPr>
                <w:ilvl w:val="0"/>
                <w:numId w:val="5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拼接排列扬声器设计；</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4</w:t>
            </w:r>
            <w:r>
              <w:rPr>
                <w:rFonts w:hint="eastAsia" w:ascii="宋体" w:hAnsi="宋体" w:eastAsia="宋体" w:cs="宋体"/>
                <w:spacing w:val="-6"/>
                <w:w w:val="154"/>
                <w:sz w:val="17"/>
              </w:rPr>
              <w:t>.</w:t>
            </w:r>
            <w:r>
              <w:rPr>
                <w:rFonts w:hint="eastAsia" w:ascii="宋体" w:hAnsi="宋体" w:eastAsia="宋体" w:cs="宋体"/>
                <w:w w:val="98"/>
                <w:sz w:val="17"/>
              </w:rPr>
              <w:t>额定功率</w:t>
            </w:r>
            <w:r>
              <w:rPr>
                <w:rFonts w:hint="eastAsia" w:ascii="宋体" w:hAnsi="宋体" w:eastAsia="宋体" w:cs="宋体"/>
                <w:spacing w:val="3"/>
                <w:w w:val="164"/>
                <w:sz w:val="17"/>
              </w:rPr>
              <w:t>≥</w:t>
            </w:r>
            <w:r>
              <w:rPr>
                <w:rFonts w:hint="eastAsia" w:ascii="宋体" w:hAnsi="宋体" w:eastAsia="宋体" w:cs="宋体"/>
                <w:spacing w:val="1"/>
                <w:w w:val="125"/>
                <w:sz w:val="17"/>
              </w:rPr>
              <w:t>200</w:t>
            </w:r>
            <w:r>
              <w:rPr>
                <w:rFonts w:hint="eastAsia" w:ascii="宋体" w:hAnsi="宋体" w:eastAsia="宋体" w:cs="宋体"/>
                <w:spacing w:val="-11"/>
                <w:w w:val="131"/>
                <w:sz w:val="17"/>
              </w:rPr>
              <w:t>W</w:t>
            </w:r>
            <w:r>
              <w:rPr>
                <w:rFonts w:hint="eastAsia" w:ascii="宋体" w:hAnsi="宋体" w:eastAsia="宋体" w:cs="宋体"/>
                <w:spacing w:val="-6"/>
                <w:w w:val="154"/>
                <w:sz w:val="17"/>
              </w:rPr>
              <w:t>,</w:t>
            </w:r>
            <w:r>
              <w:rPr>
                <w:rFonts w:hint="eastAsia" w:ascii="宋体" w:hAnsi="宋体" w:eastAsia="宋体" w:cs="宋体"/>
                <w:w w:val="98"/>
                <w:sz w:val="17"/>
              </w:rPr>
              <w:t>灵敏度</w:t>
            </w:r>
            <w:r>
              <w:rPr>
                <w:rFonts w:hint="eastAsia" w:ascii="宋体" w:hAnsi="宋体" w:eastAsia="宋体" w:cs="宋体"/>
                <w:spacing w:val="3"/>
                <w:w w:val="164"/>
                <w:sz w:val="17"/>
              </w:rPr>
              <w:t>≥</w:t>
            </w:r>
            <w:r>
              <w:rPr>
                <w:rFonts w:hint="eastAsia" w:ascii="宋体" w:hAnsi="宋体" w:eastAsia="宋体" w:cs="宋体"/>
                <w:spacing w:val="1"/>
                <w:w w:val="125"/>
                <w:sz w:val="17"/>
              </w:rPr>
              <w:t>95</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spacing w:val="-6"/>
                <w:w w:val="126"/>
                <w:sz w:val="17"/>
              </w:rPr>
              <w:t>(</w:t>
            </w:r>
            <w:r>
              <w:rPr>
                <w:rFonts w:hint="eastAsia" w:ascii="宋体" w:hAnsi="宋体" w:eastAsia="宋体" w:cs="宋体"/>
                <w:spacing w:val="1"/>
                <w:w w:val="125"/>
                <w:sz w:val="17"/>
              </w:rPr>
              <w:t>1</w:t>
            </w:r>
            <w:r>
              <w:rPr>
                <w:rFonts w:hint="eastAsia" w:ascii="宋体" w:hAnsi="宋体" w:eastAsia="宋体" w:cs="宋体"/>
                <w:spacing w:val="-1"/>
                <w:w w:val="114"/>
                <w:sz w:val="17"/>
              </w:rPr>
              <w:t>M</w:t>
            </w:r>
            <w:r>
              <w:rPr>
                <w:rFonts w:hint="eastAsia" w:ascii="宋体" w:hAnsi="宋体" w:eastAsia="宋体" w:cs="宋体"/>
                <w:spacing w:val="3"/>
                <w:w w:val="66"/>
                <w:sz w:val="17"/>
              </w:rPr>
              <w:t>/</w:t>
            </w:r>
            <w:r>
              <w:rPr>
                <w:rFonts w:hint="eastAsia" w:ascii="宋体" w:hAnsi="宋体" w:eastAsia="宋体" w:cs="宋体"/>
                <w:spacing w:val="1"/>
                <w:w w:val="125"/>
                <w:sz w:val="17"/>
              </w:rPr>
              <w:t>2</w:t>
            </w:r>
            <w:r>
              <w:rPr>
                <w:rFonts w:hint="eastAsia" w:ascii="宋体" w:hAnsi="宋体" w:eastAsia="宋体" w:cs="宋体"/>
                <w:spacing w:val="-11"/>
                <w:w w:val="131"/>
                <w:sz w:val="17"/>
              </w:rPr>
              <w:t>W</w:t>
            </w:r>
            <w:r>
              <w:rPr>
                <w:rFonts w:hint="eastAsia" w:ascii="宋体" w:hAnsi="宋体" w:eastAsia="宋体" w:cs="宋体"/>
                <w:spacing w:val="-6"/>
                <w:w w:val="126"/>
                <w:sz w:val="17"/>
              </w:rPr>
              <w:t>)</w:t>
            </w:r>
            <w:r>
              <w:rPr>
                <w:rFonts w:hint="eastAsia" w:ascii="宋体" w:hAnsi="宋体" w:eastAsia="宋体" w:cs="宋体"/>
                <w:w w:val="98"/>
                <w:sz w:val="17"/>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after="0"/>
        <w:rPr>
          <w:rFonts w:hint="eastAsia" w:ascii="宋体" w:hAnsi="宋体" w:eastAsia="宋体" w:cs="宋体"/>
          <w:sz w:val="19"/>
        </w:rPr>
        <w:sectPr>
          <w:pgSz w:w="11900" w:h="16840"/>
          <w:pgMar w:top="560" w:right="560" w:bottom="280" w:left="540" w:header="0" w:footer="93" w:gutter="0"/>
          <w:cols w:space="720" w:num="1"/>
        </w:sectPr>
      </w:pPr>
    </w:p>
    <w:p>
      <w:pPr>
        <w:spacing w:before="60"/>
        <w:ind w:left="120" w:right="0" w:firstLine="0"/>
        <w:jc w:val="left"/>
        <w:rPr>
          <w:rFonts w:hint="eastAsia" w:ascii="宋体" w:hAnsi="宋体" w:eastAsia="宋体" w:cs="宋体"/>
          <w:b/>
          <w:sz w:val="19"/>
        </w:rPr>
      </w:pPr>
      <w:r>
        <w:rPr>
          <w:rFonts w:hint="eastAsia" w:ascii="宋体" w:hAnsi="宋体" w:eastAsia="宋体" w:cs="宋体"/>
          <w:b/>
          <w:spacing w:val="9"/>
          <w:sz w:val="19"/>
        </w:rPr>
        <w:t>附表一十一：音箱支架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1149"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spacing w:before="163"/>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51"/>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固定面板孔位尺寸（长*宽）：≥140mm*65mm；</w:t>
            </w:r>
          </w:p>
          <w:p>
            <w:pPr>
              <w:pStyle w:val="19"/>
              <w:numPr>
                <w:ilvl w:val="0"/>
                <w:numId w:val="51"/>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箱体固定面板孔位尺寸（长*宽）：≥128mm*70mm；</w:t>
            </w:r>
          </w:p>
          <w:p>
            <w:pPr>
              <w:pStyle w:val="19"/>
              <w:numPr>
                <w:ilvl w:val="0"/>
                <w:numId w:val="5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设备面板尺寸：≥160mm*90mm；</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pacing w:val="9"/>
          <w:sz w:val="19"/>
        </w:rPr>
        <w:t>附表一十二：主扩功放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17"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8"/>
              <w:rPr>
                <w:rFonts w:hint="eastAsia" w:ascii="宋体" w:hAnsi="宋体" w:eastAsia="宋体" w:cs="宋体"/>
                <w:b/>
                <w:sz w:val="20"/>
              </w:rPr>
            </w:pPr>
          </w:p>
          <w:p>
            <w:pPr>
              <w:pStyle w:val="19"/>
              <w:spacing w:before="1"/>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52"/>
              </w:numPr>
              <w:tabs>
                <w:tab w:val="left" w:pos="264"/>
              </w:tabs>
              <w:spacing w:before="80" w:after="0" w:line="422" w:lineRule="auto"/>
              <w:ind w:left="100" w:right="229" w:firstLine="0"/>
              <w:jc w:val="left"/>
              <w:rPr>
                <w:rFonts w:hint="eastAsia" w:ascii="宋体" w:hAnsi="宋体" w:eastAsia="宋体" w:cs="宋体"/>
                <w:sz w:val="17"/>
              </w:rPr>
            </w:pPr>
            <w:r>
              <w:rPr>
                <w:rFonts w:hint="eastAsia" w:ascii="宋体" w:hAnsi="宋体" w:eastAsia="宋体" w:cs="宋体"/>
                <w:w w:val="98"/>
                <w:sz w:val="17"/>
              </w:rPr>
              <w:t>两声道功放有三档输入灵敏度选择（支持</w:t>
            </w:r>
            <w:r>
              <w:rPr>
                <w:rFonts w:hint="eastAsia" w:ascii="宋体" w:hAnsi="宋体" w:eastAsia="宋体" w:cs="宋体"/>
                <w:spacing w:val="1"/>
                <w:w w:val="125"/>
                <w:sz w:val="17"/>
              </w:rPr>
              <w:t>0</w:t>
            </w:r>
            <w:r>
              <w:rPr>
                <w:rFonts w:hint="eastAsia" w:ascii="宋体" w:hAnsi="宋体" w:eastAsia="宋体" w:cs="宋体"/>
                <w:spacing w:val="-6"/>
                <w:w w:val="154"/>
                <w:sz w:val="17"/>
              </w:rPr>
              <w:t>.</w:t>
            </w:r>
            <w:r>
              <w:rPr>
                <w:rFonts w:hint="eastAsia" w:ascii="宋体" w:hAnsi="宋体" w:eastAsia="宋体" w:cs="宋体"/>
                <w:spacing w:val="1"/>
                <w:w w:val="125"/>
                <w:sz w:val="17"/>
              </w:rPr>
              <w:t>775</w:t>
            </w:r>
            <w:r>
              <w:rPr>
                <w:rFonts w:hint="eastAsia" w:ascii="宋体" w:hAnsi="宋体" w:eastAsia="宋体" w:cs="宋体"/>
                <w:spacing w:val="-7"/>
                <w:w w:val="106"/>
                <w:sz w:val="17"/>
              </w:rPr>
              <w:t>V</w:t>
            </w:r>
            <w:r>
              <w:rPr>
                <w:rFonts w:hint="eastAsia" w:ascii="宋体" w:hAnsi="宋体" w:eastAsia="宋体" w:cs="宋体"/>
                <w:spacing w:val="3"/>
                <w:w w:val="66"/>
                <w:sz w:val="17"/>
              </w:rPr>
              <w:t>/</w:t>
            </w:r>
            <w:r>
              <w:rPr>
                <w:rFonts w:hint="eastAsia" w:ascii="宋体" w:hAnsi="宋体" w:eastAsia="宋体" w:cs="宋体"/>
                <w:spacing w:val="1"/>
                <w:w w:val="125"/>
                <w:sz w:val="17"/>
              </w:rPr>
              <w:t>1</w:t>
            </w:r>
            <w:r>
              <w:rPr>
                <w:rFonts w:hint="eastAsia" w:ascii="宋体" w:hAnsi="宋体" w:eastAsia="宋体" w:cs="宋体"/>
                <w:spacing w:val="-7"/>
                <w:w w:val="106"/>
                <w:sz w:val="17"/>
              </w:rPr>
              <w:t>V</w:t>
            </w:r>
            <w:r>
              <w:rPr>
                <w:rFonts w:hint="eastAsia" w:ascii="宋体" w:hAnsi="宋体" w:eastAsia="宋体" w:cs="宋体"/>
                <w:spacing w:val="3"/>
                <w:w w:val="66"/>
                <w:sz w:val="17"/>
              </w:rPr>
              <w:t>/</w:t>
            </w:r>
            <w:r>
              <w:rPr>
                <w:rFonts w:hint="eastAsia" w:ascii="宋体" w:hAnsi="宋体" w:eastAsia="宋体" w:cs="宋体"/>
                <w:spacing w:val="1"/>
                <w:w w:val="125"/>
                <w:sz w:val="17"/>
              </w:rPr>
              <w:t>1</w:t>
            </w:r>
            <w:r>
              <w:rPr>
                <w:rFonts w:hint="eastAsia" w:ascii="宋体" w:hAnsi="宋体" w:eastAsia="宋体" w:cs="宋体"/>
                <w:spacing w:val="-6"/>
                <w:w w:val="154"/>
                <w:sz w:val="17"/>
              </w:rPr>
              <w:t>.</w:t>
            </w:r>
            <w:r>
              <w:rPr>
                <w:rFonts w:hint="eastAsia" w:ascii="宋体" w:hAnsi="宋体" w:eastAsia="宋体" w:cs="宋体"/>
                <w:spacing w:val="1"/>
                <w:w w:val="125"/>
                <w:sz w:val="17"/>
              </w:rPr>
              <w:t>44</w:t>
            </w:r>
            <w:r>
              <w:rPr>
                <w:rFonts w:hint="eastAsia" w:ascii="宋体" w:hAnsi="宋体" w:eastAsia="宋体" w:cs="宋体"/>
                <w:spacing w:val="-7"/>
                <w:w w:val="106"/>
                <w:sz w:val="17"/>
              </w:rPr>
              <w:t>V</w:t>
            </w:r>
            <w:r>
              <w:rPr>
                <w:rFonts w:hint="eastAsia" w:ascii="宋体" w:hAnsi="宋体" w:eastAsia="宋体" w:cs="宋体"/>
                <w:w w:val="98"/>
                <w:sz w:val="17"/>
              </w:rPr>
              <w:t>），可轻松接纳宽幅度范围信号源输入（</w:t>
            </w:r>
            <w:r>
              <w:rPr>
                <w:rFonts w:hint="eastAsia" w:ascii="宋体" w:hAnsi="宋体" w:eastAsia="宋体" w:cs="宋体"/>
                <w:spacing w:val="-3"/>
                <w:w w:val="98"/>
                <w:sz w:val="17"/>
              </w:rPr>
              <w:t>提供产品接口</w:t>
            </w:r>
            <w:r>
              <w:rPr>
                <w:rFonts w:hint="eastAsia" w:ascii="宋体" w:hAnsi="宋体" w:eastAsia="宋体" w:cs="宋体"/>
                <w:sz w:val="17"/>
              </w:rPr>
              <w:t>界面截图），输入座接地脚接地和悬浮控制；</w:t>
            </w:r>
          </w:p>
          <w:p>
            <w:pPr>
              <w:pStyle w:val="19"/>
              <w:numPr>
                <w:ilvl w:val="0"/>
                <w:numId w:val="52"/>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采用强制散热设计；具有安全保护措施和工作状态指示（短路、过载、直流和过热保护，变压器过热保护）；</w:t>
            </w:r>
          </w:p>
          <w:p>
            <w:pPr>
              <w:pStyle w:val="19"/>
              <w:spacing w:before="166"/>
              <w:ind w:left="100"/>
              <w:rPr>
                <w:rFonts w:hint="eastAsia" w:ascii="宋体" w:hAnsi="宋体" w:eastAsia="宋体" w:cs="宋体"/>
                <w:sz w:val="17"/>
              </w:rPr>
            </w:pPr>
            <w:r>
              <w:rPr>
                <w:rFonts w:hint="eastAsia" w:ascii="宋体" w:hAnsi="宋体" w:eastAsia="宋体" w:cs="宋体"/>
                <w:w w:val="110"/>
                <w:sz w:val="17"/>
              </w:rPr>
              <w:t>3.输出功率：立体声</w:t>
            </w:r>
            <w:r>
              <w:rPr>
                <w:rFonts w:hint="eastAsia" w:ascii="宋体" w:hAnsi="宋体" w:eastAsia="宋体" w:cs="宋体"/>
                <w:sz w:val="17"/>
              </w:rPr>
              <w:t>/</w:t>
            </w:r>
            <w:r>
              <w:rPr>
                <w:rFonts w:hint="eastAsia" w:ascii="宋体" w:hAnsi="宋体" w:eastAsia="宋体" w:cs="宋体"/>
                <w:w w:val="110"/>
                <w:sz w:val="17"/>
              </w:rPr>
              <w:t>并联8Ω：350W*2，立体声</w:t>
            </w:r>
            <w:r>
              <w:rPr>
                <w:rFonts w:hint="eastAsia" w:ascii="宋体" w:hAnsi="宋体" w:eastAsia="宋体" w:cs="宋体"/>
                <w:sz w:val="17"/>
              </w:rPr>
              <w:t>/</w:t>
            </w:r>
            <w:r>
              <w:rPr>
                <w:rFonts w:hint="eastAsia" w:ascii="宋体" w:hAnsi="宋体" w:eastAsia="宋体" w:cs="宋体"/>
                <w:w w:val="110"/>
                <w:sz w:val="17"/>
              </w:rPr>
              <w:t>并联4Ω：530W*2，桥接8Ω：1060W；</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4</w:t>
            </w:r>
            <w:r>
              <w:rPr>
                <w:rFonts w:hint="eastAsia" w:ascii="宋体" w:hAnsi="宋体" w:eastAsia="宋体" w:cs="宋体"/>
                <w:spacing w:val="-6"/>
                <w:w w:val="154"/>
                <w:sz w:val="17"/>
              </w:rPr>
              <w:t>.</w:t>
            </w:r>
            <w:r>
              <w:rPr>
                <w:rFonts w:hint="eastAsia" w:ascii="宋体" w:hAnsi="宋体" w:eastAsia="宋体" w:cs="宋体"/>
                <w:w w:val="98"/>
                <w:sz w:val="17"/>
              </w:rPr>
              <w:t>标准</w:t>
            </w:r>
            <w:r>
              <w:rPr>
                <w:rFonts w:hint="eastAsia" w:ascii="宋体" w:hAnsi="宋体" w:eastAsia="宋体" w:cs="宋体"/>
                <w:spacing w:val="-8"/>
                <w:w w:val="112"/>
                <w:sz w:val="17"/>
              </w:rPr>
              <w:t>X</w:t>
            </w:r>
            <w:r>
              <w:rPr>
                <w:rFonts w:hint="eastAsia" w:ascii="宋体" w:hAnsi="宋体" w:eastAsia="宋体" w:cs="宋体"/>
                <w:spacing w:val="-10"/>
                <w:w w:val="102"/>
                <w:sz w:val="17"/>
              </w:rPr>
              <w:t>L</w:t>
            </w:r>
            <w:r>
              <w:rPr>
                <w:rFonts w:hint="eastAsia" w:ascii="宋体" w:hAnsi="宋体" w:eastAsia="宋体" w:cs="宋体"/>
                <w:spacing w:val="3"/>
                <w:w w:val="109"/>
                <w:sz w:val="17"/>
              </w:rPr>
              <w:t>R</w:t>
            </w:r>
            <w:r>
              <w:rPr>
                <w:rFonts w:hint="eastAsia" w:ascii="宋体" w:hAnsi="宋体" w:eastAsia="宋体" w:cs="宋体"/>
                <w:spacing w:val="3"/>
                <w:w w:val="165"/>
                <w:sz w:val="17"/>
              </w:rPr>
              <w:t>+</w:t>
            </w:r>
            <w:r>
              <w:rPr>
                <w:rFonts w:hint="eastAsia" w:ascii="宋体" w:hAnsi="宋体" w:eastAsia="宋体" w:cs="宋体"/>
                <w:spacing w:val="5"/>
                <w:w w:val="102"/>
                <w:sz w:val="17"/>
              </w:rPr>
              <w:t>T</w:t>
            </w:r>
            <w:r>
              <w:rPr>
                <w:rFonts w:hint="eastAsia" w:ascii="宋体" w:hAnsi="宋体" w:eastAsia="宋体" w:cs="宋体"/>
                <w:spacing w:val="3"/>
                <w:w w:val="109"/>
                <w:sz w:val="17"/>
              </w:rPr>
              <w:t>R</w:t>
            </w:r>
            <w:r>
              <w:rPr>
                <w:rFonts w:hint="eastAsia" w:ascii="宋体" w:hAnsi="宋体" w:eastAsia="宋体" w:cs="宋体"/>
                <w:spacing w:val="1"/>
                <w:w w:val="104"/>
                <w:sz w:val="17"/>
              </w:rPr>
              <w:t>S</w:t>
            </w:r>
            <w:r>
              <w:rPr>
                <w:rFonts w:hint="eastAsia" w:ascii="宋体" w:hAnsi="宋体" w:eastAsia="宋体" w:cs="宋体"/>
                <w:spacing w:val="1"/>
                <w:w w:val="125"/>
                <w:sz w:val="17"/>
              </w:rPr>
              <w:t>1</w:t>
            </w:r>
            <w:r>
              <w:rPr>
                <w:rFonts w:hint="eastAsia" w:ascii="宋体" w:hAnsi="宋体" w:eastAsia="宋体" w:cs="宋体"/>
                <w:spacing w:val="3"/>
                <w:w w:val="66"/>
                <w:sz w:val="17"/>
              </w:rPr>
              <w:t>/</w:t>
            </w:r>
            <w:r>
              <w:rPr>
                <w:rFonts w:hint="eastAsia" w:ascii="宋体" w:hAnsi="宋体" w:eastAsia="宋体" w:cs="宋体"/>
                <w:spacing w:val="1"/>
                <w:w w:val="125"/>
                <w:sz w:val="17"/>
              </w:rPr>
              <w:t>4</w:t>
            </w:r>
            <w:r>
              <w:rPr>
                <w:rFonts w:hint="eastAsia" w:ascii="宋体" w:hAnsi="宋体" w:eastAsia="宋体" w:cs="宋体"/>
                <w:spacing w:val="-18"/>
                <w:w w:val="90"/>
                <w:sz w:val="17"/>
              </w:rPr>
              <w:t>"</w:t>
            </w:r>
            <w:r>
              <w:rPr>
                <w:rFonts w:hint="eastAsia" w:ascii="宋体" w:hAnsi="宋体" w:eastAsia="宋体" w:cs="宋体"/>
                <w:w w:val="98"/>
                <w:sz w:val="17"/>
              </w:rPr>
              <w:t>复合多功能输入接口，智能削峰限幅器，控制功率模块及扬声器系统在安全范围内工作；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pacing w:val="9"/>
          <w:sz w:val="19"/>
        </w:rPr>
        <w:t>附表一十三：环绕音箱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85"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8"/>
              <w:rPr>
                <w:rFonts w:hint="eastAsia" w:ascii="宋体" w:hAnsi="宋体" w:eastAsia="宋体" w:cs="宋体"/>
                <w:b/>
                <w:sz w:val="28"/>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spacing w:before="80"/>
              <w:ind w:left="100"/>
              <w:rPr>
                <w:rFonts w:hint="eastAsia" w:ascii="宋体" w:hAnsi="宋体" w:eastAsia="宋体" w:cs="宋体"/>
                <w:sz w:val="17"/>
              </w:rPr>
            </w:pPr>
            <w:r>
              <w:rPr>
                <w:rFonts w:hint="eastAsia" w:ascii="宋体" w:hAnsi="宋体" w:eastAsia="宋体" w:cs="宋体"/>
                <w:w w:val="115"/>
                <w:sz w:val="17"/>
              </w:rPr>
              <w:t>1.额定功率 ：≥100W；</w:t>
            </w:r>
          </w:p>
          <w:p>
            <w:pPr>
              <w:pStyle w:val="19"/>
              <w:spacing w:before="167"/>
              <w:ind w:left="100"/>
              <w:rPr>
                <w:rFonts w:hint="eastAsia" w:ascii="宋体" w:hAnsi="宋体" w:eastAsia="宋体" w:cs="宋体"/>
                <w:sz w:val="17"/>
              </w:rPr>
            </w:pPr>
            <w:r>
              <w:rPr>
                <w:rFonts w:hint="eastAsia" w:ascii="宋体" w:hAnsi="宋体" w:eastAsia="宋体" w:cs="宋体"/>
                <w:w w:val="115"/>
                <w:sz w:val="17"/>
              </w:rPr>
              <w:t>2.峰值功率：≥400W；</w:t>
            </w:r>
          </w:p>
          <w:p>
            <w:pPr>
              <w:pStyle w:val="19"/>
              <w:spacing w:before="166"/>
              <w:ind w:left="100"/>
              <w:rPr>
                <w:rFonts w:hint="eastAsia" w:ascii="宋体" w:hAnsi="宋体" w:eastAsia="宋体" w:cs="宋体"/>
                <w:sz w:val="17"/>
              </w:rPr>
            </w:pPr>
            <w:r>
              <w:rPr>
                <w:rFonts w:hint="eastAsia" w:ascii="宋体" w:hAnsi="宋体" w:eastAsia="宋体" w:cs="宋体"/>
                <w:w w:val="120"/>
                <w:sz w:val="17"/>
              </w:rPr>
              <w:t>3.</w:t>
            </w:r>
            <w:r>
              <w:rPr>
                <w:rFonts w:hint="eastAsia" w:ascii="宋体" w:hAnsi="宋体" w:eastAsia="宋体" w:cs="宋体"/>
                <w:w w:val="110"/>
                <w:sz w:val="17"/>
              </w:rPr>
              <w:t>阻抗：8Ω；</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4</w:t>
            </w:r>
            <w:r>
              <w:rPr>
                <w:rFonts w:hint="eastAsia" w:ascii="宋体" w:hAnsi="宋体" w:eastAsia="宋体" w:cs="宋体"/>
                <w:spacing w:val="-6"/>
                <w:w w:val="154"/>
                <w:sz w:val="17"/>
              </w:rPr>
              <w:t>.</w:t>
            </w:r>
            <w:r>
              <w:rPr>
                <w:rFonts w:hint="eastAsia" w:ascii="宋体" w:hAnsi="宋体" w:eastAsia="宋体" w:cs="宋体"/>
                <w:w w:val="98"/>
                <w:sz w:val="17"/>
              </w:rPr>
              <w:t>灵敏度</w:t>
            </w:r>
            <w:r>
              <w:rPr>
                <w:rFonts w:hint="eastAsia" w:ascii="宋体" w:hAnsi="宋体" w:eastAsia="宋体" w:cs="宋体"/>
                <w:spacing w:val="-6"/>
                <w:w w:val="126"/>
                <w:sz w:val="17"/>
              </w:rPr>
              <w:t>(</w:t>
            </w:r>
            <w:r>
              <w:rPr>
                <w:rFonts w:hint="eastAsia" w:ascii="宋体" w:hAnsi="宋体" w:eastAsia="宋体" w:cs="宋体"/>
                <w:spacing w:val="1"/>
                <w:w w:val="125"/>
                <w:sz w:val="17"/>
              </w:rPr>
              <w:t>1</w:t>
            </w:r>
            <w:r>
              <w:rPr>
                <w:rFonts w:hint="eastAsia" w:ascii="宋体" w:hAnsi="宋体" w:eastAsia="宋体" w:cs="宋体"/>
                <w:spacing w:val="-11"/>
                <w:w w:val="131"/>
                <w:sz w:val="17"/>
              </w:rPr>
              <w:t>W</w:t>
            </w:r>
            <w:r>
              <w:rPr>
                <w:rFonts w:hint="eastAsia" w:ascii="宋体" w:hAnsi="宋体" w:eastAsia="宋体" w:cs="宋体"/>
                <w:spacing w:val="3"/>
                <w:w w:val="66"/>
                <w:sz w:val="17"/>
              </w:rPr>
              <w:t>/</w:t>
            </w:r>
            <w:r>
              <w:rPr>
                <w:rFonts w:hint="eastAsia" w:ascii="宋体" w:hAnsi="宋体" w:eastAsia="宋体" w:cs="宋体"/>
                <w:spacing w:val="1"/>
                <w:w w:val="125"/>
                <w:sz w:val="17"/>
              </w:rPr>
              <w:t>1</w:t>
            </w:r>
            <w:r>
              <w:rPr>
                <w:rFonts w:hint="eastAsia" w:ascii="宋体" w:hAnsi="宋体" w:eastAsia="宋体" w:cs="宋体"/>
                <w:spacing w:val="-1"/>
                <w:w w:val="114"/>
                <w:sz w:val="17"/>
              </w:rPr>
              <w:t>M</w:t>
            </w:r>
            <w:r>
              <w:rPr>
                <w:rFonts w:hint="eastAsia" w:ascii="宋体" w:hAnsi="宋体" w:eastAsia="宋体" w:cs="宋体"/>
                <w:spacing w:val="-6"/>
                <w:w w:val="126"/>
                <w:sz w:val="17"/>
              </w:rPr>
              <w:t>)</w:t>
            </w:r>
            <w:r>
              <w:rPr>
                <w:rFonts w:hint="eastAsia" w:ascii="宋体" w:hAnsi="宋体" w:eastAsia="宋体" w:cs="宋体"/>
                <w:w w:val="98"/>
                <w:sz w:val="17"/>
              </w:rPr>
              <w:t>：</w:t>
            </w:r>
            <w:r>
              <w:rPr>
                <w:rFonts w:hint="eastAsia" w:ascii="宋体" w:hAnsi="宋体" w:eastAsia="宋体" w:cs="宋体"/>
                <w:spacing w:val="3"/>
                <w:w w:val="164"/>
                <w:sz w:val="17"/>
              </w:rPr>
              <w:t>≥</w:t>
            </w:r>
            <w:r>
              <w:rPr>
                <w:rFonts w:hint="eastAsia" w:ascii="宋体" w:hAnsi="宋体" w:eastAsia="宋体" w:cs="宋体"/>
                <w:spacing w:val="1"/>
                <w:w w:val="125"/>
                <w:sz w:val="17"/>
              </w:rPr>
              <w:t>91</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w w:val="98"/>
                <w:sz w:val="17"/>
              </w:rPr>
              <w:t>；</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5</w:t>
            </w:r>
            <w:r>
              <w:rPr>
                <w:rFonts w:hint="eastAsia" w:ascii="宋体" w:hAnsi="宋体" w:eastAsia="宋体" w:cs="宋体"/>
                <w:spacing w:val="-6"/>
                <w:w w:val="154"/>
                <w:sz w:val="17"/>
              </w:rPr>
              <w:t>.</w:t>
            </w:r>
            <w:r>
              <w:rPr>
                <w:rFonts w:hint="eastAsia" w:ascii="宋体" w:hAnsi="宋体" w:eastAsia="宋体" w:cs="宋体"/>
                <w:w w:val="98"/>
                <w:sz w:val="17"/>
              </w:rPr>
              <w:t>最大声压级（额定</w:t>
            </w:r>
            <w:r>
              <w:rPr>
                <w:rFonts w:hint="eastAsia" w:ascii="宋体" w:hAnsi="宋体" w:eastAsia="宋体" w:cs="宋体"/>
                <w:spacing w:val="3"/>
                <w:w w:val="66"/>
                <w:sz w:val="17"/>
              </w:rPr>
              <w:t>/</w:t>
            </w:r>
            <w:r>
              <w:rPr>
                <w:rFonts w:hint="eastAsia" w:ascii="宋体" w:hAnsi="宋体" w:eastAsia="宋体" w:cs="宋体"/>
                <w:w w:val="98"/>
                <w:sz w:val="17"/>
              </w:rPr>
              <w:t>峰值）：</w:t>
            </w:r>
            <w:r>
              <w:rPr>
                <w:rFonts w:hint="eastAsia" w:ascii="宋体" w:hAnsi="宋体" w:eastAsia="宋体" w:cs="宋体"/>
                <w:spacing w:val="3"/>
                <w:w w:val="164"/>
                <w:sz w:val="17"/>
              </w:rPr>
              <w:t>≥</w:t>
            </w:r>
            <w:r>
              <w:rPr>
                <w:rFonts w:hint="eastAsia" w:ascii="宋体" w:hAnsi="宋体" w:eastAsia="宋体" w:cs="宋体"/>
                <w:spacing w:val="1"/>
                <w:w w:val="125"/>
                <w:sz w:val="17"/>
              </w:rPr>
              <w:t>111</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spacing w:val="3"/>
                <w:w w:val="66"/>
                <w:sz w:val="17"/>
              </w:rPr>
              <w:t>/</w:t>
            </w:r>
            <w:r>
              <w:rPr>
                <w:rFonts w:hint="eastAsia" w:ascii="宋体" w:hAnsi="宋体" w:eastAsia="宋体" w:cs="宋体"/>
                <w:spacing w:val="1"/>
                <w:w w:val="125"/>
                <w:sz w:val="17"/>
              </w:rPr>
              <w:t>117</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w w:val="98"/>
                <w:sz w:val="17"/>
              </w:rPr>
              <w:t>；</w:t>
            </w:r>
          </w:p>
          <w:p>
            <w:pPr>
              <w:pStyle w:val="19"/>
              <w:spacing w:before="167"/>
              <w:ind w:left="100"/>
              <w:rPr>
                <w:rFonts w:hint="eastAsia" w:ascii="宋体" w:hAnsi="宋体" w:eastAsia="宋体" w:cs="宋体"/>
                <w:sz w:val="17"/>
              </w:rPr>
            </w:pPr>
            <w:r>
              <w:rPr>
                <w:rFonts w:hint="eastAsia" w:ascii="宋体" w:hAnsi="宋体" w:eastAsia="宋体" w:cs="宋体"/>
                <w:w w:val="110"/>
                <w:sz w:val="17"/>
              </w:rPr>
              <w:t>6.频率响应(-10dB)：50-20KHz；</w:t>
            </w:r>
          </w:p>
          <w:p>
            <w:pPr>
              <w:pStyle w:val="19"/>
              <w:spacing w:before="166"/>
              <w:ind w:left="100"/>
              <w:rPr>
                <w:rFonts w:hint="eastAsia" w:ascii="宋体" w:hAnsi="宋体" w:eastAsia="宋体" w:cs="宋体"/>
                <w:sz w:val="17"/>
              </w:rPr>
            </w:pPr>
            <w:r>
              <w:rPr>
                <w:rFonts w:hint="eastAsia" w:ascii="宋体" w:hAnsi="宋体" w:eastAsia="宋体" w:cs="宋体"/>
                <w:w w:val="110"/>
                <w:sz w:val="17"/>
              </w:rPr>
              <w:t>7.喇叭单元：8"×1 ，1.5"×1；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pacing w:val="9"/>
          <w:sz w:val="19"/>
        </w:rPr>
        <w:t>附表一十四：环绕功放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pgSz w:w="11900" w:h="16840"/>
          <w:pgMar w:top="500" w:right="560" w:bottom="280" w:left="540" w:header="0" w:footer="9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410"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6"/>
              <w:rPr>
                <w:rFonts w:hint="eastAsia" w:ascii="宋体" w:hAnsi="宋体" w:eastAsia="宋体" w:cs="宋体"/>
                <w:b/>
                <w:sz w:val="24"/>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spacing w:before="80"/>
              <w:ind w:left="100"/>
              <w:rPr>
                <w:rFonts w:hint="eastAsia" w:ascii="宋体" w:hAnsi="宋体" w:eastAsia="宋体" w:cs="宋体"/>
                <w:sz w:val="17"/>
              </w:rPr>
            </w:pPr>
            <w:r>
              <w:rPr>
                <w:rFonts w:hint="eastAsia" w:ascii="宋体" w:hAnsi="宋体" w:eastAsia="宋体" w:cs="宋体"/>
                <w:w w:val="110"/>
                <w:sz w:val="17"/>
              </w:rPr>
              <w:t>1.额定输出功率：2x350W4R；2x180W8R；</w:t>
            </w:r>
          </w:p>
          <w:p>
            <w:pPr>
              <w:pStyle w:val="19"/>
              <w:spacing w:before="167" w:line="422" w:lineRule="auto"/>
              <w:ind w:left="100" w:right="85"/>
              <w:rPr>
                <w:rFonts w:hint="eastAsia" w:ascii="宋体" w:hAnsi="宋体" w:eastAsia="宋体" w:cs="宋体"/>
                <w:sz w:val="17"/>
              </w:rPr>
            </w:pPr>
            <w:r>
              <w:rPr>
                <w:rFonts w:hint="eastAsia" w:ascii="宋体" w:hAnsi="宋体" w:eastAsia="宋体" w:cs="宋体"/>
                <w:spacing w:val="1"/>
                <w:w w:val="125"/>
                <w:sz w:val="17"/>
              </w:rPr>
              <w:t>2</w:t>
            </w:r>
            <w:r>
              <w:rPr>
                <w:rFonts w:hint="eastAsia" w:ascii="宋体" w:hAnsi="宋体" w:eastAsia="宋体" w:cs="宋体"/>
                <w:spacing w:val="-6"/>
                <w:w w:val="154"/>
                <w:sz w:val="17"/>
              </w:rPr>
              <w:t>.</w:t>
            </w:r>
            <w:r>
              <w:rPr>
                <w:rFonts w:hint="eastAsia" w:ascii="宋体" w:hAnsi="宋体" w:eastAsia="宋体" w:cs="宋体"/>
                <w:w w:val="98"/>
                <w:sz w:val="17"/>
              </w:rPr>
              <w:t>输入灵敏度与阻抗：</w:t>
            </w:r>
            <w:r>
              <w:rPr>
                <w:rFonts w:hint="eastAsia" w:ascii="宋体" w:hAnsi="宋体" w:eastAsia="宋体" w:cs="宋体"/>
                <w:spacing w:val="-1"/>
                <w:w w:val="114"/>
                <w:sz w:val="17"/>
              </w:rPr>
              <w:t>M</w:t>
            </w:r>
            <w:r>
              <w:rPr>
                <w:rFonts w:hint="eastAsia" w:ascii="宋体" w:hAnsi="宋体" w:eastAsia="宋体" w:cs="宋体"/>
                <w:spacing w:val="-14"/>
                <w:w w:val="118"/>
                <w:sz w:val="17"/>
              </w:rPr>
              <w:t>I</w:t>
            </w:r>
            <w:r>
              <w:rPr>
                <w:rFonts w:hint="eastAsia" w:ascii="宋体" w:hAnsi="宋体" w:eastAsia="宋体" w:cs="宋体"/>
                <w:spacing w:val="2"/>
                <w:w w:val="103"/>
                <w:sz w:val="17"/>
              </w:rPr>
              <w:t>C</w:t>
            </w:r>
            <w:r>
              <w:rPr>
                <w:rFonts w:hint="eastAsia" w:ascii="宋体" w:hAnsi="宋体" w:eastAsia="宋体" w:cs="宋体"/>
                <w:spacing w:val="1"/>
                <w:w w:val="125"/>
                <w:sz w:val="17"/>
              </w:rPr>
              <w:t>1</w:t>
            </w:r>
            <w:r>
              <w:rPr>
                <w:rFonts w:hint="eastAsia" w:ascii="宋体" w:hAnsi="宋体" w:eastAsia="宋体" w:cs="宋体"/>
                <w:spacing w:val="-6"/>
                <w:w w:val="154"/>
                <w:sz w:val="17"/>
              </w:rPr>
              <w:t>,</w:t>
            </w:r>
            <w:r>
              <w:rPr>
                <w:rFonts w:hint="eastAsia" w:ascii="宋体" w:hAnsi="宋体" w:eastAsia="宋体" w:cs="宋体"/>
                <w:spacing w:val="1"/>
                <w:w w:val="125"/>
                <w:sz w:val="17"/>
              </w:rPr>
              <w:t>2</w:t>
            </w:r>
            <w:r>
              <w:rPr>
                <w:rFonts w:hint="eastAsia" w:ascii="宋体" w:hAnsi="宋体" w:eastAsia="宋体" w:cs="宋体"/>
                <w:spacing w:val="-6"/>
                <w:w w:val="154"/>
                <w:sz w:val="17"/>
              </w:rPr>
              <w:t>,</w:t>
            </w:r>
            <w:r>
              <w:rPr>
                <w:rFonts w:hint="eastAsia" w:ascii="宋体" w:hAnsi="宋体" w:eastAsia="宋体" w:cs="宋体"/>
                <w:spacing w:val="1"/>
                <w:w w:val="125"/>
                <w:sz w:val="17"/>
              </w:rPr>
              <w:t>3</w:t>
            </w:r>
            <w:r>
              <w:rPr>
                <w:rFonts w:hint="eastAsia" w:ascii="宋体" w:hAnsi="宋体" w:eastAsia="宋体" w:cs="宋体"/>
                <w:w w:val="98"/>
                <w:sz w:val="17"/>
              </w:rPr>
              <w:t>：</w:t>
            </w:r>
            <w:r>
              <w:rPr>
                <w:rFonts w:hint="eastAsia" w:ascii="宋体" w:hAnsi="宋体" w:eastAsia="宋体" w:cs="宋体"/>
                <w:spacing w:val="3"/>
                <w:w w:val="82"/>
                <w:sz w:val="17"/>
              </w:rPr>
              <w:t>±</w:t>
            </w:r>
            <w:r>
              <w:rPr>
                <w:rFonts w:hint="eastAsia" w:ascii="宋体" w:hAnsi="宋体" w:eastAsia="宋体" w:cs="宋体"/>
                <w:spacing w:val="1"/>
                <w:w w:val="125"/>
                <w:sz w:val="17"/>
              </w:rPr>
              <w:t>2</w:t>
            </w:r>
            <w:r>
              <w:rPr>
                <w:rFonts w:hint="eastAsia" w:ascii="宋体" w:hAnsi="宋体" w:eastAsia="宋体" w:cs="宋体"/>
                <w:spacing w:val="-6"/>
                <w:w w:val="154"/>
                <w:sz w:val="17"/>
              </w:rPr>
              <w:t>.</w:t>
            </w:r>
            <w:r>
              <w:rPr>
                <w:rFonts w:hint="eastAsia" w:ascii="宋体" w:hAnsi="宋体" w:eastAsia="宋体" w:cs="宋体"/>
                <w:spacing w:val="1"/>
                <w:w w:val="125"/>
                <w:sz w:val="17"/>
              </w:rPr>
              <w:t>5</w:t>
            </w:r>
            <w:r>
              <w:rPr>
                <w:rFonts w:hint="eastAsia" w:ascii="宋体" w:hAnsi="宋体" w:eastAsia="宋体" w:cs="宋体"/>
                <w:spacing w:val="-8"/>
                <w:w w:val="131"/>
                <w:sz w:val="17"/>
              </w:rPr>
              <w:t>m</w:t>
            </w:r>
            <w:r>
              <w:rPr>
                <w:rFonts w:hint="eastAsia" w:ascii="宋体" w:hAnsi="宋体" w:eastAsia="宋体" w:cs="宋体"/>
                <w:spacing w:val="-7"/>
                <w:w w:val="106"/>
                <w:sz w:val="17"/>
              </w:rPr>
              <w:t>V</w:t>
            </w:r>
            <w:r>
              <w:rPr>
                <w:rFonts w:hint="eastAsia" w:ascii="宋体" w:hAnsi="宋体" w:eastAsia="宋体" w:cs="宋体"/>
                <w:spacing w:val="3"/>
                <w:w w:val="66"/>
                <w:sz w:val="17"/>
              </w:rPr>
              <w:t>/</w:t>
            </w:r>
            <w:r>
              <w:rPr>
                <w:rFonts w:hint="eastAsia" w:ascii="宋体" w:hAnsi="宋体" w:eastAsia="宋体" w:cs="宋体"/>
                <w:spacing w:val="1"/>
                <w:w w:val="125"/>
                <w:sz w:val="17"/>
              </w:rPr>
              <w:t>600</w:t>
            </w:r>
            <w:r>
              <w:rPr>
                <w:rFonts w:hint="eastAsia" w:ascii="宋体" w:hAnsi="宋体" w:eastAsia="宋体" w:cs="宋体"/>
                <w:spacing w:val="3"/>
                <w:w w:val="75"/>
                <w:sz w:val="17"/>
              </w:rPr>
              <w:t>Ω</w:t>
            </w:r>
            <w:r>
              <w:rPr>
                <w:rFonts w:hint="eastAsia" w:ascii="宋体" w:hAnsi="宋体" w:eastAsia="宋体" w:cs="宋体"/>
                <w:spacing w:val="-1"/>
                <w:w w:val="71"/>
                <w:sz w:val="17"/>
              </w:rPr>
              <w:t>-</w:t>
            </w:r>
            <w:r>
              <w:rPr>
                <w:rFonts w:hint="eastAsia" w:ascii="宋体" w:hAnsi="宋体" w:eastAsia="宋体" w:cs="宋体"/>
                <w:spacing w:val="3"/>
                <w:w w:val="82"/>
                <w:sz w:val="17"/>
              </w:rPr>
              <w:t>±</w:t>
            </w:r>
            <w:r>
              <w:rPr>
                <w:rFonts w:hint="eastAsia" w:ascii="宋体" w:hAnsi="宋体" w:eastAsia="宋体" w:cs="宋体"/>
                <w:spacing w:val="1"/>
                <w:w w:val="125"/>
                <w:sz w:val="17"/>
              </w:rPr>
              <w:t>200</w:t>
            </w:r>
            <w:r>
              <w:rPr>
                <w:rFonts w:hint="eastAsia" w:ascii="宋体" w:hAnsi="宋体" w:eastAsia="宋体" w:cs="宋体"/>
                <w:spacing w:val="-8"/>
                <w:w w:val="131"/>
                <w:sz w:val="17"/>
              </w:rPr>
              <w:t>m</w:t>
            </w:r>
            <w:r>
              <w:rPr>
                <w:rFonts w:hint="eastAsia" w:ascii="宋体" w:hAnsi="宋体" w:eastAsia="宋体" w:cs="宋体"/>
                <w:spacing w:val="-7"/>
                <w:w w:val="106"/>
                <w:sz w:val="17"/>
              </w:rPr>
              <w:t>V</w:t>
            </w:r>
            <w:r>
              <w:rPr>
                <w:rFonts w:hint="eastAsia" w:ascii="宋体" w:hAnsi="宋体" w:eastAsia="宋体" w:cs="宋体"/>
                <w:spacing w:val="3"/>
                <w:w w:val="66"/>
                <w:sz w:val="17"/>
              </w:rPr>
              <w:t>/</w:t>
            </w:r>
            <w:r>
              <w:rPr>
                <w:rFonts w:hint="eastAsia" w:ascii="宋体" w:hAnsi="宋体" w:eastAsia="宋体" w:cs="宋体"/>
                <w:spacing w:val="1"/>
                <w:w w:val="125"/>
                <w:sz w:val="17"/>
              </w:rPr>
              <w:t>10</w:t>
            </w:r>
            <w:r>
              <w:rPr>
                <w:rFonts w:hint="eastAsia" w:ascii="宋体" w:hAnsi="宋体" w:eastAsia="宋体" w:cs="宋体"/>
                <w:spacing w:val="-3"/>
                <w:w w:val="108"/>
                <w:sz w:val="17"/>
              </w:rPr>
              <w:t>K</w:t>
            </w:r>
            <w:r>
              <w:rPr>
                <w:rFonts w:hint="eastAsia" w:ascii="宋体" w:hAnsi="宋体" w:eastAsia="宋体" w:cs="宋体"/>
                <w:spacing w:val="3"/>
                <w:w w:val="75"/>
                <w:sz w:val="17"/>
              </w:rPr>
              <w:t>Ω</w:t>
            </w:r>
            <w:r>
              <w:rPr>
                <w:rFonts w:hint="eastAsia" w:ascii="宋体" w:hAnsi="宋体" w:eastAsia="宋体" w:cs="宋体"/>
                <w:spacing w:val="-6"/>
                <w:w w:val="154"/>
                <w:sz w:val="17"/>
              </w:rPr>
              <w:t>,</w:t>
            </w:r>
            <w:r>
              <w:rPr>
                <w:rFonts w:hint="eastAsia" w:ascii="宋体" w:hAnsi="宋体" w:eastAsia="宋体" w:cs="宋体"/>
                <w:w w:val="98"/>
                <w:sz w:val="17"/>
              </w:rPr>
              <w:t>带幻象平衡输入；</w:t>
            </w:r>
            <w:r>
              <w:rPr>
                <w:rFonts w:hint="eastAsia" w:ascii="宋体" w:hAnsi="宋体" w:eastAsia="宋体" w:cs="宋体"/>
                <w:spacing w:val="2"/>
                <w:w w:val="117"/>
                <w:sz w:val="17"/>
              </w:rPr>
              <w:t>D</w:t>
            </w:r>
            <w:r>
              <w:rPr>
                <w:rFonts w:hint="eastAsia" w:ascii="宋体" w:hAnsi="宋体" w:eastAsia="宋体" w:cs="宋体"/>
                <w:spacing w:val="-7"/>
                <w:w w:val="106"/>
                <w:sz w:val="17"/>
              </w:rPr>
              <w:t>V</w:t>
            </w:r>
            <w:r>
              <w:rPr>
                <w:rFonts w:hint="eastAsia" w:ascii="宋体" w:hAnsi="宋体" w:eastAsia="宋体" w:cs="宋体"/>
                <w:spacing w:val="2"/>
                <w:w w:val="117"/>
                <w:sz w:val="17"/>
              </w:rPr>
              <w:t>D</w:t>
            </w:r>
            <w:r>
              <w:rPr>
                <w:rFonts w:hint="eastAsia" w:ascii="宋体" w:hAnsi="宋体" w:eastAsia="宋体" w:cs="宋体"/>
                <w:w w:val="98"/>
                <w:sz w:val="17"/>
              </w:rPr>
              <w:t>：</w:t>
            </w:r>
            <w:r>
              <w:rPr>
                <w:rFonts w:hint="eastAsia" w:ascii="宋体" w:hAnsi="宋体" w:eastAsia="宋体" w:cs="宋体"/>
                <w:spacing w:val="1"/>
                <w:w w:val="125"/>
                <w:sz w:val="17"/>
              </w:rPr>
              <w:t>350</w:t>
            </w:r>
            <w:r>
              <w:rPr>
                <w:rFonts w:hint="eastAsia" w:ascii="宋体" w:hAnsi="宋体" w:eastAsia="宋体" w:cs="宋体"/>
                <w:spacing w:val="-8"/>
                <w:w w:val="131"/>
                <w:sz w:val="17"/>
              </w:rPr>
              <w:t>m</w:t>
            </w:r>
            <w:r>
              <w:rPr>
                <w:rFonts w:hint="eastAsia" w:ascii="宋体" w:hAnsi="宋体" w:eastAsia="宋体" w:cs="宋体"/>
                <w:spacing w:val="-7"/>
                <w:w w:val="106"/>
                <w:sz w:val="17"/>
              </w:rPr>
              <w:t>V</w:t>
            </w:r>
            <w:r>
              <w:rPr>
                <w:rFonts w:hint="eastAsia" w:ascii="宋体" w:hAnsi="宋体" w:eastAsia="宋体" w:cs="宋体"/>
                <w:spacing w:val="3"/>
                <w:w w:val="66"/>
                <w:sz w:val="17"/>
              </w:rPr>
              <w:t>/</w:t>
            </w:r>
            <w:r>
              <w:rPr>
                <w:rFonts w:hint="eastAsia" w:ascii="宋体" w:hAnsi="宋体" w:eastAsia="宋体" w:cs="宋体"/>
                <w:spacing w:val="1"/>
                <w:w w:val="125"/>
                <w:sz w:val="17"/>
              </w:rPr>
              <w:t>10</w:t>
            </w:r>
            <w:r>
              <w:rPr>
                <w:rFonts w:hint="eastAsia" w:ascii="宋体" w:hAnsi="宋体" w:eastAsia="宋体" w:cs="宋体"/>
                <w:spacing w:val="-3"/>
                <w:w w:val="108"/>
                <w:sz w:val="17"/>
              </w:rPr>
              <w:t>K</w:t>
            </w:r>
            <w:r>
              <w:rPr>
                <w:rFonts w:hint="eastAsia" w:ascii="宋体" w:hAnsi="宋体" w:eastAsia="宋体" w:cs="宋体"/>
                <w:spacing w:val="3"/>
                <w:w w:val="75"/>
                <w:sz w:val="17"/>
              </w:rPr>
              <w:t>Ω</w:t>
            </w:r>
            <w:r>
              <w:rPr>
                <w:rFonts w:hint="eastAsia" w:ascii="宋体" w:hAnsi="宋体" w:eastAsia="宋体" w:cs="宋体"/>
                <w:w w:val="98"/>
                <w:sz w:val="17"/>
              </w:rPr>
              <w:t>（非平衡</w:t>
            </w:r>
            <w:r>
              <w:rPr>
                <w:rFonts w:hint="eastAsia" w:ascii="宋体" w:hAnsi="宋体" w:eastAsia="宋体" w:cs="宋体"/>
                <w:w w:val="105"/>
                <w:sz w:val="17"/>
              </w:rPr>
              <w:t xml:space="preserve">输入）；VCD：350mV/10KΩ（非平衡输入）；BMG：350mV/10KΩ（非平衡输入）；光纤、同轴：1000mV； </w:t>
            </w:r>
            <w:r>
              <w:rPr>
                <w:rFonts w:hint="eastAsia" w:ascii="宋体" w:hAnsi="宋体" w:eastAsia="宋体" w:cs="宋体"/>
                <w:spacing w:val="1"/>
                <w:w w:val="125"/>
                <w:sz w:val="17"/>
              </w:rPr>
              <w:t>3</w:t>
            </w:r>
            <w:r>
              <w:rPr>
                <w:rFonts w:hint="eastAsia" w:ascii="宋体" w:hAnsi="宋体" w:eastAsia="宋体" w:cs="宋体"/>
                <w:spacing w:val="-6"/>
                <w:w w:val="154"/>
                <w:sz w:val="17"/>
              </w:rPr>
              <w:t>.</w:t>
            </w:r>
            <w:r>
              <w:rPr>
                <w:rFonts w:hint="eastAsia" w:ascii="宋体" w:hAnsi="宋体" w:eastAsia="宋体" w:cs="宋体"/>
                <w:w w:val="98"/>
                <w:sz w:val="17"/>
              </w:rPr>
              <w:t>输出：</w:t>
            </w:r>
            <w:r>
              <w:rPr>
                <w:rFonts w:hint="eastAsia" w:ascii="宋体" w:hAnsi="宋体" w:eastAsia="宋体" w:cs="宋体"/>
                <w:spacing w:val="1"/>
                <w:w w:val="104"/>
                <w:sz w:val="17"/>
              </w:rPr>
              <w:t>S</w:t>
            </w:r>
            <w:r>
              <w:rPr>
                <w:rFonts w:hint="eastAsia" w:ascii="宋体" w:hAnsi="宋体" w:eastAsia="宋体" w:cs="宋体"/>
                <w:spacing w:val="-6"/>
                <w:w w:val="154"/>
                <w:sz w:val="17"/>
              </w:rPr>
              <w:t>.</w:t>
            </w:r>
            <w:r>
              <w:rPr>
                <w:rFonts w:hint="eastAsia" w:ascii="宋体" w:hAnsi="宋体" w:eastAsia="宋体" w:cs="宋体"/>
                <w:spacing w:val="-11"/>
                <w:w w:val="131"/>
                <w:sz w:val="17"/>
              </w:rPr>
              <w:t>W</w:t>
            </w:r>
            <w:r>
              <w:rPr>
                <w:rFonts w:hint="eastAsia" w:ascii="宋体" w:hAnsi="宋体" w:eastAsia="宋体" w:cs="宋体"/>
                <w:spacing w:val="-6"/>
                <w:w w:val="126"/>
                <w:sz w:val="17"/>
              </w:rPr>
              <w:t>(</w:t>
            </w:r>
            <w:r>
              <w:rPr>
                <w:rFonts w:hint="eastAsia" w:ascii="宋体" w:hAnsi="宋体" w:eastAsia="宋体" w:cs="宋体"/>
                <w:spacing w:val="1"/>
                <w:w w:val="125"/>
                <w:sz w:val="17"/>
              </w:rPr>
              <w:t>150</w:t>
            </w:r>
            <w:r>
              <w:rPr>
                <w:rFonts w:hint="eastAsia" w:ascii="宋体" w:hAnsi="宋体" w:eastAsia="宋体" w:cs="宋体"/>
                <w:spacing w:val="-7"/>
                <w:w w:val="116"/>
                <w:sz w:val="17"/>
              </w:rPr>
              <w:t>H</w:t>
            </w:r>
            <w:r>
              <w:rPr>
                <w:rFonts w:hint="eastAsia" w:ascii="宋体" w:hAnsi="宋体" w:eastAsia="宋体" w:cs="宋体"/>
                <w:spacing w:val="7"/>
                <w:w w:val="113"/>
                <w:sz w:val="17"/>
              </w:rPr>
              <w:t>z</w:t>
            </w:r>
            <w:r>
              <w:rPr>
                <w:rFonts w:hint="eastAsia" w:ascii="宋体" w:hAnsi="宋体" w:eastAsia="宋体" w:cs="宋体"/>
                <w:spacing w:val="-6"/>
                <w:w w:val="126"/>
                <w:sz w:val="17"/>
              </w:rPr>
              <w:t>)</w:t>
            </w:r>
            <w:r>
              <w:rPr>
                <w:rFonts w:hint="eastAsia" w:ascii="宋体" w:hAnsi="宋体" w:eastAsia="宋体" w:cs="宋体"/>
                <w:spacing w:val="3"/>
                <w:w w:val="163"/>
                <w:sz w:val="17"/>
              </w:rPr>
              <w:t>:</w:t>
            </w:r>
            <w:r>
              <w:rPr>
                <w:rFonts w:hint="eastAsia" w:ascii="宋体" w:hAnsi="宋体" w:eastAsia="宋体" w:cs="宋体"/>
                <w:spacing w:val="1"/>
                <w:w w:val="125"/>
                <w:sz w:val="17"/>
              </w:rPr>
              <w:t>1</w:t>
            </w:r>
            <w:r>
              <w:rPr>
                <w:rFonts w:hint="eastAsia" w:ascii="宋体" w:hAnsi="宋体" w:eastAsia="宋体" w:cs="宋体"/>
                <w:spacing w:val="-7"/>
                <w:w w:val="106"/>
                <w:sz w:val="17"/>
              </w:rPr>
              <w:t>V</w:t>
            </w:r>
            <w:r>
              <w:rPr>
                <w:rFonts w:hint="eastAsia" w:ascii="宋体" w:hAnsi="宋体" w:eastAsia="宋体" w:cs="宋体"/>
                <w:spacing w:val="3"/>
                <w:w w:val="66"/>
                <w:sz w:val="17"/>
              </w:rPr>
              <w:t>/</w:t>
            </w:r>
            <w:r>
              <w:rPr>
                <w:rFonts w:hint="eastAsia" w:ascii="宋体" w:hAnsi="宋体" w:eastAsia="宋体" w:cs="宋体"/>
                <w:spacing w:val="1"/>
                <w:w w:val="125"/>
                <w:sz w:val="17"/>
              </w:rPr>
              <w:t>470</w:t>
            </w:r>
            <w:r>
              <w:rPr>
                <w:rFonts w:hint="eastAsia" w:ascii="宋体" w:hAnsi="宋体" w:eastAsia="宋体" w:cs="宋体"/>
                <w:spacing w:val="3"/>
                <w:w w:val="75"/>
                <w:sz w:val="17"/>
              </w:rPr>
              <w:t>Ω</w:t>
            </w:r>
            <w:r>
              <w:rPr>
                <w:rFonts w:hint="eastAsia" w:ascii="宋体" w:hAnsi="宋体" w:eastAsia="宋体" w:cs="宋体"/>
                <w:w w:val="98"/>
                <w:sz w:val="17"/>
              </w:rPr>
              <w:t>；</w:t>
            </w:r>
            <w:r>
              <w:rPr>
                <w:rFonts w:hint="eastAsia" w:ascii="宋体" w:hAnsi="宋体" w:eastAsia="宋体" w:cs="宋体"/>
                <w:spacing w:val="6"/>
                <w:w w:val="96"/>
                <w:sz w:val="17"/>
              </w:rPr>
              <w:t>P</w:t>
            </w:r>
            <w:r>
              <w:rPr>
                <w:rFonts w:hint="eastAsia" w:ascii="宋体" w:hAnsi="宋体" w:eastAsia="宋体" w:cs="宋体"/>
                <w:spacing w:val="3"/>
                <w:w w:val="109"/>
                <w:sz w:val="17"/>
              </w:rPr>
              <w:t>R</w:t>
            </w:r>
            <w:r>
              <w:rPr>
                <w:rFonts w:hint="eastAsia" w:ascii="宋体" w:hAnsi="宋体" w:eastAsia="宋体" w:cs="宋体"/>
                <w:spacing w:val="1"/>
                <w:w w:val="110"/>
                <w:sz w:val="17"/>
              </w:rPr>
              <w:t>E</w:t>
            </w:r>
            <w:r>
              <w:rPr>
                <w:rFonts w:hint="eastAsia" w:ascii="宋体" w:hAnsi="宋体" w:eastAsia="宋体" w:cs="宋体"/>
                <w:spacing w:val="3"/>
                <w:w w:val="163"/>
                <w:sz w:val="17"/>
              </w:rPr>
              <w:t>:</w:t>
            </w:r>
            <w:r>
              <w:rPr>
                <w:rFonts w:hint="eastAsia" w:ascii="宋体" w:hAnsi="宋体" w:eastAsia="宋体" w:cs="宋体"/>
                <w:spacing w:val="1"/>
                <w:w w:val="125"/>
                <w:sz w:val="17"/>
              </w:rPr>
              <w:t>1</w:t>
            </w:r>
            <w:r>
              <w:rPr>
                <w:rFonts w:hint="eastAsia" w:ascii="宋体" w:hAnsi="宋体" w:eastAsia="宋体" w:cs="宋体"/>
                <w:spacing w:val="-7"/>
                <w:w w:val="106"/>
                <w:sz w:val="17"/>
              </w:rPr>
              <w:t>V</w:t>
            </w:r>
            <w:r>
              <w:rPr>
                <w:rFonts w:hint="eastAsia" w:ascii="宋体" w:hAnsi="宋体" w:eastAsia="宋体" w:cs="宋体"/>
                <w:spacing w:val="3"/>
                <w:w w:val="82"/>
                <w:sz w:val="17"/>
              </w:rPr>
              <w:t>±</w:t>
            </w:r>
            <w:r>
              <w:rPr>
                <w:rFonts w:hint="eastAsia" w:ascii="宋体" w:hAnsi="宋体" w:eastAsia="宋体" w:cs="宋体"/>
                <w:spacing w:val="1"/>
                <w:w w:val="125"/>
                <w:sz w:val="17"/>
              </w:rPr>
              <w:t>50</w:t>
            </w:r>
            <w:r>
              <w:rPr>
                <w:rFonts w:hint="eastAsia" w:ascii="宋体" w:hAnsi="宋体" w:eastAsia="宋体" w:cs="宋体"/>
                <w:spacing w:val="-8"/>
                <w:w w:val="131"/>
                <w:sz w:val="17"/>
              </w:rPr>
              <w:t>m</w:t>
            </w:r>
            <w:r>
              <w:rPr>
                <w:rFonts w:hint="eastAsia" w:ascii="宋体" w:hAnsi="宋体" w:eastAsia="宋体" w:cs="宋体"/>
                <w:spacing w:val="-16"/>
                <w:w w:val="122"/>
                <w:sz w:val="17"/>
              </w:rPr>
              <w:t>v</w:t>
            </w:r>
            <w:r>
              <w:rPr>
                <w:rFonts w:hint="eastAsia" w:ascii="宋体" w:hAnsi="宋体" w:eastAsia="宋体" w:cs="宋体"/>
                <w:spacing w:val="3"/>
                <w:w w:val="66"/>
                <w:sz w:val="17"/>
              </w:rPr>
              <w:t>/</w:t>
            </w:r>
            <w:r>
              <w:rPr>
                <w:rFonts w:hint="eastAsia" w:ascii="宋体" w:hAnsi="宋体" w:eastAsia="宋体" w:cs="宋体"/>
                <w:spacing w:val="1"/>
                <w:w w:val="125"/>
                <w:sz w:val="17"/>
              </w:rPr>
              <w:t>470</w:t>
            </w:r>
            <w:r>
              <w:rPr>
                <w:rFonts w:hint="eastAsia" w:ascii="宋体" w:hAnsi="宋体" w:eastAsia="宋体" w:cs="宋体"/>
                <w:spacing w:val="3"/>
                <w:w w:val="75"/>
                <w:sz w:val="17"/>
              </w:rPr>
              <w:t>Ω</w:t>
            </w:r>
            <w:r>
              <w:rPr>
                <w:rFonts w:hint="eastAsia" w:ascii="宋体" w:hAnsi="宋体" w:eastAsia="宋体" w:cs="宋体"/>
                <w:w w:val="98"/>
                <w:sz w:val="17"/>
              </w:rPr>
              <w:t>；</w:t>
            </w:r>
            <w:r>
              <w:rPr>
                <w:rFonts w:hint="eastAsia" w:ascii="宋体" w:hAnsi="宋体" w:eastAsia="宋体" w:cs="宋体"/>
                <w:spacing w:val="3"/>
                <w:w w:val="109"/>
                <w:sz w:val="17"/>
              </w:rPr>
              <w:t>R</w:t>
            </w:r>
            <w:r>
              <w:rPr>
                <w:rFonts w:hint="eastAsia" w:ascii="宋体" w:hAnsi="宋体" w:eastAsia="宋体" w:cs="宋体"/>
                <w:spacing w:val="1"/>
                <w:w w:val="110"/>
                <w:sz w:val="17"/>
              </w:rPr>
              <w:t>E</w:t>
            </w:r>
            <w:r>
              <w:rPr>
                <w:rFonts w:hint="eastAsia" w:ascii="宋体" w:hAnsi="宋体" w:eastAsia="宋体" w:cs="宋体"/>
                <w:spacing w:val="2"/>
                <w:w w:val="103"/>
                <w:sz w:val="17"/>
              </w:rPr>
              <w:t>C</w:t>
            </w:r>
            <w:r>
              <w:rPr>
                <w:rFonts w:hint="eastAsia" w:ascii="宋体" w:hAnsi="宋体" w:eastAsia="宋体" w:cs="宋体"/>
                <w:spacing w:val="3"/>
                <w:w w:val="163"/>
                <w:sz w:val="17"/>
              </w:rPr>
              <w:t>:</w:t>
            </w:r>
            <w:r>
              <w:rPr>
                <w:rFonts w:hint="eastAsia" w:ascii="宋体" w:hAnsi="宋体" w:eastAsia="宋体" w:cs="宋体"/>
                <w:spacing w:val="1"/>
                <w:w w:val="125"/>
                <w:sz w:val="17"/>
              </w:rPr>
              <w:t>200</w:t>
            </w:r>
            <w:r>
              <w:rPr>
                <w:rFonts w:hint="eastAsia" w:ascii="宋体" w:hAnsi="宋体" w:eastAsia="宋体" w:cs="宋体"/>
                <w:spacing w:val="-8"/>
                <w:w w:val="131"/>
                <w:sz w:val="17"/>
              </w:rPr>
              <w:t>m</w:t>
            </w:r>
            <w:r>
              <w:rPr>
                <w:rFonts w:hint="eastAsia" w:ascii="宋体" w:hAnsi="宋体" w:eastAsia="宋体" w:cs="宋体"/>
                <w:spacing w:val="-7"/>
                <w:w w:val="106"/>
                <w:sz w:val="17"/>
              </w:rPr>
              <w:t>V</w:t>
            </w:r>
            <w:r>
              <w:rPr>
                <w:rFonts w:hint="eastAsia" w:ascii="宋体" w:hAnsi="宋体" w:eastAsia="宋体" w:cs="宋体"/>
                <w:spacing w:val="3"/>
                <w:w w:val="82"/>
                <w:sz w:val="17"/>
              </w:rPr>
              <w:t>±</w:t>
            </w:r>
            <w:r>
              <w:rPr>
                <w:rFonts w:hint="eastAsia" w:ascii="宋体" w:hAnsi="宋体" w:eastAsia="宋体" w:cs="宋体"/>
                <w:spacing w:val="1"/>
                <w:w w:val="125"/>
                <w:sz w:val="17"/>
              </w:rPr>
              <w:t>20</w:t>
            </w:r>
            <w:r>
              <w:rPr>
                <w:rFonts w:hint="eastAsia" w:ascii="宋体" w:hAnsi="宋体" w:eastAsia="宋体" w:cs="宋体"/>
                <w:spacing w:val="-8"/>
                <w:w w:val="131"/>
                <w:sz w:val="17"/>
              </w:rPr>
              <w:t>m</w:t>
            </w:r>
            <w:r>
              <w:rPr>
                <w:rFonts w:hint="eastAsia" w:ascii="宋体" w:hAnsi="宋体" w:eastAsia="宋体" w:cs="宋体"/>
                <w:spacing w:val="-16"/>
                <w:w w:val="122"/>
                <w:sz w:val="17"/>
              </w:rPr>
              <w:t>v</w:t>
            </w:r>
            <w:r>
              <w:rPr>
                <w:rFonts w:hint="eastAsia" w:ascii="宋体" w:hAnsi="宋体" w:eastAsia="宋体" w:cs="宋体"/>
                <w:spacing w:val="3"/>
                <w:w w:val="66"/>
                <w:sz w:val="17"/>
              </w:rPr>
              <w:t>/</w:t>
            </w:r>
            <w:r>
              <w:rPr>
                <w:rFonts w:hint="eastAsia" w:ascii="宋体" w:hAnsi="宋体" w:eastAsia="宋体" w:cs="宋体"/>
                <w:spacing w:val="1"/>
                <w:w w:val="125"/>
                <w:sz w:val="17"/>
              </w:rPr>
              <w:t>470</w:t>
            </w:r>
            <w:r>
              <w:rPr>
                <w:rFonts w:hint="eastAsia" w:ascii="宋体" w:hAnsi="宋体" w:eastAsia="宋体" w:cs="宋体"/>
                <w:spacing w:val="3"/>
                <w:w w:val="75"/>
                <w:sz w:val="17"/>
              </w:rPr>
              <w:t>Ω</w:t>
            </w:r>
            <w:r>
              <w:rPr>
                <w:rFonts w:hint="eastAsia" w:ascii="宋体" w:hAnsi="宋体" w:eastAsia="宋体" w:cs="宋体"/>
                <w:w w:val="98"/>
                <w:sz w:val="17"/>
              </w:rPr>
              <w:t>；</w:t>
            </w:r>
          </w:p>
          <w:p>
            <w:pPr>
              <w:pStyle w:val="19"/>
              <w:numPr>
                <w:ilvl w:val="0"/>
                <w:numId w:val="53"/>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spacing w:val="-5"/>
                <w:w w:val="105"/>
                <w:sz w:val="17"/>
              </w:rPr>
              <w:t>话筒音调：低频:±10dBat100Hz；中频</w:t>
            </w:r>
            <w:r>
              <w:rPr>
                <w:rFonts w:hint="eastAsia" w:ascii="宋体" w:hAnsi="宋体" w:eastAsia="宋体" w:cs="宋体"/>
                <w:spacing w:val="-4"/>
                <w:w w:val="105"/>
                <w:sz w:val="17"/>
              </w:rPr>
              <w:t>:±10dBat2KHz；高频:±10dBat10KHz；</w:t>
            </w:r>
          </w:p>
          <w:p>
            <w:pPr>
              <w:pStyle w:val="19"/>
              <w:numPr>
                <w:ilvl w:val="0"/>
                <w:numId w:val="53"/>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pacing w:val="-5"/>
                <w:w w:val="105"/>
                <w:sz w:val="17"/>
              </w:rPr>
              <w:t>音乐音调：低频:±10dBat100Hz；中频</w:t>
            </w:r>
            <w:r>
              <w:rPr>
                <w:rFonts w:hint="eastAsia" w:ascii="宋体" w:hAnsi="宋体" w:eastAsia="宋体" w:cs="宋体"/>
                <w:spacing w:val="-4"/>
                <w:w w:val="105"/>
                <w:sz w:val="17"/>
              </w:rPr>
              <w:t>:±10dBat2KHz；高频:±10dBat10KHz；</w:t>
            </w:r>
          </w:p>
          <w:p>
            <w:pPr>
              <w:pStyle w:val="19"/>
              <w:numPr>
                <w:ilvl w:val="0"/>
                <w:numId w:val="53"/>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谐波失真：功放额定输出功率</w:t>
            </w:r>
            <w:r>
              <w:rPr>
                <w:rFonts w:hint="eastAsia" w:ascii="宋体" w:hAnsi="宋体" w:eastAsia="宋体" w:cs="宋体"/>
                <w:w w:val="120"/>
                <w:sz w:val="17"/>
              </w:rPr>
              <w:t>1Kz(1/8A</w:t>
            </w:r>
            <w:r>
              <w:rPr>
                <w:rFonts w:hint="eastAsia" w:ascii="宋体" w:hAnsi="宋体" w:eastAsia="宋体" w:cs="宋体"/>
                <w:sz w:val="17"/>
              </w:rPr>
              <w:t>功率条件下</w:t>
            </w:r>
            <w:r>
              <w:rPr>
                <w:rFonts w:hint="eastAsia" w:ascii="宋体" w:hAnsi="宋体" w:eastAsia="宋体" w:cs="宋体"/>
                <w:w w:val="120"/>
                <w:sz w:val="17"/>
              </w:rPr>
              <w:t>）≤0.1%；</w:t>
            </w:r>
          </w:p>
          <w:p>
            <w:pPr>
              <w:pStyle w:val="19"/>
              <w:numPr>
                <w:ilvl w:val="0"/>
                <w:numId w:val="53"/>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USB播放：支持MP3、</w:t>
            </w:r>
            <w:r>
              <w:rPr>
                <w:rFonts w:hint="eastAsia" w:ascii="宋体" w:hAnsi="宋体" w:eastAsia="宋体" w:cs="宋体"/>
                <w:spacing w:val="-9"/>
                <w:w w:val="105"/>
                <w:sz w:val="17"/>
              </w:rPr>
              <w:t>WAV</w:t>
            </w:r>
            <w:r>
              <w:rPr>
                <w:rFonts w:hint="eastAsia" w:ascii="宋体" w:hAnsi="宋体" w:eastAsia="宋体" w:cs="宋体"/>
                <w:w w:val="105"/>
                <w:sz w:val="17"/>
              </w:rPr>
              <w:t>、APE、</w:t>
            </w:r>
            <w:r>
              <w:rPr>
                <w:rFonts w:hint="eastAsia" w:ascii="宋体" w:hAnsi="宋体" w:eastAsia="宋体" w:cs="宋体"/>
                <w:spacing w:val="-4"/>
                <w:w w:val="105"/>
                <w:sz w:val="17"/>
              </w:rPr>
              <w:t>FLAC；</w:t>
            </w:r>
          </w:p>
          <w:p>
            <w:pPr>
              <w:pStyle w:val="19"/>
              <w:numPr>
                <w:ilvl w:val="0"/>
                <w:numId w:val="53"/>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通讯：RS485通讯中控集成控制能；</w:t>
            </w:r>
          </w:p>
          <w:p>
            <w:pPr>
              <w:pStyle w:val="19"/>
              <w:spacing w:before="166"/>
              <w:ind w:left="100"/>
              <w:rPr>
                <w:rFonts w:hint="eastAsia" w:ascii="宋体" w:hAnsi="宋体" w:eastAsia="宋体" w:cs="宋体"/>
                <w:sz w:val="17"/>
              </w:rPr>
            </w:pPr>
            <w:r>
              <w:rPr>
                <w:rFonts w:hint="eastAsia" w:ascii="宋体" w:hAnsi="宋体" w:eastAsia="宋体" w:cs="宋体"/>
                <w:spacing w:val="1"/>
                <w:w w:val="125"/>
                <w:sz w:val="17"/>
              </w:rPr>
              <w:t>9</w:t>
            </w:r>
            <w:r>
              <w:rPr>
                <w:rFonts w:hint="eastAsia" w:ascii="宋体" w:hAnsi="宋体" w:eastAsia="宋体" w:cs="宋体"/>
                <w:spacing w:val="-6"/>
                <w:w w:val="154"/>
                <w:sz w:val="17"/>
              </w:rPr>
              <w:t>.</w:t>
            </w:r>
            <w:r>
              <w:rPr>
                <w:rFonts w:hint="eastAsia" w:ascii="宋体" w:hAnsi="宋体" w:eastAsia="宋体" w:cs="宋体"/>
                <w:w w:val="98"/>
                <w:sz w:val="17"/>
              </w:rPr>
              <w:t>频率响应：</w:t>
            </w:r>
            <w:r>
              <w:rPr>
                <w:rFonts w:hint="eastAsia" w:ascii="宋体" w:hAnsi="宋体" w:eastAsia="宋体" w:cs="宋体"/>
                <w:spacing w:val="2"/>
                <w:w w:val="117"/>
                <w:sz w:val="17"/>
              </w:rPr>
              <w:t>D</w:t>
            </w:r>
            <w:r>
              <w:rPr>
                <w:rFonts w:hint="eastAsia" w:ascii="宋体" w:hAnsi="宋体" w:eastAsia="宋体" w:cs="宋体"/>
                <w:spacing w:val="-7"/>
                <w:w w:val="106"/>
                <w:sz w:val="17"/>
              </w:rPr>
              <w:t>V</w:t>
            </w:r>
            <w:r>
              <w:rPr>
                <w:rFonts w:hint="eastAsia" w:ascii="宋体" w:hAnsi="宋体" w:eastAsia="宋体" w:cs="宋体"/>
                <w:spacing w:val="2"/>
                <w:w w:val="117"/>
                <w:sz w:val="17"/>
              </w:rPr>
              <w:t>D</w:t>
            </w:r>
            <w:r>
              <w:rPr>
                <w:rFonts w:hint="eastAsia" w:ascii="宋体" w:hAnsi="宋体" w:eastAsia="宋体" w:cs="宋体"/>
                <w:spacing w:val="-6"/>
                <w:w w:val="154"/>
                <w:sz w:val="17"/>
              </w:rPr>
              <w:t>,</w:t>
            </w:r>
            <w:r>
              <w:rPr>
                <w:rFonts w:hint="eastAsia" w:ascii="宋体" w:hAnsi="宋体" w:eastAsia="宋体" w:cs="宋体"/>
                <w:spacing w:val="-7"/>
                <w:w w:val="106"/>
                <w:sz w:val="17"/>
              </w:rPr>
              <w:t>V</w:t>
            </w:r>
            <w:r>
              <w:rPr>
                <w:rFonts w:hint="eastAsia" w:ascii="宋体" w:hAnsi="宋体" w:eastAsia="宋体" w:cs="宋体"/>
                <w:spacing w:val="2"/>
                <w:w w:val="103"/>
                <w:sz w:val="17"/>
              </w:rPr>
              <w:t>C</w:t>
            </w:r>
            <w:r>
              <w:rPr>
                <w:rFonts w:hint="eastAsia" w:ascii="宋体" w:hAnsi="宋体" w:eastAsia="宋体" w:cs="宋体"/>
                <w:spacing w:val="2"/>
                <w:w w:val="117"/>
                <w:sz w:val="17"/>
              </w:rPr>
              <w:t>D</w:t>
            </w:r>
            <w:r>
              <w:rPr>
                <w:rFonts w:hint="eastAsia" w:ascii="宋体" w:hAnsi="宋体" w:eastAsia="宋体" w:cs="宋体"/>
                <w:spacing w:val="-6"/>
                <w:w w:val="154"/>
                <w:sz w:val="17"/>
              </w:rPr>
              <w:t>,</w:t>
            </w:r>
            <w:r>
              <w:rPr>
                <w:rFonts w:hint="eastAsia" w:ascii="宋体" w:hAnsi="宋体" w:eastAsia="宋体" w:cs="宋体"/>
                <w:spacing w:val="4"/>
                <w:w w:val="106"/>
                <w:sz w:val="17"/>
              </w:rPr>
              <w:t>B</w:t>
            </w:r>
            <w:r>
              <w:rPr>
                <w:rFonts w:hint="eastAsia" w:ascii="宋体" w:hAnsi="宋体" w:eastAsia="宋体" w:cs="宋体"/>
                <w:spacing w:val="1"/>
                <w:w w:val="112"/>
                <w:sz w:val="17"/>
              </w:rPr>
              <w:t>G</w:t>
            </w:r>
            <w:r>
              <w:rPr>
                <w:rFonts w:hint="eastAsia" w:ascii="宋体" w:hAnsi="宋体" w:eastAsia="宋体" w:cs="宋体"/>
                <w:spacing w:val="-1"/>
                <w:w w:val="114"/>
                <w:sz w:val="17"/>
              </w:rPr>
              <w:t>M</w:t>
            </w:r>
            <w:r>
              <w:rPr>
                <w:rFonts w:hint="eastAsia" w:ascii="宋体" w:hAnsi="宋体" w:eastAsia="宋体" w:cs="宋体"/>
                <w:spacing w:val="3"/>
                <w:w w:val="163"/>
                <w:sz w:val="17"/>
              </w:rPr>
              <w:t>:</w:t>
            </w:r>
            <w:r>
              <w:rPr>
                <w:rFonts w:hint="eastAsia" w:ascii="宋体" w:hAnsi="宋体" w:eastAsia="宋体" w:cs="宋体"/>
                <w:spacing w:val="1"/>
                <w:w w:val="125"/>
                <w:sz w:val="17"/>
              </w:rPr>
              <w:t>20</w:t>
            </w:r>
            <w:r>
              <w:rPr>
                <w:rFonts w:hint="eastAsia" w:ascii="宋体" w:hAnsi="宋体" w:eastAsia="宋体" w:cs="宋体"/>
                <w:spacing w:val="-7"/>
                <w:w w:val="116"/>
                <w:sz w:val="17"/>
              </w:rPr>
              <w:t>H</w:t>
            </w:r>
            <w:r>
              <w:rPr>
                <w:rFonts w:hint="eastAsia" w:ascii="宋体" w:hAnsi="宋体" w:eastAsia="宋体" w:cs="宋体"/>
                <w:spacing w:val="4"/>
                <w:w w:val="119"/>
                <w:sz w:val="17"/>
              </w:rPr>
              <w:t>Z</w:t>
            </w:r>
            <w:r>
              <w:rPr>
                <w:rFonts w:hint="eastAsia" w:ascii="宋体" w:hAnsi="宋体" w:eastAsia="宋体" w:cs="宋体"/>
                <w:w w:val="98"/>
                <w:sz w:val="17"/>
              </w:rPr>
              <w:t>（</w:t>
            </w:r>
            <w:r>
              <w:rPr>
                <w:rFonts w:hint="eastAsia" w:ascii="宋体" w:hAnsi="宋体" w:eastAsia="宋体" w:cs="宋体"/>
                <w:spacing w:val="3"/>
                <w:w w:val="82"/>
                <w:sz w:val="17"/>
              </w:rPr>
              <w:t>±</w:t>
            </w:r>
            <w:r>
              <w:rPr>
                <w:rFonts w:hint="eastAsia" w:ascii="宋体" w:hAnsi="宋体" w:eastAsia="宋体" w:cs="宋体"/>
                <w:spacing w:val="1"/>
                <w:w w:val="125"/>
                <w:sz w:val="17"/>
              </w:rPr>
              <w:t>3</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w w:val="98"/>
                <w:sz w:val="17"/>
              </w:rPr>
              <w:t>）</w:t>
            </w:r>
            <w:r>
              <w:rPr>
                <w:rFonts w:hint="eastAsia" w:ascii="宋体" w:hAnsi="宋体" w:eastAsia="宋体" w:cs="宋体"/>
                <w:spacing w:val="-1"/>
                <w:w w:val="71"/>
                <w:sz w:val="17"/>
              </w:rPr>
              <w:t>--</w:t>
            </w:r>
            <w:r>
              <w:rPr>
                <w:rFonts w:hint="eastAsia" w:ascii="宋体" w:hAnsi="宋体" w:eastAsia="宋体" w:cs="宋体"/>
                <w:spacing w:val="1"/>
                <w:w w:val="125"/>
                <w:sz w:val="17"/>
              </w:rPr>
              <w:t>20</w:t>
            </w:r>
            <w:r>
              <w:rPr>
                <w:rFonts w:hint="eastAsia" w:ascii="宋体" w:hAnsi="宋体" w:eastAsia="宋体" w:cs="宋体"/>
                <w:spacing w:val="-3"/>
                <w:w w:val="108"/>
                <w:sz w:val="17"/>
              </w:rPr>
              <w:t>K</w:t>
            </w:r>
            <w:r>
              <w:rPr>
                <w:rFonts w:hint="eastAsia" w:ascii="宋体" w:hAnsi="宋体" w:eastAsia="宋体" w:cs="宋体"/>
                <w:spacing w:val="-7"/>
                <w:w w:val="116"/>
                <w:sz w:val="17"/>
              </w:rPr>
              <w:t>H</w:t>
            </w:r>
            <w:r>
              <w:rPr>
                <w:rFonts w:hint="eastAsia" w:ascii="宋体" w:hAnsi="宋体" w:eastAsia="宋体" w:cs="宋体"/>
                <w:spacing w:val="4"/>
                <w:w w:val="119"/>
                <w:sz w:val="17"/>
              </w:rPr>
              <w:t>Z</w:t>
            </w:r>
            <w:r>
              <w:rPr>
                <w:rFonts w:hint="eastAsia" w:ascii="宋体" w:hAnsi="宋体" w:eastAsia="宋体" w:cs="宋体"/>
                <w:w w:val="98"/>
                <w:sz w:val="17"/>
              </w:rPr>
              <w:t>（</w:t>
            </w:r>
            <w:r>
              <w:rPr>
                <w:rFonts w:hint="eastAsia" w:ascii="宋体" w:hAnsi="宋体" w:eastAsia="宋体" w:cs="宋体"/>
                <w:spacing w:val="3"/>
                <w:w w:val="82"/>
                <w:sz w:val="17"/>
              </w:rPr>
              <w:t>±</w:t>
            </w:r>
            <w:r>
              <w:rPr>
                <w:rFonts w:hint="eastAsia" w:ascii="宋体" w:hAnsi="宋体" w:eastAsia="宋体" w:cs="宋体"/>
                <w:spacing w:val="1"/>
                <w:w w:val="125"/>
                <w:sz w:val="17"/>
              </w:rPr>
              <w:t>3</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w w:val="98"/>
                <w:sz w:val="17"/>
              </w:rPr>
              <w:t>）；</w:t>
            </w:r>
            <w:r>
              <w:rPr>
                <w:rFonts w:hint="eastAsia" w:ascii="宋体" w:hAnsi="宋体" w:eastAsia="宋体" w:cs="宋体"/>
                <w:spacing w:val="-1"/>
                <w:w w:val="114"/>
                <w:sz w:val="17"/>
              </w:rPr>
              <w:t>M</w:t>
            </w:r>
            <w:r>
              <w:rPr>
                <w:rFonts w:hint="eastAsia" w:ascii="宋体" w:hAnsi="宋体" w:eastAsia="宋体" w:cs="宋体"/>
                <w:spacing w:val="-11"/>
                <w:w w:val="130"/>
                <w:sz w:val="17"/>
              </w:rPr>
              <w:t>i</w:t>
            </w:r>
            <w:r>
              <w:rPr>
                <w:rFonts w:hint="eastAsia" w:ascii="宋体" w:hAnsi="宋体" w:eastAsia="宋体" w:cs="宋体"/>
                <w:spacing w:val="3"/>
                <w:w w:val="108"/>
                <w:sz w:val="17"/>
              </w:rPr>
              <w:t>c</w:t>
            </w:r>
            <w:r>
              <w:rPr>
                <w:rFonts w:hint="eastAsia" w:ascii="宋体" w:hAnsi="宋体" w:eastAsia="宋体" w:cs="宋体"/>
                <w:spacing w:val="3"/>
                <w:w w:val="163"/>
                <w:sz w:val="17"/>
              </w:rPr>
              <w:t>:</w:t>
            </w:r>
            <w:r>
              <w:rPr>
                <w:rFonts w:hint="eastAsia" w:ascii="宋体" w:hAnsi="宋体" w:eastAsia="宋体" w:cs="宋体"/>
                <w:spacing w:val="1"/>
                <w:w w:val="125"/>
                <w:sz w:val="17"/>
              </w:rPr>
              <w:t>50</w:t>
            </w:r>
            <w:r>
              <w:rPr>
                <w:rFonts w:hint="eastAsia" w:ascii="宋体" w:hAnsi="宋体" w:eastAsia="宋体" w:cs="宋体"/>
                <w:spacing w:val="-7"/>
                <w:w w:val="116"/>
                <w:sz w:val="17"/>
              </w:rPr>
              <w:t>H</w:t>
            </w:r>
            <w:r>
              <w:rPr>
                <w:rFonts w:hint="eastAsia" w:ascii="宋体" w:hAnsi="宋体" w:eastAsia="宋体" w:cs="宋体"/>
                <w:spacing w:val="4"/>
                <w:w w:val="119"/>
                <w:sz w:val="17"/>
              </w:rPr>
              <w:t>Z</w:t>
            </w:r>
            <w:r>
              <w:rPr>
                <w:rFonts w:hint="eastAsia" w:ascii="宋体" w:hAnsi="宋体" w:eastAsia="宋体" w:cs="宋体"/>
                <w:w w:val="98"/>
                <w:sz w:val="17"/>
              </w:rPr>
              <w:t>（</w:t>
            </w:r>
            <w:r>
              <w:rPr>
                <w:rFonts w:hint="eastAsia" w:ascii="宋体" w:hAnsi="宋体" w:eastAsia="宋体" w:cs="宋体"/>
                <w:spacing w:val="3"/>
                <w:w w:val="82"/>
                <w:sz w:val="17"/>
              </w:rPr>
              <w:t>±</w:t>
            </w:r>
            <w:r>
              <w:rPr>
                <w:rFonts w:hint="eastAsia" w:ascii="宋体" w:hAnsi="宋体" w:eastAsia="宋体" w:cs="宋体"/>
                <w:spacing w:val="1"/>
                <w:w w:val="125"/>
                <w:sz w:val="17"/>
              </w:rPr>
              <w:t>3</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w w:val="98"/>
                <w:sz w:val="17"/>
              </w:rPr>
              <w:t>）</w:t>
            </w:r>
            <w:r>
              <w:rPr>
                <w:rFonts w:hint="eastAsia" w:ascii="宋体" w:hAnsi="宋体" w:eastAsia="宋体" w:cs="宋体"/>
                <w:spacing w:val="-1"/>
                <w:w w:val="71"/>
                <w:sz w:val="17"/>
              </w:rPr>
              <w:t>--</w:t>
            </w:r>
            <w:r>
              <w:rPr>
                <w:rFonts w:hint="eastAsia" w:ascii="宋体" w:hAnsi="宋体" w:eastAsia="宋体" w:cs="宋体"/>
                <w:spacing w:val="1"/>
                <w:w w:val="125"/>
                <w:sz w:val="17"/>
              </w:rPr>
              <w:t>16</w:t>
            </w:r>
            <w:r>
              <w:rPr>
                <w:rFonts w:hint="eastAsia" w:ascii="宋体" w:hAnsi="宋体" w:eastAsia="宋体" w:cs="宋体"/>
                <w:spacing w:val="-3"/>
                <w:w w:val="108"/>
                <w:sz w:val="17"/>
              </w:rPr>
              <w:t>K</w:t>
            </w:r>
            <w:r>
              <w:rPr>
                <w:rFonts w:hint="eastAsia" w:ascii="宋体" w:hAnsi="宋体" w:eastAsia="宋体" w:cs="宋体"/>
                <w:spacing w:val="-7"/>
                <w:w w:val="116"/>
                <w:sz w:val="17"/>
              </w:rPr>
              <w:t>H</w:t>
            </w:r>
            <w:r>
              <w:rPr>
                <w:rFonts w:hint="eastAsia" w:ascii="宋体" w:hAnsi="宋体" w:eastAsia="宋体" w:cs="宋体"/>
                <w:spacing w:val="4"/>
                <w:w w:val="119"/>
                <w:sz w:val="17"/>
              </w:rPr>
              <w:t>Z</w:t>
            </w:r>
            <w:r>
              <w:rPr>
                <w:rFonts w:hint="eastAsia" w:ascii="宋体" w:hAnsi="宋体" w:eastAsia="宋体" w:cs="宋体"/>
                <w:w w:val="98"/>
                <w:sz w:val="17"/>
              </w:rPr>
              <w:t>（</w:t>
            </w:r>
            <w:r>
              <w:rPr>
                <w:rFonts w:hint="eastAsia" w:ascii="宋体" w:hAnsi="宋体" w:eastAsia="宋体" w:cs="宋体"/>
                <w:spacing w:val="3"/>
                <w:w w:val="82"/>
                <w:sz w:val="17"/>
              </w:rPr>
              <w:t>±</w:t>
            </w:r>
            <w:r>
              <w:rPr>
                <w:rFonts w:hint="eastAsia" w:ascii="宋体" w:hAnsi="宋体" w:eastAsia="宋体" w:cs="宋体"/>
                <w:spacing w:val="1"/>
                <w:w w:val="125"/>
                <w:sz w:val="17"/>
              </w:rPr>
              <w:t>3</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w w:val="98"/>
                <w:sz w:val="17"/>
              </w:rPr>
              <w:t>）；</w:t>
            </w:r>
          </w:p>
          <w:p>
            <w:pPr>
              <w:pStyle w:val="19"/>
              <w:numPr>
                <w:ilvl w:val="0"/>
                <w:numId w:val="54"/>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w w:val="115"/>
                <w:sz w:val="17"/>
              </w:rPr>
              <w:t>信噪比：Mic:≥85dB；音乐:≥85dB；</w:t>
            </w:r>
          </w:p>
          <w:p>
            <w:pPr>
              <w:pStyle w:val="19"/>
              <w:numPr>
                <w:ilvl w:val="0"/>
                <w:numId w:val="54"/>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保护：过载、短路、过压、欠压保护；</w:t>
            </w:r>
          </w:p>
          <w:p>
            <w:pPr>
              <w:pStyle w:val="19"/>
              <w:numPr>
                <w:ilvl w:val="0"/>
                <w:numId w:val="54"/>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指示灯：电源</w:t>
            </w:r>
            <w:r>
              <w:rPr>
                <w:rFonts w:hint="eastAsia" w:ascii="宋体" w:hAnsi="宋体" w:eastAsia="宋体" w:cs="宋体"/>
                <w:spacing w:val="-6"/>
                <w:w w:val="135"/>
                <w:sz w:val="17"/>
              </w:rPr>
              <w:t>,</w:t>
            </w:r>
            <w:r>
              <w:rPr>
                <w:rFonts w:hint="eastAsia" w:ascii="宋体" w:hAnsi="宋体" w:eastAsia="宋体" w:cs="宋体"/>
                <w:w w:val="105"/>
                <w:sz w:val="17"/>
              </w:rPr>
              <w:t>输出电平；</w:t>
            </w:r>
          </w:p>
          <w:p>
            <w:pPr>
              <w:pStyle w:val="19"/>
              <w:spacing w:before="167"/>
              <w:ind w:left="100"/>
              <w:rPr>
                <w:rFonts w:hint="eastAsia" w:ascii="宋体" w:hAnsi="宋体" w:eastAsia="宋体" w:cs="宋体"/>
                <w:sz w:val="17"/>
              </w:rPr>
            </w:pPr>
            <w:r>
              <w:rPr>
                <w:rFonts w:hint="eastAsia" w:ascii="宋体" w:hAnsi="宋体" w:eastAsia="宋体" w:cs="宋体"/>
                <w:spacing w:val="1"/>
                <w:w w:val="125"/>
                <w:sz w:val="17"/>
              </w:rPr>
              <w:t>13</w:t>
            </w:r>
            <w:r>
              <w:rPr>
                <w:rFonts w:hint="eastAsia" w:ascii="宋体" w:hAnsi="宋体" w:eastAsia="宋体" w:cs="宋体"/>
                <w:spacing w:val="-6"/>
                <w:w w:val="154"/>
                <w:sz w:val="17"/>
              </w:rPr>
              <w:t>.</w:t>
            </w:r>
            <w:r>
              <w:rPr>
                <w:rFonts w:hint="eastAsia" w:ascii="宋体" w:hAnsi="宋体" w:eastAsia="宋体" w:cs="宋体"/>
                <w:w w:val="98"/>
                <w:sz w:val="17"/>
              </w:rPr>
              <w:t>供电电压：</w:t>
            </w:r>
            <w:r>
              <w:rPr>
                <w:rFonts w:hint="eastAsia" w:ascii="宋体" w:hAnsi="宋体" w:eastAsia="宋体" w:cs="宋体"/>
                <w:spacing w:val="3"/>
                <w:w w:val="200"/>
                <w:sz w:val="17"/>
              </w:rPr>
              <w:t>~</w:t>
            </w:r>
            <w:r>
              <w:rPr>
                <w:rFonts w:hint="eastAsia" w:ascii="宋体" w:hAnsi="宋体" w:eastAsia="宋体" w:cs="宋体"/>
                <w:spacing w:val="1"/>
                <w:w w:val="125"/>
                <w:sz w:val="17"/>
              </w:rPr>
              <w:t>220</w:t>
            </w:r>
            <w:r>
              <w:rPr>
                <w:rFonts w:hint="eastAsia" w:ascii="宋体" w:hAnsi="宋体" w:eastAsia="宋体" w:cs="宋体"/>
                <w:w w:val="106"/>
                <w:sz w:val="17"/>
              </w:rPr>
              <w:t>V</w:t>
            </w:r>
            <w:r>
              <w:rPr>
                <w:rFonts w:hint="eastAsia" w:ascii="宋体" w:hAnsi="宋体" w:eastAsia="宋体" w:cs="宋体"/>
                <w:spacing w:val="-11"/>
                <w:sz w:val="17"/>
              </w:rPr>
              <w:t xml:space="preserve"> </w:t>
            </w:r>
            <w:r>
              <w:rPr>
                <w:rFonts w:hint="eastAsia" w:ascii="宋体" w:hAnsi="宋体" w:eastAsia="宋体" w:cs="宋体"/>
                <w:spacing w:val="1"/>
                <w:w w:val="125"/>
                <w:sz w:val="17"/>
              </w:rPr>
              <w:t>50</w:t>
            </w:r>
            <w:r>
              <w:rPr>
                <w:rFonts w:hint="eastAsia" w:ascii="宋体" w:hAnsi="宋体" w:eastAsia="宋体" w:cs="宋体"/>
                <w:spacing w:val="-7"/>
                <w:w w:val="116"/>
                <w:sz w:val="17"/>
              </w:rPr>
              <w:t>H</w:t>
            </w:r>
            <w:r>
              <w:rPr>
                <w:rFonts w:hint="eastAsia" w:ascii="宋体" w:hAnsi="宋体" w:eastAsia="宋体" w:cs="宋体"/>
                <w:spacing w:val="7"/>
                <w:w w:val="113"/>
                <w:sz w:val="17"/>
              </w:rPr>
              <w:t>z</w:t>
            </w:r>
            <w:r>
              <w:rPr>
                <w:rFonts w:hint="eastAsia" w:ascii="宋体" w:hAnsi="宋体" w:eastAsia="宋体" w:cs="宋体"/>
                <w:w w:val="98"/>
                <w:sz w:val="17"/>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60"/>
        <w:ind w:left="120" w:right="0" w:firstLine="0"/>
        <w:jc w:val="left"/>
        <w:rPr>
          <w:rFonts w:hint="eastAsia" w:ascii="宋体" w:hAnsi="宋体" w:eastAsia="宋体" w:cs="宋体"/>
          <w:b/>
          <w:sz w:val="19"/>
        </w:rPr>
      </w:pPr>
      <w:r>
        <w:rPr>
          <w:rFonts w:hint="eastAsia" w:ascii="宋体" w:hAnsi="宋体" w:eastAsia="宋体" w:cs="宋体"/>
          <w:b/>
          <w:sz w:val="19"/>
        </w:rPr>
        <w:t>附表一十五：调音台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79"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2"/>
              <w:rPr>
                <w:rFonts w:hint="eastAsia" w:ascii="宋体" w:hAnsi="宋体" w:eastAsia="宋体" w:cs="宋体"/>
                <w:b/>
                <w:sz w:val="26"/>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55"/>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麦克风输入：4路（4个卡侬接口）；</w:t>
            </w:r>
          </w:p>
          <w:p>
            <w:pPr>
              <w:pStyle w:val="19"/>
              <w:numPr>
                <w:ilvl w:val="0"/>
                <w:numId w:val="55"/>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线路输入：4路单插单声道</w:t>
            </w:r>
            <w:r>
              <w:rPr>
                <w:rFonts w:hint="eastAsia" w:ascii="宋体" w:hAnsi="宋体" w:eastAsia="宋体" w:cs="宋体"/>
                <w:spacing w:val="3"/>
                <w:sz w:val="17"/>
              </w:rPr>
              <w:t>/</w:t>
            </w:r>
            <w:r>
              <w:rPr>
                <w:rFonts w:hint="eastAsia" w:ascii="宋体" w:hAnsi="宋体" w:eastAsia="宋体" w:cs="宋体"/>
                <w:sz w:val="17"/>
              </w:rPr>
              <w:t>立体声自动切换混合接口；</w:t>
            </w:r>
          </w:p>
          <w:p>
            <w:pPr>
              <w:pStyle w:val="19"/>
              <w:numPr>
                <w:ilvl w:val="0"/>
                <w:numId w:val="5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立体声输入：4组（8路单声道）；</w:t>
            </w:r>
          </w:p>
          <w:p>
            <w:pPr>
              <w:pStyle w:val="19"/>
              <w:numPr>
                <w:ilvl w:val="0"/>
                <w:numId w:val="5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CD/Tape输入：1路CD/TAPE</w:t>
            </w:r>
            <w:r>
              <w:rPr>
                <w:rFonts w:hint="eastAsia" w:ascii="宋体" w:hAnsi="宋体" w:eastAsia="宋体" w:cs="宋体"/>
                <w:spacing w:val="-1"/>
                <w:sz w:val="17"/>
              </w:rPr>
              <w:t xml:space="preserve"> </w:t>
            </w:r>
            <w:r>
              <w:rPr>
                <w:rFonts w:hint="eastAsia" w:ascii="宋体" w:hAnsi="宋体" w:eastAsia="宋体" w:cs="宋体"/>
                <w:sz w:val="17"/>
              </w:rPr>
              <w:t>RCA立体声输入接口；</w:t>
            </w:r>
          </w:p>
          <w:p>
            <w:pPr>
              <w:pStyle w:val="19"/>
              <w:numPr>
                <w:ilvl w:val="0"/>
                <w:numId w:val="5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输出通路：1组立体声主输出、1组辅助输出、1组立体声监听输出、1路耳机监听输出、1组CD/Tape输出；</w:t>
            </w:r>
          </w:p>
          <w:p>
            <w:pPr>
              <w:pStyle w:val="19"/>
              <w:numPr>
                <w:ilvl w:val="0"/>
                <w:numId w:val="55"/>
              </w:numPr>
              <w:tabs>
                <w:tab w:val="left" w:pos="264"/>
              </w:tabs>
              <w:spacing w:before="167" w:after="0" w:line="422" w:lineRule="auto"/>
              <w:ind w:left="100" w:right="205" w:firstLine="0"/>
              <w:jc w:val="left"/>
              <w:rPr>
                <w:rFonts w:hint="eastAsia" w:ascii="宋体" w:hAnsi="宋体" w:eastAsia="宋体" w:cs="宋体"/>
                <w:sz w:val="17"/>
              </w:rPr>
            </w:pPr>
            <w:r>
              <w:rPr>
                <w:rFonts w:hint="eastAsia" w:ascii="宋体" w:hAnsi="宋体" w:eastAsia="宋体" w:cs="宋体"/>
                <w:sz w:val="17"/>
              </w:rPr>
              <w:t>效果器：24位</w:t>
            </w:r>
            <w:r>
              <w:rPr>
                <w:rFonts w:hint="eastAsia" w:ascii="宋体" w:hAnsi="宋体" w:eastAsia="宋体" w:cs="宋体"/>
                <w:spacing w:val="2"/>
                <w:sz w:val="17"/>
              </w:rPr>
              <w:t>DSP</w:t>
            </w:r>
            <w:r>
              <w:rPr>
                <w:rFonts w:hint="eastAsia" w:ascii="宋体" w:hAnsi="宋体" w:eastAsia="宋体" w:cs="宋体"/>
                <w:sz w:val="17"/>
              </w:rPr>
              <w:t>效果器（包括人声、小房子、大厅、回声、回声</w:t>
            </w:r>
            <w:r>
              <w:rPr>
                <w:rFonts w:hint="eastAsia" w:ascii="宋体" w:hAnsi="宋体" w:eastAsia="宋体" w:cs="宋体"/>
                <w:spacing w:val="2"/>
                <w:sz w:val="17"/>
              </w:rPr>
              <w:t>+</w:t>
            </w:r>
            <w:r>
              <w:rPr>
                <w:rFonts w:hint="eastAsia" w:ascii="宋体" w:hAnsi="宋体" w:eastAsia="宋体" w:cs="宋体"/>
                <w:sz w:val="17"/>
              </w:rPr>
              <w:t>回响、盘子、声乐板、合唱</w:t>
            </w:r>
            <w:r>
              <w:rPr>
                <w:rFonts w:hint="eastAsia" w:ascii="宋体" w:hAnsi="宋体" w:eastAsia="宋体" w:cs="宋体"/>
                <w:spacing w:val="2"/>
                <w:sz w:val="17"/>
              </w:rPr>
              <w:t>GTR</w:t>
            </w:r>
            <w:r>
              <w:rPr>
                <w:rFonts w:hint="eastAsia" w:ascii="宋体" w:hAnsi="宋体" w:eastAsia="宋体" w:cs="宋体"/>
                <w:sz w:val="17"/>
              </w:rPr>
              <w:t>，旋转</w:t>
            </w:r>
            <w:r>
              <w:rPr>
                <w:rFonts w:hint="eastAsia" w:ascii="宋体" w:hAnsi="宋体" w:eastAsia="宋体" w:cs="宋体"/>
                <w:spacing w:val="2"/>
                <w:sz w:val="17"/>
              </w:rPr>
              <w:t>GTR</w:t>
            </w:r>
            <w:r>
              <w:rPr>
                <w:rFonts w:hint="eastAsia" w:ascii="宋体" w:hAnsi="宋体" w:eastAsia="宋体" w:cs="宋体"/>
                <w:spacing w:val="-11"/>
                <w:sz w:val="17"/>
              </w:rPr>
              <w:t>、</w:t>
            </w:r>
            <w:r>
              <w:rPr>
                <w:rFonts w:hint="eastAsia" w:ascii="宋体" w:hAnsi="宋体" w:eastAsia="宋体" w:cs="宋体"/>
                <w:w w:val="105"/>
                <w:sz w:val="17"/>
              </w:rPr>
              <w:t>颤音</w:t>
            </w:r>
            <w:r>
              <w:rPr>
                <w:rFonts w:hint="eastAsia" w:ascii="宋体" w:hAnsi="宋体" w:eastAsia="宋体" w:cs="宋体"/>
                <w:spacing w:val="3"/>
                <w:w w:val="105"/>
                <w:sz w:val="17"/>
              </w:rPr>
              <w:t>GTR</w:t>
            </w:r>
            <w:r>
              <w:rPr>
                <w:rFonts w:hint="eastAsia" w:ascii="宋体" w:hAnsi="宋体" w:eastAsia="宋体" w:cs="宋体"/>
                <w:w w:val="105"/>
                <w:sz w:val="17"/>
              </w:rPr>
              <w:t>类型），100种预设效果；</w:t>
            </w:r>
          </w:p>
          <w:p>
            <w:pPr>
              <w:pStyle w:val="19"/>
              <w:numPr>
                <w:ilvl w:val="0"/>
                <w:numId w:val="55"/>
              </w:numPr>
              <w:tabs>
                <w:tab w:val="left" w:pos="264"/>
              </w:tabs>
              <w:spacing w:before="1"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幻象电源：+48V带开关；</w:t>
            </w:r>
          </w:p>
          <w:p>
            <w:pPr>
              <w:pStyle w:val="19"/>
              <w:numPr>
                <w:ilvl w:val="0"/>
                <w:numId w:val="55"/>
              </w:numPr>
              <w:tabs>
                <w:tab w:val="left" w:pos="264"/>
              </w:tabs>
              <w:spacing w:before="167" w:after="0" w:line="422" w:lineRule="auto"/>
              <w:ind w:left="100" w:right="5799" w:firstLine="0"/>
              <w:jc w:val="left"/>
              <w:rPr>
                <w:rFonts w:hint="eastAsia" w:ascii="宋体" w:hAnsi="宋体" w:eastAsia="宋体" w:cs="宋体"/>
                <w:sz w:val="17"/>
              </w:rPr>
            </w:pPr>
            <w:r>
              <w:rPr>
                <w:rFonts w:hint="eastAsia" w:ascii="宋体" w:hAnsi="宋体" w:eastAsia="宋体" w:cs="宋体"/>
                <w:w w:val="110"/>
                <w:sz w:val="17"/>
              </w:rPr>
              <w:t xml:space="preserve">频率响应：20Hz-20kHz，±3dB； </w:t>
            </w:r>
            <w:r>
              <w:rPr>
                <w:rFonts w:hint="eastAsia" w:ascii="宋体" w:hAnsi="宋体" w:eastAsia="宋体" w:cs="宋体"/>
                <w:spacing w:val="1"/>
                <w:w w:val="125"/>
                <w:sz w:val="17"/>
              </w:rPr>
              <w:t>9</w:t>
            </w:r>
            <w:r>
              <w:rPr>
                <w:rFonts w:hint="eastAsia" w:ascii="宋体" w:hAnsi="宋体" w:eastAsia="宋体" w:cs="宋体"/>
                <w:spacing w:val="-6"/>
                <w:w w:val="154"/>
                <w:sz w:val="17"/>
              </w:rPr>
              <w:t>.</w:t>
            </w:r>
            <w:r>
              <w:rPr>
                <w:rFonts w:hint="eastAsia" w:ascii="宋体" w:hAnsi="宋体" w:eastAsia="宋体" w:cs="宋体"/>
                <w:spacing w:val="-1"/>
                <w:w w:val="98"/>
                <w:sz w:val="17"/>
              </w:rPr>
              <w:t>失真度：</w:t>
            </w:r>
            <w:r>
              <w:rPr>
                <w:rFonts w:hint="eastAsia" w:ascii="宋体" w:hAnsi="宋体" w:eastAsia="宋体" w:cs="宋体"/>
                <w:spacing w:val="2"/>
                <w:w w:val="165"/>
                <w:sz w:val="17"/>
              </w:rPr>
              <w:t>&lt;</w:t>
            </w:r>
            <w:r>
              <w:rPr>
                <w:rFonts w:hint="eastAsia" w:ascii="宋体" w:hAnsi="宋体" w:eastAsia="宋体" w:cs="宋体"/>
                <w:spacing w:val="0"/>
                <w:w w:val="125"/>
                <w:sz w:val="17"/>
              </w:rPr>
              <w:t>0</w:t>
            </w:r>
            <w:r>
              <w:rPr>
                <w:rFonts w:hint="eastAsia" w:ascii="宋体" w:hAnsi="宋体" w:eastAsia="宋体" w:cs="宋体"/>
                <w:spacing w:val="-7"/>
                <w:w w:val="154"/>
                <w:sz w:val="17"/>
              </w:rPr>
              <w:t>.</w:t>
            </w:r>
            <w:r>
              <w:rPr>
                <w:rFonts w:hint="eastAsia" w:ascii="宋体" w:hAnsi="宋体" w:eastAsia="宋体" w:cs="宋体"/>
                <w:spacing w:val="0"/>
                <w:w w:val="125"/>
                <w:sz w:val="17"/>
              </w:rPr>
              <w:t>003</w:t>
            </w:r>
            <w:r>
              <w:rPr>
                <w:rFonts w:hint="eastAsia" w:ascii="宋体" w:hAnsi="宋体" w:eastAsia="宋体" w:cs="宋体"/>
                <w:spacing w:val="-5"/>
                <w:w w:val="187"/>
                <w:sz w:val="17"/>
              </w:rPr>
              <w:t>%</w:t>
            </w:r>
            <w:r>
              <w:rPr>
                <w:rFonts w:hint="eastAsia" w:ascii="宋体" w:hAnsi="宋体" w:eastAsia="宋体" w:cs="宋体"/>
                <w:spacing w:val="-1"/>
                <w:w w:val="98"/>
                <w:sz w:val="17"/>
              </w:rPr>
              <w:t>（</w:t>
            </w:r>
            <w:r>
              <w:rPr>
                <w:rFonts w:hint="eastAsia" w:ascii="宋体" w:hAnsi="宋体" w:eastAsia="宋体" w:cs="宋体"/>
                <w:spacing w:val="-8"/>
                <w:w w:val="106"/>
                <w:sz w:val="17"/>
              </w:rPr>
              <w:t>A</w:t>
            </w:r>
            <w:r>
              <w:rPr>
                <w:rFonts w:hint="eastAsia" w:ascii="宋体" w:hAnsi="宋体" w:eastAsia="宋体" w:cs="宋体"/>
                <w:spacing w:val="-2"/>
                <w:w w:val="71"/>
                <w:sz w:val="17"/>
              </w:rPr>
              <w:t>-</w:t>
            </w:r>
            <w:r>
              <w:rPr>
                <w:rFonts w:hint="eastAsia" w:ascii="宋体" w:hAnsi="宋体" w:eastAsia="宋体" w:cs="宋体"/>
                <w:spacing w:val="-7"/>
                <w:w w:val="124"/>
                <w:sz w:val="17"/>
              </w:rPr>
              <w:t>w</w:t>
            </w:r>
            <w:r>
              <w:rPr>
                <w:rFonts w:hint="eastAsia" w:ascii="宋体" w:hAnsi="宋体" w:eastAsia="宋体" w:cs="宋体"/>
                <w:spacing w:val="3"/>
                <w:w w:val="121"/>
                <w:sz w:val="17"/>
              </w:rPr>
              <w:t>e</w:t>
            </w:r>
            <w:r>
              <w:rPr>
                <w:rFonts w:hint="eastAsia" w:ascii="宋体" w:hAnsi="宋体" w:eastAsia="宋体" w:cs="宋体"/>
                <w:spacing w:val="-12"/>
                <w:w w:val="130"/>
                <w:sz w:val="17"/>
              </w:rPr>
              <w:t>i</w:t>
            </w:r>
            <w:r>
              <w:rPr>
                <w:rFonts w:hint="eastAsia" w:ascii="宋体" w:hAnsi="宋体" w:eastAsia="宋体" w:cs="宋体"/>
                <w:spacing w:val="0"/>
                <w:w w:val="136"/>
                <w:sz w:val="17"/>
              </w:rPr>
              <w:t>g</w:t>
            </w:r>
            <w:r>
              <w:rPr>
                <w:rFonts w:hint="eastAsia" w:ascii="宋体" w:hAnsi="宋体" w:eastAsia="宋体" w:cs="宋体"/>
                <w:spacing w:val="0"/>
                <w:w w:val="125"/>
                <w:sz w:val="17"/>
              </w:rPr>
              <w:t>h</w:t>
            </w:r>
            <w:r>
              <w:rPr>
                <w:rFonts w:hint="eastAsia" w:ascii="宋体" w:hAnsi="宋体" w:eastAsia="宋体" w:cs="宋体"/>
                <w:spacing w:val="-7"/>
                <w:w w:val="110"/>
                <w:sz w:val="17"/>
              </w:rPr>
              <w:t>t</w:t>
            </w:r>
            <w:r>
              <w:rPr>
                <w:rFonts w:hint="eastAsia" w:ascii="宋体" w:hAnsi="宋体" w:eastAsia="宋体" w:cs="宋体"/>
                <w:spacing w:val="3"/>
                <w:w w:val="121"/>
                <w:sz w:val="17"/>
              </w:rPr>
              <w:t>e</w:t>
            </w:r>
            <w:r>
              <w:rPr>
                <w:rFonts w:hint="eastAsia" w:ascii="宋体" w:hAnsi="宋体" w:eastAsia="宋体" w:cs="宋体"/>
                <w:spacing w:val="0"/>
                <w:w w:val="126"/>
                <w:sz w:val="17"/>
              </w:rPr>
              <w:t>d</w:t>
            </w:r>
            <w:r>
              <w:rPr>
                <w:rFonts w:hint="eastAsia" w:ascii="宋体" w:hAnsi="宋体" w:eastAsia="宋体" w:cs="宋体"/>
                <w:spacing w:val="-1"/>
                <w:w w:val="98"/>
                <w:sz w:val="17"/>
              </w:rPr>
              <w:t>）；</w:t>
            </w:r>
          </w:p>
          <w:p>
            <w:pPr>
              <w:pStyle w:val="19"/>
              <w:numPr>
                <w:ilvl w:val="0"/>
                <w:numId w:val="56"/>
              </w:numPr>
              <w:tabs>
                <w:tab w:val="left" w:pos="372"/>
              </w:tabs>
              <w:spacing w:before="1" w:after="0" w:line="240" w:lineRule="auto"/>
              <w:ind w:left="371" w:right="0" w:hanging="272"/>
              <w:jc w:val="left"/>
              <w:rPr>
                <w:rFonts w:hint="eastAsia" w:ascii="宋体" w:hAnsi="宋体" w:eastAsia="宋体" w:cs="宋体"/>
                <w:sz w:val="17"/>
              </w:rPr>
            </w:pPr>
            <w:r>
              <w:rPr>
                <w:rFonts w:hint="eastAsia" w:ascii="宋体" w:hAnsi="宋体" w:eastAsia="宋体" w:cs="宋体"/>
                <w:sz w:val="17"/>
              </w:rPr>
              <w:t>麦克风均衡输入噪音：-119dB（A-weighted）；</w:t>
            </w:r>
          </w:p>
          <w:p>
            <w:pPr>
              <w:pStyle w:val="19"/>
              <w:numPr>
                <w:ilvl w:val="0"/>
                <w:numId w:val="5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共模抑制比：60dB；</w:t>
            </w:r>
          </w:p>
          <w:p>
            <w:pPr>
              <w:pStyle w:val="19"/>
              <w:numPr>
                <w:ilvl w:val="0"/>
                <w:numId w:val="56"/>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w w:val="98"/>
                <w:sz w:val="17"/>
              </w:rPr>
              <w:t>单通道输入增益：</w:t>
            </w:r>
            <w:r>
              <w:rPr>
                <w:rFonts w:hint="eastAsia" w:ascii="宋体" w:hAnsi="宋体" w:eastAsia="宋体" w:cs="宋体"/>
                <w:spacing w:val="-1"/>
                <w:w w:val="114"/>
                <w:sz w:val="17"/>
              </w:rPr>
              <w:t>M</w:t>
            </w:r>
            <w:r>
              <w:rPr>
                <w:rFonts w:hint="eastAsia" w:ascii="宋体" w:hAnsi="宋体" w:eastAsia="宋体" w:cs="宋体"/>
                <w:spacing w:val="-14"/>
                <w:w w:val="118"/>
                <w:sz w:val="17"/>
              </w:rPr>
              <w:t>I</w:t>
            </w:r>
            <w:r>
              <w:rPr>
                <w:rFonts w:hint="eastAsia" w:ascii="宋体" w:hAnsi="宋体" w:eastAsia="宋体" w:cs="宋体"/>
                <w:spacing w:val="2"/>
                <w:w w:val="103"/>
                <w:sz w:val="17"/>
              </w:rPr>
              <w:t>C</w:t>
            </w:r>
            <w:r>
              <w:rPr>
                <w:rFonts w:hint="eastAsia" w:ascii="宋体" w:hAnsi="宋体" w:eastAsia="宋体" w:cs="宋体"/>
                <w:w w:val="98"/>
                <w:sz w:val="17"/>
              </w:rPr>
              <w:t>：</w:t>
            </w:r>
            <w:r>
              <w:rPr>
                <w:rFonts w:hint="eastAsia" w:ascii="宋体" w:hAnsi="宋体" w:eastAsia="宋体" w:cs="宋体"/>
                <w:w w:val="125"/>
                <w:sz w:val="17"/>
              </w:rPr>
              <w:t>0</w:t>
            </w:r>
            <w:r>
              <w:rPr>
                <w:rFonts w:hint="eastAsia" w:ascii="宋体" w:hAnsi="宋体" w:eastAsia="宋体" w:cs="宋体"/>
                <w:spacing w:val="-3"/>
                <w:sz w:val="17"/>
              </w:rPr>
              <w:t xml:space="preserve"> </w:t>
            </w:r>
            <w:r>
              <w:rPr>
                <w:rFonts w:hint="eastAsia" w:ascii="宋体" w:hAnsi="宋体" w:eastAsia="宋体" w:cs="宋体"/>
                <w:spacing w:val="-6"/>
                <w:w w:val="110"/>
                <w:sz w:val="17"/>
              </w:rPr>
              <w:t>t</w:t>
            </w:r>
            <w:r>
              <w:rPr>
                <w:rFonts w:hint="eastAsia" w:ascii="宋体" w:hAnsi="宋体" w:eastAsia="宋体" w:cs="宋体"/>
                <w:w w:val="119"/>
                <w:sz w:val="17"/>
              </w:rPr>
              <w:t>o</w:t>
            </w:r>
            <w:r>
              <w:rPr>
                <w:rFonts w:hint="eastAsia" w:ascii="宋体" w:hAnsi="宋体" w:eastAsia="宋体" w:cs="宋体"/>
                <w:spacing w:val="1"/>
                <w:sz w:val="17"/>
              </w:rPr>
              <w:t xml:space="preserve"> </w:t>
            </w:r>
            <w:r>
              <w:rPr>
                <w:rFonts w:hint="eastAsia" w:ascii="宋体" w:hAnsi="宋体" w:eastAsia="宋体" w:cs="宋体"/>
                <w:spacing w:val="1"/>
                <w:w w:val="125"/>
                <w:sz w:val="17"/>
              </w:rPr>
              <w:t>48</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w w:val="98"/>
                <w:sz w:val="17"/>
              </w:rPr>
              <w:t>，</w:t>
            </w:r>
            <w:r>
              <w:rPr>
                <w:rFonts w:hint="eastAsia" w:ascii="宋体" w:hAnsi="宋体" w:eastAsia="宋体" w:cs="宋体"/>
                <w:spacing w:val="-10"/>
                <w:w w:val="102"/>
                <w:sz w:val="17"/>
              </w:rPr>
              <w:t>L</w:t>
            </w:r>
            <w:r>
              <w:rPr>
                <w:rFonts w:hint="eastAsia" w:ascii="宋体" w:hAnsi="宋体" w:eastAsia="宋体" w:cs="宋体"/>
                <w:spacing w:val="-14"/>
                <w:w w:val="118"/>
                <w:sz w:val="17"/>
              </w:rPr>
              <w:t>I</w:t>
            </w:r>
            <w:r>
              <w:rPr>
                <w:rFonts w:hint="eastAsia" w:ascii="宋体" w:hAnsi="宋体" w:eastAsia="宋体" w:cs="宋体"/>
                <w:spacing w:val="-6"/>
                <w:w w:val="115"/>
                <w:sz w:val="17"/>
              </w:rPr>
              <w:t>N</w:t>
            </w:r>
            <w:r>
              <w:rPr>
                <w:rFonts w:hint="eastAsia" w:ascii="宋体" w:hAnsi="宋体" w:eastAsia="宋体" w:cs="宋体"/>
                <w:spacing w:val="1"/>
                <w:w w:val="110"/>
                <w:sz w:val="17"/>
              </w:rPr>
              <w:t>E</w:t>
            </w:r>
            <w:r>
              <w:rPr>
                <w:rFonts w:hint="eastAsia" w:ascii="宋体" w:hAnsi="宋体" w:eastAsia="宋体" w:cs="宋体"/>
                <w:spacing w:val="3"/>
                <w:w w:val="163"/>
                <w:sz w:val="17"/>
              </w:rPr>
              <w:t>:</w:t>
            </w:r>
            <w:r>
              <w:rPr>
                <w:rFonts w:hint="eastAsia" w:ascii="宋体" w:hAnsi="宋体" w:eastAsia="宋体" w:cs="宋体"/>
                <w:spacing w:val="-1"/>
                <w:w w:val="71"/>
                <w:sz w:val="17"/>
              </w:rPr>
              <w:t>-</w:t>
            </w:r>
            <w:r>
              <w:rPr>
                <w:rFonts w:hint="eastAsia" w:ascii="宋体" w:hAnsi="宋体" w:eastAsia="宋体" w:cs="宋体"/>
                <w:spacing w:val="1"/>
                <w:w w:val="125"/>
                <w:sz w:val="17"/>
              </w:rPr>
              <w:t>3</w:t>
            </w:r>
            <w:r>
              <w:rPr>
                <w:rFonts w:hint="eastAsia" w:ascii="宋体" w:hAnsi="宋体" w:eastAsia="宋体" w:cs="宋体"/>
                <w:w w:val="125"/>
                <w:sz w:val="17"/>
              </w:rPr>
              <w:t>3</w:t>
            </w:r>
            <w:r>
              <w:rPr>
                <w:rFonts w:hint="eastAsia" w:ascii="宋体" w:hAnsi="宋体" w:eastAsia="宋体" w:cs="宋体"/>
                <w:spacing w:val="-3"/>
                <w:sz w:val="17"/>
              </w:rPr>
              <w:t xml:space="preserve"> </w:t>
            </w:r>
            <w:r>
              <w:rPr>
                <w:rFonts w:hint="eastAsia" w:ascii="宋体" w:hAnsi="宋体" w:eastAsia="宋体" w:cs="宋体"/>
                <w:spacing w:val="-6"/>
                <w:w w:val="110"/>
                <w:sz w:val="17"/>
              </w:rPr>
              <w:t>t</w:t>
            </w:r>
            <w:r>
              <w:rPr>
                <w:rFonts w:hint="eastAsia" w:ascii="宋体" w:hAnsi="宋体" w:eastAsia="宋体" w:cs="宋体"/>
                <w:spacing w:val="5"/>
                <w:w w:val="119"/>
                <w:sz w:val="17"/>
              </w:rPr>
              <w:t>o</w:t>
            </w:r>
            <w:r>
              <w:rPr>
                <w:rFonts w:hint="eastAsia" w:ascii="宋体" w:hAnsi="宋体" w:eastAsia="宋体" w:cs="宋体"/>
                <w:spacing w:val="3"/>
                <w:w w:val="165"/>
                <w:sz w:val="17"/>
              </w:rPr>
              <w:t>+</w:t>
            </w:r>
            <w:r>
              <w:rPr>
                <w:rFonts w:hint="eastAsia" w:ascii="宋体" w:hAnsi="宋体" w:eastAsia="宋体" w:cs="宋体"/>
                <w:spacing w:val="1"/>
                <w:w w:val="125"/>
                <w:sz w:val="17"/>
              </w:rPr>
              <w:t>15</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w w:val="98"/>
                <w:sz w:val="17"/>
              </w:rPr>
              <w:t>；</w:t>
            </w:r>
          </w:p>
          <w:p>
            <w:pPr>
              <w:pStyle w:val="19"/>
              <w:numPr>
                <w:ilvl w:val="0"/>
                <w:numId w:val="56"/>
              </w:numPr>
              <w:tabs>
                <w:tab w:val="left" w:pos="372"/>
              </w:tabs>
              <w:spacing w:before="166" w:after="0" w:line="422" w:lineRule="auto"/>
              <w:ind w:left="100" w:right="5523" w:firstLine="0"/>
              <w:jc w:val="left"/>
              <w:rPr>
                <w:rFonts w:hint="eastAsia" w:ascii="宋体" w:hAnsi="宋体" w:eastAsia="宋体" w:cs="宋体"/>
                <w:sz w:val="17"/>
              </w:rPr>
            </w:pPr>
            <w:r>
              <w:rPr>
                <w:rFonts w:hint="eastAsia" w:ascii="宋体" w:hAnsi="宋体" w:eastAsia="宋体" w:cs="宋体"/>
                <w:spacing w:val="-1"/>
                <w:w w:val="105"/>
                <w:sz w:val="17"/>
              </w:rPr>
              <w:t>立体通道输入增益：</w:t>
            </w:r>
            <w:r>
              <w:rPr>
                <w:rFonts w:hint="eastAsia" w:ascii="宋体" w:hAnsi="宋体" w:eastAsia="宋体" w:cs="宋体"/>
                <w:spacing w:val="-4"/>
                <w:w w:val="105"/>
                <w:sz w:val="17"/>
              </w:rPr>
              <w:t>LINE：-8</w:t>
            </w:r>
            <w:r>
              <w:rPr>
                <w:rFonts w:hint="eastAsia" w:ascii="宋体" w:hAnsi="宋体" w:eastAsia="宋体" w:cs="宋体"/>
                <w:spacing w:val="-9"/>
                <w:w w:val="105"/>
                <w:sz w:val="17"/>
              </w:rPr>
              <w:t xml:space="preserve"> </w:t>
            </w:r>
            <w:r>
              <w:rPr>
                <w:rFonts w:hint="eastAsia" w:ascii="宋体" w:hAnsi="宋体" w:eastAsia="宋体" w:cs="宋体"/>
                <w:w w:val="105"/>
                <w:sz w:val="17"/>
              </w:rPr>
              <w:t xml:space="preserve">to+6dB； </w:t>
            </w:r>
            <w:r>
              <w:rPr>
                <w:rFonts w:hint="eastAsia" w:ascii="宋体" w:hAnsi="宋体" w:eastAsia="宋体" w:cs="宋体"/>
                <w:spacing w:val="-3"/>
                <w:w w:val="110"/>
                <w:sz w:val="17"/>
              </w:rPr>
              <w:t xml:space="preserve">14.主混音串音：-87dBu（A-weighted）； </w:t>
            </w:r>
            <w:r>
              <w:rPr>
                <w:rFonts w:hint="eastAsia" w:ascii="宋体" w:hAnsi="宋体" w:eastAsia="宋体" w:cs="宋体"/>
                <w:w w:val="110"/>
                <w:sz w:val="17"/>
              </w:rPr>
              <w:t>15.通道串音：-85dBu（A-weighted）； 16.最大输出水平：+20dBu；</w:t>
            </w:r>
          </w:p>
          <w:p>
            <w:pPr>
              <w:pStyle w:val="19"/>
              <w:numPr>
                <w:ilvl w:val="0"/>
                <w:numId w:val="57"/>
              </w:numPr>
              <w:tabs>
                <w:tab w:val="left" w:pos="372"/>
              </w:tabs>
              <w:spacing w:before="3" w:after="0" w:line="240" w:lineRule="auto"/>
              <w:ind w:left="371" w:right="0" w:hanging="272"/>
              <w:jc w:val="left"/>
              <w:rPr>
                <w:rFonts w:hint="eastAsia" w:ascii="宋体" w:hAnsi="宋体" w:eastAsia="宋体" w:cs="宋体"/>
                <w:sz w:val="17"/>
              </w:rPr>
            </w:pPr>
            <w:r>
              <w:rPr>
                <w:rFonts w:hint="eastAsia" w:ascii="宋体" w:hAnsi="宋体" w:eastAsia="宋体" w:cs="宋体"/>
                <w:spacing w:val="-5"/>
                <w:w w:val="105"/>
                <w:sz w:val="17"/>
              </w:rPr>
              <w:t>MIC</w:t>
            </w:r>
            <w:r>
              <w:rPr>
                <w:rFonts w:hint="eastAsia" w:ascii="宋体" w:hAnsi="宋体" w:eastAsia="宋体" w:cs="宋体"/>
                <w:w w:val="105"/>
                <w:sz w:val="17"/>
              </w:rPr>
              <w:t>输入高通滤波：75Hz，18dB/oct；</w:t>
            </w:r>
          </w:p>
          <w:p>
            <w:pPr>
              <w:pStyle w:val="19"/>
              <w:numPr>
                <w:ilvl w:val="0"/>
                <w:numId w:val="57"/>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单通道均衡：高频：±15dB12KHz；中频：±12dB2.5KHz；低频：±15dB80Hz；</w:t>
            </w:r>
          </w:p>
          <w:p>
            <w:pPr>
              <w:pStyle w:val="19"/>
              <w:spacing w:before="167"/>
              <w:ind w:left="100"/>
              <w:rPr>
                <w:rFonts w:hint="eastAsia" w:ascii="宋体" w:hAnsi="宋体" w:eastAsia="宋体" w:cs="宋体"/>
                <w:sz w:val="17"/>
              </w:rPr>
            </w:pPr>
            <w:r>
              <w:rPr>
                <w:rFonts w:hint="eastAsia" w:ascii="宋体" w:hAnsi="宋体" w:eastAsia="宋体" w:cs="宋体"/>
                <w:w w:val="110"/>
                <w:sz w:val="17"/>
              </w:rPr>
              <w:t>19.电源：外接AC18V/1A（AC 230-240V 50/60Hz）电源适配器；</w:t>
            </w:r>
          </w:p>
          <w:p>
            <w:pPr>
              <w:pStyle w:val="19"/>
              <w:spacing w:before="166"/>
              <w:ind w:left="100"/>
              <w:rPr>
                <w:rFonts w:hint="eastAsia" w:ascii="宋体" w:hAnsi="宋体" w:eastAsia="宋体" w:cs="宋体"/>
                <w:sz w:val="17"/>
              </w:rPr>
            </w:pPr>
            <w:r>
              <w:rPr>
                <w:rFonts w:hint="eastAsia" w:ascii="宋体" w:hAnsi="宋体" w:eastAsia="宋体" w:cs="宋体"/>
                <w:w w:val="115"/>
                <w:sz w:val="17"/>
              </w:rPr>
              <w:t>20.功耗：≤18W；</w:t>
            </w:r>
          </w:p>
        </w:tc>
      </w:tr>
    </w:tbl>
    <w:p>
      <w:pPr>
        <w:spacing w:after="0"/>
        <w:rPr>
          <w:rFonts w:hint="eastAsia" w:ascii="宋体" w:hAnsi="宋体" w:eastAsia="宋体" w:cs="宋体"/>
          <w:sz w:val="17"/>
        </w:rPr>
        <w:sectPr>
          <w:pgSz w:w="11900" w:h="16840"/>
          <w:pgMar w:top="560" w:right="560" w:bottom="280" w:left="540" w:header="0" w:footer="93" w:gutter="0"/>
          <w:cols w:space="720" w:num="1"/>
        </w:sectPr>
      </w:pPr>
    </w:p>
    <w:p>
      <w:pPr>
        <w:pStyle w:val="9"/>
        <w:ind w:left="1182"/>
        <w:rPr>
          <w:rFonts w:hint="eastAsia" w:ascii="宋体" w:hAnsi="宋体" w:eastAsia="宋体" w:cs="宋体"/>
          <w:sz w:val="20"/>
        </w:rPr>
      </w:pPr>
      <w:r>
        <w:rPr>
          <w:rFonts w:hint="eastAsia" w:ascii="宋体" w:hAnsi="宋体" w:eastAsia="宋体" w:cs="宋体"/>
          <w:position w:val="0"/>
          <w:sz w:val="20"/>
        </w:rPr>
        <mc:AlternateContent>
          <mc:Choice Requires="wps">
            <w:drawing>
              <wp:inline distT="0" distB="0" distL="114300" distR="114300">
                <wp:extent cx="6029325" cy="252095"/>
                <wp:effectExtent l="5080" t="4445" r="4445" b="10160"/>
                <wp:docPr id="14" name="文本框 14"/>
                <wp:cNvGraphicFramePr/>
                <a:graphic xmlns:a="http://schemas.openxmlformats.org/drawingml/2006/main">
                  <a:graphicData uri="http://schemas.microsoft.com/office/word/2010/wordprocessingShape">
                    <wps:wsp>
                      <wps:cNvSpPr txBox="1"/>
                      <wps:spPr>
                        <a:xfrm>
                          <a:off x="0" y="0"/>
                          <a:ext cx="6029325" cy="252095"/>
                        </a:xfrm>
                        <a:prstGeom prst="rect">
                          <a:avLst/>
                        </a:prstGeom>
                        <a:noFill/>
                        <a:ln w="7622" cap="flat" cmpd="sng">
                          <a:solidFill>
                            <a:srgbClr val="000000"/>
                          </a:solidFill>
                          <a:prstDash val="solid"/>
                          <a:miter/>
                          <a:headEnd type="none" w="med" len="med"/>
                          <a:tailEnd type="none" w="med" len="med"/>
                        </a:ln>
                      </wps:spPr>
                      <wps:txbx>
                        <w:txbxContent>
                          <w:p>
                            <w:pPr>
                              <w:pStyle w:val="9"/>
                              <w:spacing w:before="62"/>
                              <w:ind w:left="96"/>
                            </w:pPr>
                            <w:r>
                              <w:t>打</w:t>
                            </w:r>
                            <w:r>
                              <w:rPr>
                                <w:rFonts w:hint="eastAsia" w:ascii="MS UI Gothic" w:hAnsi="MS UI Gothic" w:eastAsia="MS UI Gothic"/>
                              </w:rPr>
                              <w:t>“★”</w:t>
                            </w:r>
                            <w:r>
                              <w:t>号条款为实质性条款，若有任何一条负偏离或不满足则导致投标无效。</w:t>
                            </w:r>
                          </w:p>
                        </w:txbxContent>
                      </wps:txbx>
                      <wps:bodyPr lIns="0" tIns="0" rIns="0" bIns="0" upright="1"/>
                    </wps:wsp>
                  </a:graphicData>
                </a:graphic>
              </wp:inline>
            </w:drawing>
          </mc:Choice>
          <mc:Fallback>
            <w:pict>
              <v:shape id="_x0000_s1026" o:spid="_x0000_s1026" o:spt="202" type="#_x0000_t202" style="height:19.85pt;width:474.75pt;" filled="f" stroked="t" coordsize="21600,21600" o:gfxdata="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vlvwe1AAAAAQBAAAPAAAAAAAAAAEA&#10;IAAAACIAAABkcnMvZG93bnJldi54bWxQSwECFAAUAAAACACHTuJAvsvQOhMCAAAzBAAADgAAAAAA&#10;AAABACAAAAAjAQAAZHJzL2Uyb0RvYy54bWxQSwUGAAAAAAYABgBZAQAAqAUAAAAA&#10;">
                <v:fill on="f" focussize="0,0"/>
                <v:stroke weight="0.600157480314961pt" color="#000000" joinstyle="miter"/>
                <v:imagedata o:title=""/>
                <o:lock v:ext="edit" aspectratio="f"/>
                <v:textbox inset="0mm,0mm,0mm,0mm">
                  <w:txbxContent>
                    <w:p>
                      <w:pPr>
                        <w:pStyle w:val="9"/>
                        <w:spacing w:before="62"/>
                        <w:ind w:left="96"/>
                      </w:pPr>
                      <w:r>
                        <w:t>打</w:t>
                      </w:r>
                      <w:r>
                        <w:rPr>
                          <w:rFonts w:hint="eastAsia" w:ascii="MS UI Gothic" w:hAnsi="MS UI Gothic" w:eastAsia="MS UI Gothic"/>
                        </w:rPr>
                        <w:t>“★”</w:t>
                      </w:r>
                      <w:r>
                        <w:t>号条款为实质性条款，若有任何一条负偏离或不满足则导致投标无效。</w:t>
                      </w:r>
                    </w:p>
                  </w:txbxContent>
                </v:textbox>
                <w10:wrap type="none"/>
                <w10:anchorlock/>
              </v:shape>
            </w:pict>
          </mc:Fallback>
        </mc:AlternateContent>
      </w:r>
    </w:p>
    <w:p>
      <w:pPr>
        <w:spacing w:before="5"/>
        <w:ind w:left="120" w:right="0" w:firstLine="0"/>
        <w:jc w:val="left"/>
        <w:rPr>
          <w:rFonts w:hint="eastAsia" w:ascii="宋体" w:hAnsi="宋体" w:eastAsia="宋体" w:cs="宋体"/>
          <w:b/>
          <w:sz w:val="19"/>
        </w:rPr>
      </w:pPr>
      <w:r>
        <w:rPr>
          <w:rFonts w:hint="eastAsia" w:ascii="宋体" w:hAnsi="宋体" w:eastAsia="宋体" w:cs="宋体"/>
        </w:rPr>
        <mc:AlternateContent>
          <mc:Choice Requires="wps">
            <w:drawing>
              <wp:anchor distT="0" distB="0" distL="114300" distR="114300" simplePos="0" relativeHeight="251666432" behindDoc="0" locked="0" layoutInCell="1" allowOverlap="1">
                <wp:simplePos x="0" y="0"/>
                <wp:positionH relativeFrom="page">
                  <wp:posOffset>426720</wp:posOffset>
                </wp:positionH>
                <wp:positionV relativeFrom="paragraph">
                  <wp:posOffset>-283845</wp:posOffset>
                </wp:positionV>
                <wp:extent cx="671195" cy="252095"/>
                <wp:effectExtent l="5080" t="5080" r="9525" b="9525"/>
                <wp:wrapNone/>
                <wp:docPr id="16" name="文本框 16"/>
                <wp:cNvGraphicFramePr/>
                <a:graphic xmlns:a="http://schemas.openxmlformats.org/drawingml/2006/main">
                  <a:graphicData uri="http://schemas.microsoft.com/office/word/2010/wordprocessingShape">
                    <wps:wsp>
                      <wps:cNvSpPr txBox="1"/>
                      <wps:spPr>
                        <a:xfrm>
                          <a:off x="0" y="0"/>
                          <a:ext cx="671195" cy="252095"/>
                        </a:xfrm>
                        <a:prstGeom prst="rect">
                          <a:avLst/>
                        </a:prstGeom>
                        <a:noFill/>
                        <a:ln w="7622" cap="flat" cmpd="sng">
                          <a:solidFill>
                            <a:srgbClr val="000000"/>
                          </a:solidFill>
                          <a:prstDash val="solid"/>
                          <a:miter/>
                          <a:headEnd type="none" w="med" len="med"/>
                          <a:tailEnd type="none" w="med" len="med"/>
                        </a:ln>
                      </wps:spPr>
                      <wps:txbx>
                        <w:txbxContent>
                          <w:p>
                            <w:pPr>
                              <w:pStyle w:val="9"/>
                              <w:spacing w:before="62"/>
                              <w:ind w:left="96"/>
                            </w:pPr>
                            <w:r>
                              <w:t>说明</w:t>
                            </w:r>
                          </w:p>
                        </w:txbxContent>
                      </wps:txbx>
                      <wps:bodyPr lIns="0" tIns="0" rIns="0" bIns="0" upright="1"/>
                    </wps:wsp>
                  </a:graphicData>
                </a:graphic>
              </wp:anchor>
            </w:drawing>
          </mc:Choice>
          <mc:Fallback>
            <w:pict>
              <v:shape id="_x0000_s1026" o:spid="_x0000_s1026" o:spt="202" type="#_x0000_t202" style="position:absolute;left:0pt;margin-left:33.6pt;margin-top:-22.35pt;height:19.85pt;width:52.85pt;mso-position-horizontal-relative:page;z-index:251666432;mso-width-relative:page;mso-height-relative:page;" filled="f" stroked="t" coordsize="21600,21600" o:gfxdata="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YzqG/XAAAACQEAAA8AAAAAAAAA&#10;AQAgAAAAIgAAAGRycy9kb3ducmV2LnhtbFBLAQIUABQAAAAIAIdO4kDUZKBZEgIAADIEAAAOAAAA&#10;AAAAAAEAIAAAACYBAABkcnMvZTJvRG9jLnhtbFBLBQYAAAAABgAGAFkBAACqBQAAAAA=&#10;">
                <v:fill on="f" focussize="0,0"/>
                <v:stroke weight="0.600157480314961pt" color="#000000" joinstyle="miter"/>
                <v:imagedata o:title=""/>
                <o:lock v:ext="edit" aspectratio="f"/>
                <v:textbox inset="0mm,0mm,0mm,0mm">
                  <w:txbxContent>
                    <w:p>
                      <w:pPr>
                        <w:pStyle w:val="9"/>
                        <w:spacing w:before="62"/>
                        <w:ind w:left="96"/>
                      </w:pPr>
                      <w:r>
                        <w:t>说明</w:t>
                      </w:r>
                    </w:p>
                  </w:txbxContent>
                </v:textbox>
              </v:shape>
            </w:pict>
          </mc:Fallback>
        </mc:AlternateContent>
      </w:r>
      <w:r>
        <w:rPr>
          <w:rFonts w:hint="eastAsia" w:ascii="宋体" w:hAnsi="宋体" w:eastAsia="宋体" w:cs="宋体"/>
          <w:b/>
          <w:sz w:val="19"/>
        </w:rPr>
        <w:t>附表一十六：无线麦克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53"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87"/>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spacing w:before="80"/>
              <w:ind w:left="100"/>
              <w:rPr>
                <w:rFonts w:hint="eastAsia" w:ascii="宋体" w:hAnsi="宋体" w:eastAsia="宋体" w:cs="宋体"/>
                <w:sz w:val="17"/>
              </w:rPr>
            </w:pPr>
            <w:r>
              <w:rPr>
                <w:rFonts w:hint="eastAsia" w:ascii="宋体" w:hAnsi="宋体" w:eastAsia="宋体" w:cs="宋体"/>
                <w:w w:val="110"/>
                <w:sz w:val="17"/>
              </w:rPr>
              <w:t>1.频率指标：支持470-510MHz、540-590MHz、640-690MHz、807-830MHz；</w:t>
            </w:r>
          </w:p>
          <w:p>
            <w:pPr>
              <w:pStyle w:val="19"/>
              <w:numPr>
                <w:ilvl w:val="0"/>
                <w:numId w:val="58"/>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配套有1台接收主机和2个无线手持话筒；</w:t>
            </w:r>
          </w:p>
          <w:p>
            <w:pPr>
              <w:pStyle w:val="19"/>
              <w:numPr>
                <w:ilvl w:val="0"/>
                <w:numId w:val="58"/>
              </w:numPr>
              <w:tabs>
                <w:tab w:val="left" w:pos="264"/>
              </w:tabs>
              <w:spacing w:before="166" w:after="0" w:line="422" w:lineRule="auto"/>
              <w:ind w:left="100" w:right="241" w:firstLine="0"/>
              <w:jc w:val="left"/>
              <w:rPr>
                <w:rFonts w:hint="eastAsia" w:ascii="宋体" w:hAnsi="宋体" w:eastAsia="宋体" w:cs="宋体"/>
                <w:sz w:val="17"/>
              </w:rPr>
            </w:pPr>
            <w:r>
              <w:rPr>
                <w:rFonts w:hint="eastAsia" w:ascii="宋体" w:hAnsi="宋体" w:eastAsia="宋体" w:cs="宋体"/>
                <w:w w:val="95"/>
                <w:sz w:val="17"/>
              </w:rPr>
              <w:t>采用</w:t>
            </w:r>
            <w:r>
              <w:rPr>
                <w:rFonts w:hint="eastAsia" w:ascii="宋体" w:hAnsi="宋体" w:eastAsia="宋体" w:cs="宋体"/>
                <w:spacing w:val="-4"/>
                <w:w w:val="95"/>
                <w:sz w:val="17"/>
              </w:rPr>
              <w:t>UHF</w:t>
            </w:r>
            <w:r>
              <w:rPr>
                <w:rFonts w:hint="eastAsia" w:ascii="宋体" w:hAnsi="宋体" w:eastAsia="宋体" w:cs="宋体"/>
                <w:w w:val="95"/>
                <w:sz w:val="17"/>
              </w:rPr>
              <w:t>超高频段双真分集接收，并采用</w:t>
            </w:r>
            <w:r>
              <w:rPr>
                <w:rFonts w:hint="eastAsia" w:ascii="宋体" w:hAnsi="宋体" w:eastAsia="宋体" w:cs="宋体"/>
                <w:spacing w:val="-5"/>
                <w:w w:val="95"/>
                <w:sz w:val="17"/>
              </w:rPr>
              <w:t>PLL</w:t>
            </w:r>
            <w:r>
              <w:rPr>
                <w:rFonts w:hint="eastAsia" w:ascii="宋体" w:hAnsi="宋体" w:eastAsia="宋体" w:cs="宋体"/>
                <w:spacing w:val="-1"/>
                <w:w w:val="95"/>
                <w:sz w:val="17"/>
              </w:rPr>
              <w:t>锁相环多信道频率合成技术；</w:t>
            </w:r>
            <w:r>
              <w:rPr>
                <w:rFonts w:hint="eastAsia" w:ascii="宋体" w:hAnsi="宋体" w:eastAsia="宋体" w:cs="宋体"/>
                <w:spacing w:val="-3"/>
                <w:w w:val="95"/>
                <w:sz w:val="17"/>
              </w:rPr>
              <w:t>V/A</w:t>
            </w:r>
            <w:r>
              <w:rPr>
                <w:rFonts w:hint="eastAsia" w:ascii="宋体" w:hAnsi="宋体" w:eastAsia="宋体" w:cs="宋体"/>
                <w:spacing w:val="-1"/>
                <w:w w:val="95"/>
                <w:sz w:val="17"/>
              </w:rPr>
              <w:t xml:space="preserve">显示屏在任何角度观察字体清晰同时    </w:t>
            </w:r>
            <w:r>
              <w:rPr>
                <w:rFonts w:hint="eastAsia" w:ascii="宋体" w:hAnsi="宋体" w:eastAsia="宋体" w:cs="宋体"/>
                <w:sz w:val="17"/>
              </w:rPr>
              <w:t>显示信道号与工作频率。红外对频功能，能使发射机与接收机频率同步，能有效抑制外部噪音干扰及同频干扰；</w:t>
            </w:r>
          </w:p>
          <w:p>
            <w:pPr>
              <w:pStyle w:val="19"/>
              <w:numPr>
                <w:ilvl w:val="0"/>
                <w:numId w:val="58"/>
              </w:numPr>
              <w:tabs>
                <w:tab w:val="left" w:pos="264"/>
              </w:tabs>
              <w:spacing w:before="1"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带8级射频电平显示，8级音频电平显示，频道菜单显示，静音显示；具有SCAN</w:t>
            </w:r>
            <w:r>
              <w:rPr>
                <w:rFonts w:hint="eastAsia" w:ascii="宋体" w:hAnsi="宋体" w:eastAsia="宋体" w:cs="宋体"/>
                <w:spacing w:val="-10"/>
                <w:sz w:val="17"/>
              </w:rPr>
              <w:t xml:space="preserve"> </w:t>
            </w:r>
            <w:r>
              <w:rPr>
                <w:rFonts w:hint="eastAsia" w:ascii="宋体" w:hAnsi="宋体" w:eastAsia="宋体" w:cs="宋体"/>
                <w:sz w:val="17"/>
              </w:rPr>
              <w:t>自动扫频功能；</w:t>
            </w:r>
          </w:p>
          <w:p>
            <w:pPr>
              <w:pStyle w:val="19"/>
              <w:numPr>
                <w:ilvl w:val="0"/>
                <w:numId w:val="58"/>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支持平衡和非平衡两种输出端口选择，适应不同的设备连接需求；</w:t>
            </w:r>
          </w:p>
          <w:p>
            <w:pPr>
              <w:pStyle w:val="19"/>
              <w:numPr>
                <w:ilvl w:val="0"/>
                <w:numId w:val="58"/>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98"/>
                <w:sz w:val="17"/>
              </w:rPr>
              <w:t>接收机指标：采用二次变频超外差的接收机方式，灵敏度</w:t>
            </w:r>
            <w:r>
              <w:rPr>
                <w:rFonts w:hint="eastAsia" w:ascii="宋体" w:hAnsi="宋体" w:eastAsia="宋体" w:cs="宋体"/>
                <w:spacing w:val="3"/>
                <w:w w:val="163"/>
                <w:sz w:val="17"/>
              </w:rPr>
              <w:t>:</w:t>
            </w:r>
            <w:r>
              <w:rPr>
                <w:rFonts w:hint="eastAsia" w:ascii="宋体" w:hAnsi="宋体" w:eastAsia="宋体" w:cs="宋体"/>
                <w:w w:val="164"/>
                <w:sz w:val="17"/>
              </w:rPr>
              <w:t>≥</w:t>
            </w:r>
            <w:r>
              <w:rPr>
                <w:rFonts w:hint="eastAsia" w:ascii="宋体" w:hAnsi="宋体" w:eastAsia="宋体" w:cs="宋体"/>
                <w:spacing w:val="23"/>
                <w:sz w:val="17"/>
              </w:rPr>
              <w:t xml:space="preserve"> </w:t>
            </w:r>
            <w:r>
              <w:rPr>
                <w:rFonts w:hint="eastAsia" w:ascii="宋体" w:hAnsi="宋体" w:eastAsia="宋体" w:cs="宋体"/>
                <w:spacing w:val="13"/>
                <w:w w:val="125"/>
                <w:sz w:val="17"/>
              </w:rPr>
              <w:t>12</w:t>
            </w:r>
            <w:r>
              <w:rPr>
                <w:rFonts w:hint="eastAsia" w:ascii="宋体" w:hAnsi="宋体" w:eastAsia="宋体" w:cs="宋体"/>
                <w:spacing w:val="13"/>
                <w:w w:val="126"/>
                <w:sz w:val="17"/>
              </w:rPr>
              <w:t>d</w:t>
            </w:r>
            <w:r>
              <w:rPr>
                <w:rFonts w:hint="eastAsia" w:ascii="宋体" w:hAnsi="宋体" w:eastAsia="宋体" w:cs="宋体"/>
                <w:w w:val="106"/>
                <w:sz w:val="17"/>
              </w:rPr>
              <w:t>B</w:t>
            </w:r>
            <w:r>
              <w:rPr>
                <w:rFonts w:hint="eastAsia" w:ascii="宋体" w:hAnsi="宋体" w:eastAsia="宋体" w:cs="宋体"/>
                <w:sz w:val="17"/>
              </w:rPr>
              <w:t xml:space="preserve"> </w:t>
            </w:r>
            <w:r>
              <w:rPr>
                <w:rFonts w:hint="eastAsia" w:ascii="宋体" w:hAnsi="宋体" w:eastAsia="宋体" w:cs="宋体"/>
                <w:spacing w:val="1"/>
                <w:w w:val="62"/>
                <w:sz w:val="17"/>
              </w:rPr>
              <w:t>μ</w:t>
            </w:r>
            <w:r>
              <w:rPr>
                <w:rFonts w:hint="eastAsia" w:ascii="宋体" w:hAnsi="宋体" w:eastAsia="宋体" w:cs="宋体"/>
                <w:spacing w:val="-7"/>
                <w:w w:val="106"/>
                <w:sz w:val="17"/>
              </w:rPr>
              <w:t>V</w:t>
            </w:r>
            <w:r>
              <w:rPr>
                <w:rFonts w:hint="eastAsia" w:ascii="宋体" w:hAnsi="宋体" w:eastAsia="宋体" w:cs="宋体"/>
                <w:w w:val="98"/>
                <w:sz w:val="17"/>
              </w:rPr>
              <w:t>（</w:t>
            </w:r>
            <w:r>
              <w:rPr>
                <w:rFonts w:hint="eastAsia" w:ascii="宋体" w:hAnsi="宋体" w:eastAsia="宋体" w:cs="宋体"/>
                <w:spacing w:val="1"/>
                <w:w w:val="125"/>
                <w:sz w:val="17"/>
              </w:rPr>
              <w:t>80</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spacing w:val="1"/>
                <w:w w:val="104"/>
                <w:sz w:val="17"/>
              </w:rPr>
              <w:t>S</w:t>
            </w:r>
            <w:r>
              <w:rPr>
                <w:rFonts w:hint="eastAsia" w:ascii="宋体" w:hAnsi="宋体" w:eastAsia="宋体" w:cs="宋体"/>
                <w:spacing w:val="3"/>
                <w:w w:val="66"/>
                <w:sz w:val="17"/>
              </w:rPr>
              <w:t>/</w:t>
            </w:r>
            <w:r>
              <w:rPr>
                <w:rFonts w:hint="eastAsia" w:ascii="宋体" w:hAnsi="宋体" w:eastAsia="宋体" w:cs="宋体"/>
                <w:spacing w:val="-6"/>
                <w:w w:val="115"/>
                <w:sz w:val="17"/>
              </w:rPr>
              <w:t>N</w:t>
            </w:r>
            <w:r>
              <w:rPr>
                <w:rFonts w:hint="eastAsia" w:ascii="宋体" w:hAnsi="宋体" w:eastAsia="宋体" w:cs="宋体"/>
                <w:spacing w:val="-6"/>
                <w:w w:val="126"/>
                <w:sz w:val="17"/>
              </w:rPr>
              <w:t>)</w:t>
            </w:r>
            <w:r>
              <w:rPr>
                <w:rFonts w:hint="eastAsia" w:ascii="宋体" w:hAnsi="宋体" w:eastAsia="宋体" w:cs="宋体"/>
                <w:w w:val="98"/>
                <w:sz w:val="17"/>
              </w:rPr>
              <w:t>，灵敏度调节范围</w:t>
            </w:r>
            <w:r>
              <w:rPr>
                <w:rFonts w:hint="eastAsia" w:ascii="宋体" w:hAnsi="宋体" w:eastAsia="宋体" w:cs="宋体"/>
                <w:spacing w:val="8"/>
                <w:w w:val="163"/>
                <w:sz w:val="17"/>
              </w:rPr>
              <w:t>:</w:t>
            </w:r>
            <w:r>
              <w:rPr>
                <w:rFonts w:hint="eastAsia" w:ascii="宋体" w:hAnsi="宋体" w:eastAsia="宋体" w:cs="宋体"/>
                <w:spacing w:val="6"/>
                <w:w w:val="125"/>
                <w:sz w:val="17"/>
              </w:rPr>
              <w:t>12</w:t>
            </w:r>
            <w:r>
              <w:rPr>
                <w:rFonts w:hint="eastAsia" w:ascii="宋体" w:hAnsi="宋体" w:eastAsia="宋体" w:cs="宋体"/>
                <w:spacing w:val="4"/>
                <w:w w:val="71"/>
                <w:sz w:val="17"/>
              </w:rPr>
              <w:t>-</w:t>
            </w:r>
            <w:r>
              <w:rPr>
                <w:rFonts w:hint="eastAsia" w:ascii="宋体" w:hAnsi="宋体" w:eastAsia="宋体" w:cs="宋体"/>
                <w:spacing w:val="6"/>
                <w:w w:val="125"/>
                <w:sz w:val="17"/>
              </w:rPr>
              <w:t>32</w:t>
            </w:r>
            <w:r>
              <w:rPr>
                <w:rFonts w:hint="eastAsia" w:ascii="宋体" w:hAnsi="宋体" w:eastAsia="宋体" w:cs="宋体"/>
                <w:spacing w:val="6"/>
                <w:w w:val="126"/>
                <w:sz w:val="17"/>
              </w:rPr>
              <w:t>d</w:t>
            </w:r>
            <w:r>
              <w:rPr>
                <w:rFonts w:hint="eastAsia" w:ascii="宋体" w:hAnsi="宋体" w:eastAsia="宋体" w:cs="宋体"/>
                <w:w w:val="106"/>
                <w:sz w:val="17"/>
              </w:rPr>
              <w:t>B</w:t>
            </w:r>
            <w:r>
              <w:rPr>
                <w:rFonts w:hint="eastAsia" w:ascii="宋体" w:hAnsi="宋体" w:eastAsia="宋体" w:cs="宋体"/>
                <w:sz w:val="17"/>
              </w:rPr>
              <w:t xml:space="preserve"> </w:t>
            </w:r>
            <w:r>
              <w:rPr>
                <w:rFonts w:hint="eastAsia" w:ascii="宋体" w:hAnsi="宋体" w:eastAsia="宋体" w:cs="宋体"/>
                <w:spacing w:val="1"/>
                <w:w w:val="62"/>
                <w:sz w:val="17"/>
              </w:rPr>
              <w:t>μ</w:t>
            </w:r>
            <w:r>
              <w:rPr>
                <w:rFonts w:hint="eastAsia" w:ascii="宋体" w:hAnsi="宋体" w:eastAsia="宋体" w:cs="宋体"/>
                <w:w w:val="106"/>
                <w:sz w:val="17"/>
              </w:rPr>
              <w:t>V</w:t>
            </w:r>
          </w:p>
          <w:p>
            <w:pPr>
              <w:pStyle w:val="19"/>
              <w:spacing w:before="166"/>
              <w:ind w:left="100"/>
              <w:rPr>
                <w:rFonts w:hint="eastAsia" w:ascii="宋体" w:hAnsi="宋体" w:eastAsia="宋体" w:cs="宋体"/>
                <w:sz w:val="17"/>
              </w:rPr>
            </w:pPr>
            <w:r>
              <w:rPr>
                <w:rFonts w:hint="eastAsia" w:ascii="宋体" w:hAnsi="宋体" w:eastAsia="宋体" w:cs="宋体"/>
                <w:w w:val="98"/>
                <w:sz w:val="17"/>
              </w:rPr>
              <w:t>，频率响应</w:t>
            </w:r>
            <w:r>
              <w:rPr>
                <w:rFonts w:hint="eastAsia" w:ascii="宋体" w:hAnsi="宋体" w:eastAsia="宋体" w:cs="宋体"/>
                <w:spacing w:val="3"/>
                <w:w w:val="163"/>
                <w:sz w:val="17"/>
              </w:rPr>
              <w:t>:</w:t>
            </w:r>
            <w:r>
              <w:rPr>
                <w:rFonts w:hint="eastAsia" w:ascii="宋体" w:hAnsi="宋体" w:eastAsia="宋体" w:cs="宋体"/>
                <w:spacing w:val="1"/>
                <w:w w:val="125"/>
                <w:sz w:val="17"/>
              </w:rPr>
              <w:t>80</w:t>
            </w:r>
            <w:r>
              <w:rPr>
                <w:rFonts w:hint="eastAsia" w:ascii="宋体" w:hAnsi="宋体" w:eastAsia="宋体" w:cs="宋体"/>
                <w:spacing w:val="-7"/>
                <w:w w:val="116"/>
                <w:sz w:val="17"/>
              </w:rPr>
              <w:t>H</w:t>
            </w:r>
            <w:r>
              <w:rPr>
                <w:rFonts w:hint="eastAsia" w:ascii="宋体" w:hAnsi="宋体" w:eastAsia="宋体" w:cs="宋体"/>
                <w:spacing w:val="7"/>
                <w:w w:val="113"/>
                <w:sz w:val="17"/>
              </w:rPr>
              <w:t>z</w:t>
            </w:r>
            <w:r>
              <w:rPr>
                <w:rFonts w:hint="eastAsia" w:ascii="宋体" w:hAnsi="宋体" w:eastAsia="宋体" w:cs="宋体"/>
                <w:spacing w:val="-1"/>
                <w:w w:val="71"/>
                <w:sz w:val="17"/>
              </w:rPr>
              <w:t>-</w:t>
            </w:r>
            <w:r>
              <w:rPr>
                <w:rFonts w:hint="eastAsia" w:ascii="宋体" w:hAnsi="宋体" w:eastAsia="宋体" w:cs="宋体"/>
                <w:spacing w:val="1"/>
                <w:w w:val="125"/>
                <w:sz w:val="17"/>
              </w:rPr>
              <w:t>18</w:t>
            </w:r>
            <w:r>
              <w:rPr>
                <w:rFonts w:hint="eastAsia" w:ascii="宋体" w:hAnsi="宋体" w:eastAsia="宋体" w:cs="宋体"/>
                <w:spacing w:val="-3"/>
                <w:w w:val="108"/>
                <w:sz w:val="17"/>
              </w:rPr>
              <w:t>K</w:t>
            </w:r>
            <w:r>
              <w:rPr>
                <w:rFonts w:hint="eastAsia" w:ascii="宋体" w:hAnsi="宋体" w:eastAsia="宋体" w:cs="宋体"/>
                <w:spacing w:val="-7"/>
                <w:w w:val="116"/>
                <w:sz w:val="17"/>
              </w:rPr>
              <w:t>H</w:t>
            </w:r>
            <w:r>
              <w:rPr>
                <w:rFonts w:hint="eastAsia" w:ascii="宋体" w:hAnsi="宋体" w:eastAsia="宋体" w:cs="宋体"/>
                <w:spacing w:val="7"/>
                <w:w w:val="113"/>
                <w:sz w:val="17"/>
              </w:rPr>
              <w:t>z</w:t>
            </w:r>
            <w:r>
              <w:rPr>
                <w:rFonts w:hint="eastAsia" w:ascii="宋体" w:hAnsi="宋体" w:eastAsia="宋体" w:cs="宋体"/>
                <w:w w:val="98"/>
                <w:sz w:val="17"/>
              </w:rPr>
              <w:t>（</w:t>
            </w:r>
            <w:r>
              <w:rPr>
                <w:rFonts w:hint="eastAsia" w:ascii="宋体" w:hAnsi="宋体" w:eastAsia="宋体" w:cs="宋体"/>
                <w:spacing w:val="3"/>
                <w:w w:val="82"/>
                <w:sz w:val="17"/>
              </w:rPr>
              <w:t>±</w:t>
            </w:r>
            <w:r>
              <w:rPr>
                <w:rFonts w:hint="eastAsia" w:ascii="宋体" w:hAnsi="宋体" w:eastAsia="宋体" w:cs="宋体"/>
                <w:spacing w:val="1"/>
                <w:w w:val="125"/>
                <w:sz w:val="17"/>
              </w:rPr>
              <w:t>3</w:t>
            </w:r>
            <w:r>
              <w:rPr>
                <w:rFonts w:hint="eastAsia" w:ascii="宋体" w:hAnsi="宋体" w:eastAsia="宋体" w:cs="宋体"/>
                <w:spacing w:val="1"/>
                <w:w w:val="126"/>
                <w:sz w:val="17"/>
              </w:rPr>
              <w:t>d</w:t>
            </w:r>
            <w:r>
              <w:rPr>
                <w:rFonts w:hint="eastAsia" w:ascii="宋体" w:hAnsi="宋体" w:eastAsia="宋体" w:cs="宋体"/>
                <w:spacing w:val="4"/>
                <w:w w:val="106"/>
                <w:sz w:val="17"/>
              </w:rPr>
              <w:t>B</w:t>
            </w:r>
            <w:r>
              <w:rPr>
                <w:rFonts w:hint="eastAsia" w:ascii="宋体" w:hAnsi="宋体" w:eastAsia="宋体" w:cs="宋体"/>
                <w:w w:val="98"/>
                <w:sz w:val="17"/>
              </w:rPr>
              <w:t>）；</w:t>
            </w:r>
          </w:p>
          <w:p>
            <w:pPr>
              <w:pStyle w:val="19"/>
              <w:numPr>
                <w:ilvl w:val="0"/>
                <w:numId w:val="58"/>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发射机指标：音头采用动圈式麦克风；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z w:val="19"/>
        </w:rPr>
        <w:t>附表一十七：电源管理器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01"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75"/>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59"/>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机柜式设计（2U）；</w:t>
            </w:r>
          </w:p>
          <w:p>
            <w:pPr>
              <w:pStyle w:val="19"/>
              <w:numPr>
                <w:ilvl w:val="0"/>
                <w:numId w:val="59"/>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支持≥16路电源输出，具有≥14个AC220V(10A)，≥2个</w:t>
            </w:r>
            <w:r>
              <w:rPr>
                <w:rFonts w:hint="eastAsia" w:ascii="宋体" w:hAnsi="宋体" w:eastAsia="宋体" w:cs="宋体"/>
                <w:spacing w:val="-3"/>
                <w:w w:val="110"/>
                <w:sz w:val="17"/>
              </w:rPr>
              <w:t>AC220V(16A)</w:t>
            </w:r>
            <w:r>
              <w:rPr>
                <w:rFonts w:hint="eastAsia" w:ascii="宋体" w:hAnsi="宋体" w:eastAsia="宋体" w:cs="宋体"/>
                <w:w w:val="110"/>
                <w:sz w:val="17"/>
              </w:rPr>
              <w:t>接口，电源插口总容量</w:t>
            </w:r>
            <w:r>
              <w:rPr>
                <w:rFonts w:hint="eastAsia" w:ascii="宋体" w:hAnsi="宋体" w:eastAsia="宋体" w:cs="宋体"/>
                <w:spacing w:val="-3"/>
                <w:w w:val="110"/>
                <w:sz w:val="17"/>
              </w:rPr>
              <w:t>≥6KVA；</w:t>
            </w:r>
          </w:p>
          <w:p>
            <w:pPr>
              <w:pStyle w:val="19"/>
              <w:numPr>
                <w:ilvl w:val="0"/>
                <w:numId w:val="5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带网络管理，可控电源</w:t>
            </w:r>
            <w:r>
              <w:rPr>
                <w:rFonts w:hint="eastAsia" w:ascii="宋体" w:hAnsi="宋体" w:eastAsia="宋体" w:cs="宋体"/>
                <w:w w:val="120"/>
                <w:sz w:val="17"/>
              </w:rPr>
              <w:t>≥16</w:t>
            </w:r>
            <w:r>
              <w:rPr>
                <w:rFonts w:hint="eastAsia" w:ascii="宋体" w:hAnsi="宋体" w:eastAsia="宋体" w:cs="宋体"/>
                <w:sz w:val="17"/>
              </w:rPr>
              <w:t>路通道，带电压显示、带延时开关、电脑远程控制、带自动切断、多重防护内置智能芯片</w:t>
            </w:r>
          </w:p>
          <w:p>
            <w:pPr>
              <w:pStyle w:val="19"/>
              <w:spacing w:before="166"/>
              <w:ind w:left="100"/>
              <w:rPr>
                <w:rFonts w:hint="eastAsia" w:ascii="宋体" w:hAnsi="宋体" w:eastAsia="宋体" w:cs="宋体"/>
                <w:sz w:val="17"/>
              </w:rPr>
            </w:pPr>
            <w:r>
              <w:rPr>
                <w:rFonts w:hint="eastAsia" w:ascii="宋体" w:hAnsi="宋体" w:eastAsia="宋体" w:cs="宋体"/>
                <w:sz w:val="17"/>
              </w:rPr>
              <w:t>、统筹管理支持多台联机；</w:t>
            </w:r>
          </w:p>
          <w:p>
            <w:pPr>
              <w:pStyle w:val="19"/>
              <w:rPr>
                <w:rFonts w:hint="eastAsia" w:ascii="宋体" w:hAnsi="宋体" w:eastAsia="宋体" w:cs="宋体"/>
                <w:b/>
                <w:sz w:val="13"/>
              </w:rPr>
            </w:pPr>
          </w:p>
          <w:p>
            <w:pPr>
              <w:pStyle w:val="19"/>
              <w:numPr>
                <w:ilvl w:val="0"/>
                <w:numId w:val="59"/>
              </w:numPr>
              <w:tabs>
                <w:tab w:val="left" w:pos="264"/>
              </w:tabs>
              <w:spacing w:before="0"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支持</w:t>
            </w:r>
            <w:r>
              <w:rPr>
                <w:rFonts w:hint="eastAsia" w:ascii="宋体" w:hAnsi="宋体" w:eastAsia="宋体" w:cs="宋体"/>
                <w:w w:val="120"/>
                <w:sz w:val="17"/>
              </w:rPr>
              <w:t>≥16</w:t>
            </w:r>
            <w:r>
              <w:rPr>
                <w:rFonts w:hint="eastAsia" w:ascii="宋体" w:hAnsi="宋体" w:eastAsia="宋体" w:cs="宋体"/>
                <w:w w:val="110"/>
                <w:sz w:val="17"/>
              </w:rPr>
              <w:t>路电源插座依次间隔</w:t>
            </w:r>
            <w:r>
              <w:rPr>
                <w:rFonts w:hint="eastAsia" w:ascii="宋体" w:hAnsi="宋体" w:eastAsia="宋体" w:cs="宋体"/>
                <w:w w:val="120"/>
                <w:sz w:val="17"/>
              </w:rPr>
              <w:t>1</w:t>
            </w:r>
            <w:r>
              <w:rPr>
                <w:rFonts w:hint="eastAsia" w:ascii="宋体" w:hAnsi="宋体" w:eastAsia="宋体" w:cs="宋体"/>
                <w:w w:val="110"/>
                <w:sz w:val="17"/>
              </w:rPr>
              <w:t>秒打开；</w:t>
            </w:r>
          </w:p>
          <w:p>
            <w:pPr>
              <w:pStyle w:val="19"/>
              <w:numPr>
                <w:ilvl w:val="0"/>
                <w:numId w:val="5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有</w:t>
            </w:r>
            <w:r>
              <w:rPr>
                <w:rFonts w:hint="eastAsia" w:ascii="宋体" w:hAnsi="宋体" w:eastAsia="宋体" w:cs="宋体"/>
                <w:w w:val="125"/>
                <w:sz w:val="17"/>
              </w:rPr>
              <w:t>≥1</w:t>
            </w:r>
            <w:r>
              <w:rPr>
                <w:rFonts w:hint="eastAsia" w:ascii="宋体" w:hAnsi="宋体" w:eastAsia="宋体" w:cs="宋体"/>
                <w:w w:val="105"/>
                <w:sz w:val="17"/>
              </w:rPr>
              <w:t>路</w:t>
            </w:r>
            <w:r>
              <w:rPr>
                <w:rFonts w:hint="eastAsia" w:ascii="宋体" w:hAnsi="宋体" w:eastAsia="宋体" w:cs="宋体"/>
                <w:w w:val="125"/>
                <w:sz w:val="17"/>
              </w:rPr>
              <w:t>24V</w:t>
            </w:r>
            <w:r>
              <w:rPr>
                <w:rFonts w:hint="eastAsia" w:ascii="宋体" w:hAnsi="宋体" w:eastAsia="宋体" w:cs="宋体"/>
                <w:w w:val="105"/>
                <w:sz w:val="17"/>
              </w:rPr>
              <w:t>消防信号输入接口</w:t>
            </w:r>
            <w:r>
              <w:rPr>
                <w:rFonts w:hint="eastAsia" w:ascii="宋体" w:hAnsi="宋体" w:eastAsia="宋体" w:cs="宋体"/>
                <w:w w:val="125"/>
                <w:sz w:val="17"/>
              </w:rPr>
              <w:t>；≥1</w:t>
            </w:r>
            <w:r>
              <w:rPr>
                <w:rFonts w:hint="eastAsia" w:ascii="宋体" w:hAnsi="宋体" w:eastAsia="宋体" w:cs="宋体"/>
                <w:w w:val="105"/>
                <w:sz w:val="17"/>
              </w:rPr>
              <w:t>路消防短路报警触发信号输出。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z w:val="19"/>
        </w:rPr>
        <w:t>附表一十八：行为捕捉相机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pgSz w:w="11900" w:h="16840"/>
          <w:pgMar w:top="580" w:right="560" w:bottom="280" w:left="540" w:header="0" w:footer="9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183"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2"/>
              <w:rPr>
                <w:rFonts w:hint="eastAsia" w:ascii="宋体" w:hAnsi="宋体" w:eastAsia="宋体" w:cs="宋体"/>
                <w:b/>
                <w:sz w:val="23"/>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spacing w:before="80"/>
              <w:ind w:left="100"/>
              <w:rPr>
                <w:rFonts w:hint="eastAsia" w:ascii="宋体" w:hAnsi="宋体" w:eastAsia="宋体" w:cs="宋体"/>
                <w:sz w:val="17"/>
              </w:rPr>
            </w:pPr>
            <w:r>
              <w:rPr>
                <w:rFonts w:hint="eastAsia" w:ascii="宋体" w:hAnsi="宋体" w:eastAsia="宋体" w:cs="宋体"/>
                <w:w w:val="120"/>
                <w:sz w:val="17"/>
              </w:rPr>
              <w:t>1.</w:t>
            </w:r>
            <w:r>
              <w:rPr>
                <w:rFonts w:hint="eastAsia" w:ascii="宋体" w:hAnsi="宋体" w:eastAsia="宋体" w:cs="宋体"/>
                <w:sz w:val="17"/>
              </w:rPr>
              <w:t>产品类型：红外光学动捕相机；</w:t>
            </w:r>
          </w:p>
          <w:p>
            <w:pPr>
              <w:pStyle w:val="19"/>
              <w:spacing w:before="167" w:line="422" w:lineRule="auto"/>
              <w:ind w:left="100" w:right="85"/>
              <w:rPr>
                <w:rFonts w:hint="eastAsia" w:ascii="宋体" w:hAnsi="宋体" w:eastAsia="宋体" w:cs="宋体"/>
                <w:sz w:val="17"/>
              </w:rPr>
            </w:pPr>
            <w:r>
              <w:rPr>
                <w:rFonts w:hint="eastAsia" w:ascii="宋体" w:hAnsi="宋体" w:eastAsia="宋体" w:cs="宋体"/>
                <w:spacing w:val="-2"/>
                <w:w w:val="105"/>
                <w:sz w:val="17"/>
              </w:rPr>
              <w:t>★2.相机最高分辨率：≥1280×1024，最高分辨率（1280*1024）下的数据输出最高帧率</w:t>
            </w:r>
            <w:r>
              <w:rPr>
                <w:rFonts w:hint="eastAsia" w:ascii="宋体" w:hAnsi="宋体" w:eastAsia="宋体" w:cs="宋体"/>
                <w:spacing w:val="-1"/>
                <w:w w:val="105"/>
                <w:sz w:val="17"/>
              </w:rPr>
              <w:t>≥210</w:t>
            </w:r>
            <w:r>
              <w:rPr>
                <w:rFonts w:hint="eastAsia" w:ascii="宋体" w:hAnsi="宋体" w:eastAsia="宋体" w:cs="宋体"/>
                <w:spacing w:val="-3"/>
                <w:w w:val="105"/>
                <w:sz w:val="17"/>
              </w:rPr>
              <w:t xml:space="preserve">帧；【提供此功能的 </w:t>
            </w:r>
            <w:r>
              <w:rPr>
                <w:rFonts w:hint="eastAsia" w:ascii="宋体" w:hAnsi="宋体" w:eastAsia="宋体" w:cs="宋体"/>
                <w:w w:val="110"/>
                <w:sz w:val="17"/>
              </w:rPr>
              <w:t>证明资料】</w:t>
            </w:r>
          </w:p>
          <w:p>
            <w:pPr>
              <w:pStyle w:val="19"/>
              <w:numPr>
                <w:ilvl w:val="0"/>
                <w:numId w:val="60"/>
              </w:numPr>
              <w:tabs>
                <w:tab w:val="left" w:pos="264"/>
              </w:tabs>
              <w:spacing w:before="1"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延时：≤4.8ms；【提供此功能的证明资料】</w:t>
            </w:r>
          </w:p>
          <w:p>
            <w:pPr>
              <w:pStyle w:val="19"/>
              <w:numPr>
                <w:ilvl w:val="0"/>
                <w:numId w:val="6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捕捉精度：亚毫米级，捕捉精度</w:t>
            </w:r>
            <w:r>
              <w:rPr>
                <w:rFonts w:hint="eastAsia" w:ascii="宋体" w:hAnsi="宋体" w:eastAsia="宋体" w:cs="宋体"/>
                <w:spacing w:val="-3"/>
                <w:w w:val="110"/>
                <w:sz w:val="17"/>
              </w:rPr>
              <w:t>&lt;1mm；</w:t>
            </w:r>
          </w:p>
          <w:p>
            <w:pPr>
              <w:pStyle w:val="19"/>
              <w:numPr>
                <w:ilvl w:val="0"/>
                <w:numId w:val="60"/>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快门类型：全局快门；</w:t>
            </w:r>
          </w:p>
          <w:p>
            <w:pPr>
              <w:pStyle w:val="19"/>
              <w:numPr>
                <w:ilvl w:val="0"/>
                <w:numId w:val="6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pacing w:val="-1"/>
                <w:w w:val="105"/>
                <w:sz w:val="17"/>
              </w:rPr>
              <w:t>图像处理模式：</w:t>
            </w:r>
            <w:r>
              <w:rPr>
                <w:rFonts w:hint="eastAsia" w:ascii="宋体" w:hAnsi="宋体" w:eastAsia="宋体" w:cs="宋体"/>
                <w:spacing w:val="-5"/>
                <w:w w:val="105"/>
                <w:sz w:val="17"/>
              </w:rPr>
              <w:t>marker</w:t>
            </w:r>
            <w:r>
              <w:rPr>
                <w:rFonts w:hint="eastAsia" w:ascii="宋体" w:hAnsi="宋体" w:eastAsia="宋体" w:cs="宋体"/>
                <w:w w:val="105"/>
                <w:sz w:val="17"/>
              </w:rPr>
              <w:t>点二维坐标模式</w:t>
            </w:r>
            <w:r>
              <w:rPr>
                <w:rFonts w:hint="eastAsia" w:ascii="宋体" w:hAnsi="宋体" w:eastAsia="宋体" w:cs="宋体"/>
                <w:spacing w:val="3"/>
                <w:sz w:val="17"/>
              </w:rPr>
              <w:t>/</w:t>
            </w:r>
            <w:r>
              <w:rPr>
                <w:rFonts w:hint="eastAsia" w:ascii="宋体" w:hAnsi="宋体" w:eastAsia="宋体" w:cs="宋体"/>
                <w:w w:val="105"/>
                <w:sz w:val="17"/>
              </w:rPr>
              <w:t>原图灰度模式；</w:t>
            </w:r>
          </w:p>
          <w:p>
            <w:pPr>
              <w:pStyle w:val="19"/>
              <w:numPr>
                <w:ilvl w:val="0"/>
                <w:numId w:val="6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最远捕捉距离</w:t>
            </w:r>
            <w:r>
              <w:rPr>
                <w:rFonts w:hint="eastAsia" w:ascii="宋体" w:hAnsi="宋体" w:eastAsia="宋体" w:cs="宋体"/>
                <w:w w:val="125"/>
                <w:sz w:val="17"/>
              </w:rPr>
              <w:t>≥8</w:t>
            </w:r>
            <w:r>
              <w:rPr>
                <w:rFonts w:hint="eastAsia" w:ascii="宋体" w:hAnsi="宋体" w:eastAsia="宋体" w:cs="宋体"/>
                <w:w w:val="105"/>
                <w:sz w:val="17"/>
              </w:rPr>
              <w:t>米，最佳捕捉距离：5-8米；</w:t>
            </w:r>
          </w:p>
          <w:p>
            <w:pPr>
              <w:pStyle w:val="19"/>
              <w:spacing w:before="167"/>
              <w:ind w:left="100"/>
              <w:rPr>
                <w:rFonts w:hint="eastAsia" w:ascii="宋体" w:hAnsi="宋体" w:eastAsia="宋体" w:cs="宋体"/>
                <w:sz w:val="17"/>
              </w:rPr>
            </w:pPr>
            <w:r>
              <w:rPr>
                <w:rFonts w:hint="eastAsia" w:ascii="宋体" w:hAnsi="宋体" w:eastAsia="宋体" w:cs="宋体"/>
                <w:spacing w:val="1"/>
                <w:w w:val="125"/>
                <w:sz w:val="17"/>
              </w:rPr>
              <w:t>8</w:t>
            </w:r>
            <w:r>
              <w:rPr>
                <w:rFonts w:hint="eastAsia" w:ascii="宋体" w:hAnsi="宋体" w:eastAsia="宋体" w:cs="宋体"/>
                <w:spacing w:val="-6"/>
                <w:w w:val="154"/>
                <w:sz w:val="17"/>
              </w:rPr>
              <w:t>.</w:t>
            </w:r>
            <w:r>
              <w:rPr>
                <w:rFonts w:hint="eastAsia" w:ascii="宋体" w:hAnsi="宋体" w:eastAsia="宋体" w:cs="宋体"/>
                <w:w w:val="98"/>
                <w:sz w:val="17"/>
              </w:rPr>
              <w:t>有效捕捉视角：</w:t>
            </w:r>
            <w:r>
              <w:rPr>
                <w:rFonts w:hint="eastAsia" w:ascii="宋体" w:hAnsi="宋体" w:eastAsia="宋体" w:cs="宋体"/>
                <w:spacing w:val="3"/>
                <w:w w:val="164"/>
                <w:sz w:val="17"/>
              </w:rPr>
              <w:t>≥</w:t>
            </w:r>
            <w:r>
              <w:rPr>
                <w:rFonts w:hint="eastAsia" w:ascii="宋体" w:hAnsi="宋体" w:eastAsia="宋体" w:cs="宋体"/>
                <w:spacing w:val="1"/>
                <w:w w:val="125"/>
                <w:sz w:val="17"/>
              </w:rPr>
              <w:t>82</w:t>
            </w:r>
            <w:r>
              <w:rPr>
                <w:rFonts w:hint="eastAsia" w:ascii="宋体" w:hAnsi="宋体" w:eastAsia="宋体" w:cs="宋体"/>
                <w:w w:val="49"/>
                <w:sz w:val="17"/>
              </w:rPr>
              <w:t>°</w:t>
            </w:r>
            <w:r>
              <w:rPr>
                <w:rFonts w:hint="eastAsia" w:ascii="宋体" w:hAnsi="宋体" w:eastAsia="宋体" w:cs="宋体"/>
                <w:w w:val="98"/>
                <w:sz w:val="17"/>
              </w:rPr>
              <w:t>*</w:t>
            </w:r>
            <w:r>
              <w:rPr>
                <w:rFonts w:hint="eastAsia" w:ascii="宋体" w:hAnsi="宋体" w:eastAsia="宋体" w:cs="宋体"/>
                <w:spacing w:val="1"/>
                <w:w w:val="125"/>
                <w:sz w:val="17"/>
              </w:rPr>
              <w:t>70</w:t>
            </w:r>
            <w:r>
              <w:rPr>
                <w:rFonts w:hint="eastAsia" w:ascii="宋体" w:hAnsi="宋体" w:eastAsia="宋体" w:cs="宋体"/>
                <w:w w:val="49"/>
                <w:sz w:val="17"/>
              </w:rPr>
              <w:t>°</w:t>
            </w:r>
            <w:r>
              <w:rPr>
                <w:rFonts w:hint="eastAsia" w:ascii="宋体" w:hAnsi="宋体" w:eastAsia="宋体" w:cs="宋体"/>
                <w:w w:val="98"/>
                <w:sz w:val="17"/>
              </w:rPr>
              <w:t>；</w:t>
            </w:r>
          </w:p>
          <w:p>
            <w:pPr>
              <w:pStyle w:val="19"/>
              <w:numPr>
                <w:ilvl w:val="0"/>
                <w:numId w:val="6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机身材质：铝合金；</w:t>
            </w:r>
          </w:p>
          <w:p>
            <w:pPr>
              <w:pStyle w:val="19"/>
              <w:numPr>
                <w:ilvl w:val="0"/>
                <w:numId w:val="61"/>
              </w:numPr>
              <w:tabs>
                <w:tab w:val="left" w:pos="372"/>
              </w:tabs>
              <w:spacing w:before="166" w:after="0" w:line="422" w:lineRule="auto"/>
              <w:ind w:left="100" w:right="145" w:firstLine="0"/>
              <w:jc w:val="left"/>
              <w:rPr>
                <w:rFonts w:hint="eastAsia" w:ascii="宋体" w:hAnsi="宋体" w:eastAsia="宋体" w:cs="宋体"/>
                <w:sz w:val="17"/>
              </w:rPr>
            </w:pPr>
            <w:r>
              <w:rPr>
                <w:rFonts w:hint="eastAsia" w:ascii="宋体" w:hAnsi="宋体" w:eastAsia="宋体" w:cs="宋体"/>
                <w:sz w:val="17"/>
              </w:rPr>
              <w:t>相机在60摄氏度环境温度下可连续正常工作8小时以上；相机在-25摄氏度环境温度下可连续正常工作8</w:t>
            </w:r>
            <w:r>
              <w:rPr>
                <w:rFonts w:hint="eastAsia" w:ascii="宋体" w:hAnsi="宋体" w:eastAsia="宋体" w:cs="宋体"/>
                <w:spacing w:val="-3"/>
                <w:sz w:val="17"/>
              </w:rPr>
              <w:t xml:space="preserve">小时以上； </w:t>
            </w:r>
            <w:r>
              <w:rPr>
                <w:rFonts w:hint="eastAsia" w:ascii="宋体" w:hAnsi="宋体" w:eastAsia="宋体" w:cs="宋体"/>
                <w:w w:val="110"/>
                <w:sz w:val="17"/>
              </w:rPr>
              <w:t>相机在温度40摄氏度和湿度93%RH的环境下可连续正常工作48小时以上；【提供此功能的证明资料】</w:t>
            </w:r>
          </w:p>
          <w:p>
            <w:pPr>
              <w:pStyle w:val="19"/>
              <w:spacing w:before="2"/>
              <w:ind w:left="100"/>
              <w:rPr>
                <w:rFonts w:hint="eastAsia" w:ascii="宋体" w:hAnsi="宋体" w:eastAsia="宋体" w:cs="宋体"/>
                <w:sz w:val="17"/>
              </w:rPr>
            </w:pPr>
            <w:r>
              <w:rPr>
                <w:rFonts w:hint="eastAsia" w:ascii="宋体" w:hAnsi="宋体" w:eastAsia="宋体" w:cs="宋体"/>
                <w:w w:val="115"/>
                <w:sz w:val="17"/>
              </w:rPr>
              <w:t>11.镜头类型：≥3.5mm F#2.4；</w:t>
            </w:r>
          </w:p>
          <w:p>
            <w:pPr>
              <w:pStyle w:val="19"/>
              <w:numPr>
                <w:ilvl w:val="0"/>
                <w:numId w:val="62"/>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05"/>
                <w:sz w:val="17"/>
              </w:rPr>
              <w:t>捕捉红外波长：≥850nm；</w:t>
            </w:r>
          </w:p>
          <w:p>
            <w:pPr>
              <w:pStyle w:val="19"/>
              <w:numPr>
                <w:ilvl w:val="0"/>
                <w:numId w:val="62"/>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每个相机搭载≥14个超大功率850nm红外LED，LED灯亮度可以随目标距离进行调整；【提供此功能的证明资料】</w:t>
            </w:r>
          </w:p>
          <w:p>
            <w:pPr>
              <w:pStyle w:val="19"/>
              <w:numPr>
                <w:ilvl w:val="0"/>
                <w:numId w:val="62"/>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捕捉方式：被动式；</w:t>
            </w:r>
          </w:p>
          <w:p>
            <w:pPr>
              <w:pStyle w:val="19"/>
              <w:numPr>
                <w:ilvl w:val="0"/>
                <w:numId w:val="62"/>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110"/>
                <w:sz w:val="17"/>
              </w:rPr>
              <w:t>滤光片：≥850nm窄带通；</w:t>
            </w:r>
          </w:p>
          <w:p>
            <w:pPr>
              <w:pStyle w:val="19"/>
              <w:numPr>
                <w:ilvl w:val="0"/>
                <w:numId w:val="62"/>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pacing w:val="-1"/>
                <w:w w:val="105"/>
                <w:sz w:val="17"/>
              </w:rPr>
              <w:t>接口与传输方式：</w:t>
            </w:r>
            <w:r>
              <w:rPr>
                <w:rFonts w:hint="eastAsia" w:ascii="宋体" w:hAnsi="宋体" w:eastAsia="宋体" w:cs="宋体"/>
                <w:spacing w:val="-4"/>
                <w:w w:val="105"/>
                <w:sz w:val="17"/>
              </w:rPr>
              <w:t>POE-GbE/USB-WIFI（WIFI</w:t>
            </w:r>
            <w:r>
              <w:rPr>
                <w:rFonts w:hint="eastAsia" w:ascii="宋体" w:hAnsi="宋体" w:eastAsia="宋体" w:cs="宋体"/>
                <w:w w:val="105"/>
                <w:sz w:val="17"/>
              </w:rPr>
              <w:t>模式需外接无线网卡）；</w:t>
            </w:r>
          </w:p>
          <w:p>
            <w:pPr>
              <w:pStyle w:val="19"/>
              <w:numPr>
                <w:ilvl w:val="0"/>
                <w:numId w:val="62"/>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相机供电方式：兼容DC12V供电和POE供电；</w:t>
            </w:r>
          </w:p>
          <w:p>
            <w:pPr>
              <w:pStyle w:val="19"/>
              <w:numPr>
                <w:ilvl w:val="0"/>
                <w:numId w:val="62"/>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状态显示：数字</w:t>
            </w:r>
            <w:r>
              <w:rPr>
                <w:rFonts w:hint="eastAsia" w:ascii="宋体" w:hAnsi="宋体" w:eastAsia="宋体" w:cs="宋体"/>
                <w:spacing w:val="-3"/>
                <w:sz w:val="17"/>
              </w:rPr>
              <w:t>LED</w:t>
            </w:r>
            <w:r>
              <w:rPr>
                <w:rFonts w:hint="eastAsia" w:ascii="宋体" w:hAnsi="宋体" w:eastAsia="宋体" w:cs="宋体"/>
                <w:sz w:val="17"/>
              </w:rPr>
              <w:t>显示摄像机编号；</w:t>
            </w:r>
          </w:p>
          <w:p>
            <w:pPr>
              <w:pStyle w:val="19"/>
              <w:numPr>
                <w:ilvl w:val="0"/>
                <w:numId w:val="62"/>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一场地对应一个配置方案，能够根据实际场地灵活进行相机配置；【提供此功能的证明资料】</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60"/>
        <w:ind w:left="120" w:right="0" w:firstLine="0"/>
        <w:jc w:val="left"/>
        <w:rPr>
          <w:rFonts w:hint="eastAsia" w:ascii="宋体" w:hAnsi="宋体" w:eastAsia="宋体" w:cs="宋体"/>
          <w:b/>
          <w:sz w:val="19"/>
        </w:rPr>
      </w:pPr>
      <w:r>
        <w:rPr>
          <w:rFonts w:hint="eastAsia" w:ascii="宋体" w:hAnsi="宋体" w:eastAsia="宋体" w:cs="宋体"/>
          <w:b/>
          <w:sz w:val="19"/>
        </w:rPr>
        <w:t>附表一十九：行为捕捉软件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92" w:hRule="atLeast"/>
        </w:trPr>
        <w:tc>
          <w:tcPr>
            <w:tcW w:w="1056" w:type="dxa"/>
            <w:tcBorders>
              <w:bottom w:val="nil"/>
            </w:tcBorders>
          </w:tcPr>
          <w:p>
            <w:pPr>
              <w:pStyle w:val="19"/>
              <w:rPr>
                <w:rFonts w:hint="eastAsia" w:ascii="宋体" w:hAnsi="宋体" w:eastAsia="宋体" w:cs="宋体"/>
                <w:sz w:val="16"/>
              </w:rPr>
            </w:pPr>
          </w:p>
        </w:tc>
        <w:tc>
          <w:tcPr>
            <w:tcW w:w="528" w:type="dxa"/>
            <w:tcBorders>
              <w:bottom w:val="nil"/>
            </w:tcBorders>
          </w:tcPr>
          <w:p>
            <w:pPr>
              <w:pStyle w:val="19"/>
              <w:rPr>
                <w:rFonts w:hint="eastAsia" w:ascii="宋体" w:hAnsi="宋体" w:eastAsia="宋体" w:cs="宋体"/>
                <w:sz w:val="16"/>
              </w:rPr>
            </w:pPr>
          </w:p>
        </w:tc>
        <w:tc>
          <w:tcPr>
            <w:tcW w:w="8966" w:type="dxa"/>
            <w:tcBorders>
              <w:bottom w:val="nil"/>
            </w:tcBorders>
          </w:tcPr>
          <w:p>
            <w:pPr>
              <w:pStyle w:val="19"/>
              <w:numPr>
                <w:ilvl w:val="0"/>
                <w:numId w:val="63"/>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w w:val="95"/>
                <w:sz w:val="17"/>
              </w:rPr>
              <w:t>专用捕捉软件，能够快速完成系统校准、精确数据的捕获、运动数据的编辑，并且可以控制最终的输出数据的格式；</w:t>
            </w:r>
          </w:p>
          <w:p>
            <w:pPr>
              <w:pStyle w:val="19"/>
              <w:numPr>
                <w:ilvl w:val="0"/>
                <w:numId w:val="63"/>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软件支持不同型号镜头、新旧不同版本镜头程序的镜头混搭使用；</w:t>
            </w:r>
          </w:p>
          <w:p>
            <w:pPr>
              <w:pStyle w:val="19"/>
              <w:numPr>
                <w:ilvl w:val="0"/>
                <w:numId w:val="63"/>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一键式快速同时创建多副骨骼，支持编辑骨骼属性，已创建的骨骼能够自由进出场地，并能被快速自动识别；</w:t>
            </w:r>
          </w:p>
          <w:p>
            <w:pPr>
              <w:pStyle w:val="19"/>
              <w:numPr>
                <w:ilvl w:val="0"/>
                <w:numId w:val="63"/>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动作捕捉软件自动匹配默认</w:t>
            </w:r>
            <w:r>
              <w:rPr>
                <w:rFonts w:hint="eastAsia" w:ascii="宋体" w:hAnsi="宋体" w:eastAsia="宋体" w:cs="宋体"/>
                <w:w w:val="115"/>
                <w:sz w:val="17"/>
              </w:rPr>
              <w:t>53</w:t>
            </w:r>
            <w:r>
              <w:rPr>
                <w:rFonts w:hint="eastAsia" w:ascii="宋体" w:hAnsi="宋体" w:eastAsia="宋体" w:cs="宋体"/>
                <w:sz w:val="17"/>
              </w:rPr>
              <w:t>点骨骼模型；支持骨骼、蒙皮、骨骼</w:t>
            </w:r>
            <w:r>
              <w:rPr>
                <w:rFonts w:hint="eastAsia" w:ascii="宋体" w:hAnsi="宋体" w:eastAsia="宋体" w:cs="宋体"/>
                <w:spacing w:val="3"/>
                <w:w w:val="145"/>
                <w:sz w:val="17"/>
              </w:rPr>
              <w:t>+</w:t>
            </w:r>
            <w:r>
              <w:rPr>
                <w:rFonts w:hint="eastAsia" w:ascii="宋体" w:hAnsi="宋体" w:eastAsia="宋体" w:cs="宋体"/>
                <w:sz w:val="17"/>
              </w:rPr>
              <w:t>蒙皮的三维人体显示方式；</w:t>
            </w:r>
          </w:p>
          <w:p>
            <w:pPr>
              <w:pStyle w:val="19"/>
              <w:numPr>
                <w:ilvl w:val="0"/>
                <w:numId w:val="63"/>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95"/>
                <w:sz w:val="17"/>
              </w:rPr>
              <w:t>高精度骨骼解算：稳定可靠的骨骼解算器，即使标记点被遮挡，软件实时分析解算保证骨骼保持稳定的动作和完整性</w:t>
            </w:r>
          </w:p>
          <w:p>
            <w:pPr>
              <w:pStyle w:val="19"/>
              <w:spacing w:before="167"/>
              <w:ind w:left="100"/>
              <w:rPr>
                <w:rFonts w:hint="eastAsia" w:ascii="宋体" w:hAnsi="宋体" w:eastAsia="宋体" w:cs="宋体"/>
                <w:sz w:val="17"/>
              </w:rPr>
            </w:pPr>
            <w:r>
              <w:rPr>
                <w:rFonts w:hint="eastAsia" w:ascii="宋体" w:hAnsi="宋体" w:eastAsia="宋体" w:cs="宋体"/>
                <w:w w:val="98"/>
                <w:sz w:val="17"/>
              </w:rPr>
              <w:t>；</w:t>
            </w:r>
          </w:p>
          <w:p>
            <w:pPr>
              <w:pStyle w:val="19"/>
              <w:spacing w:before="12"/>
              <w:rPr>
                <w:rFonts w:hint="eastAsia" w:ascii="宋体" w:hAnsi="宋体" w:eastAsia="宋体" w:cs="宋体"/>
                <w:b/>
                <w:sz w:val="12"/>
              </w:rPr>
            </w:pPr>
          </w:p>
          <w:p>
            <w:pPr>
              <w:pStyle w:val="19"/>
              <w:numPr>
                <w:ilvl w:val="0"/>
                <w:numId w:val="63"/>
              </w:numPr>
              <w:tabs>
                <w:tab w:val="left" w:pos="264"/>
              </w:tabs>
              <w:spacing w:before="0"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多角色跟踪识别，系统自动识别多角色，并可以通过为每个角色设定性别、唯一性的颜色进行区分；</w:t>
            </w:r>
          </w:p>
          <w:p>
            <w:pPr>
              <w:pStyle w:val="19"/>
              <w:numPr>
                <w:ilvl w:val="0"/>
                <w:numId w:val="63"/>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系统实施前，可自定义摄像机配置，规划自定义动捕空间的摄像机布局；</w:t>
            </w:r>
          </w:p>
          <w:p>
            <w:pPr>
              <w:pStyle w:val="19"/>
              <w:numPr>
                <w:ilvl w:val="0"/>
                <w:numId w:val="63"/>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支持计算空间覆盖率，支持实时计算捕捉精度；</w:t>
            </w:r>
          </w:p>
          <w:p>
            <w:pPr>
              <w:pStyle w:val="19"/>
              <w:numPr>
                <w:ilvl w:val="0"/>
                <w:numId w:val="63"/>
              </w:numPr>
              <w:tabs>
                <w:tab w:val="left" w:pos="264"/>
              </w:tabs>
              <w:spacing w:before="166" w:after="0" w:line="422" w:lineRule="auto"/>
              <w:ind w:left="100" w:right="97" w:firstLine="0"/>
              <w:jc w:val="left"/>
              <w:rPr>
                <w:rFonts w:hint="eastAsia" w:ascii="宋体" w:hAnsi="宋体" w:eastAsia="宋体" w:cs="宋体"/>
                <w:sz w:val="17"/>
              </w:rPr>
            </w:pPr>
            <w:r>
              <w:rPr>
                <w:rFonts w:hint="eastAsia" w:ascii="宋体" w:hAnsi="宋体" w:eastAsia="宋体" w:cs="宋体"/>
                <w:spacing w:val="-2"/>
                <w:sz w:val="17"/>
              </w:rPr>
              <w:t>手指捕捉：</w:t>
            </w:r>
            <w:r>
              <w:rPr>
                <w:rFonts w:hint="eastAsia" w:ascii="宋体" w:hAnsi="宋体" w:eastAsia="宋体" w:cs="宋体"/>
                <w:spacing w:val="-1"/>
                <w:sz w:val="17"/>
              </w:rPr>
              <w:t>≥10个双轴柔性传感器，≥6个九轴惯性测量单元，≥6</w:t>
            </w:r>
            <w:r>
              <w:rPr>
                <w:rFonts w:hint="eastAsia" w:ascii="宋体" w:hAnsi="宋体" w:eastAsia="宋体" w:cs="宋体"/>
                <w:spacing w:val="-2"/>
                <w:sz w:val="17"/>
              </w:rPr>
              <w:t xml:space="preserve">个光学反光标记点，软件可直接实时预览、记录全  </w:t>
            </w:r>
            <w:r>
              <w:rPr>
                <w:rFonts w:hint="eastAsia" w:ascii="宋体" w:hAnsi="宋体" w:eastAsia="宋体" w:cs="宋体"/>
                <w:w w:val="110"/>
                <w:sz w:val="17"/>
              </w:rPr>
              <w:t>身和手指动作数据；</w:t>
            </w:r>
          </w:p>
          <w:p>
            <w:pPr>
              <w:pStyle w:val="19"/>
              <w:numPr>
                <w:ilvl w:val="0"/>
                <w:numId w:val="63"/>
              </w:numPr>
              <w:tabs>
                <w:tab w:val="left" w:pos="372"/>
              </w:tabs>
              <w:spacing w:before="2"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支持利用体积可视化和测量工具来评估体积健康和系统准确性；</w:t>
            </w:r>
          </w:p>
          <w:p>
            <w:pPr>
              <w:pStyle w:val="19"/>
              <w:numPr>
                <w:ilvl w:val="0"/>
                <w:numId w:val="63"/>
              </w:numPr>
              <w:tabs>
                <w:tab w:val="left" w:pos="372"/>
              </w:tabs>
              <w:spacing w:before="166" w:after="0" w:line="422" w:lineRule="auto"/>
              <w:ind w:left="100" w:right="97" w:firstLine="0"/>
              <w:jc w:val="left"/>
              <w:rPr>
                <w:rFonts w:hint="eastAsia" w:ascii="宋体" w:hAnsi="宋体" w:eastAsia="宋体" w:cs="宋体"/>
                <w:sz w:val="17"/>
              </w:rPr>
            </w:pPr>
            <w:r>
              <w:rPr>
                <w:rFonts w:hint="eastAsia" w:ascii="宋体" w:hAnsi="宋体" w:eastAsia="宋体" w:cs="宋体"/>
                <w:spacing w:val="-2"/>
                <w:sz w:val="17"/>
              </w:rPr>
              <w:t>精确的点云重建，标定重建精度高达</w:t>
            </w:r>
            <w:r>
              <w:rPr>
                <w:rFonts w:hint="eastAsia" w:ascii="宋体" w:hAnsi="宋体" w:eastAsia="宋体" w:cs="宋体"/>
                <w:spacing w:val="-4"/>
                <w:sz w:val="17"/>
              </w:rPr>
              <w:t>0.1mm</w:t>
            </w:r>
            <w:r>
              <w:rPr>
                <w:rFonts w:hint="eastAsia" w:ascii="宋体" w:hAnsi="宋体" w:eastAsia="宋体" w:cs="宋体"/>
                <w:spacing w:val="-3"/>
                <w:sz w:val="17"/>
              </w:rPr>
              <w:t xml:space="preserve">，最优可达0.02mm，支持实时自动优化标定质量，整个过程无需人为  </w:t>
            </w:r>
            <w:r>
              <w:rPr>
                <w:rFonts w:hint="eastAsia" w:ascii="宋体" w:hAnsi="宋体" w:eastAsia="宋体" w:cs="宋体"/>
                <w:w w:val="110"/>
                <w:sz w:val="17"/>
              </w:rPr>
              <w:t>介入；</w:t>
            </w:r>
          </w:p>
          <w:p>
            <w:pPr>
              <w:pStyle w:val="19"/>
              <w:numPr>
                <w:ilvl w:val="0"/>
                <w:numId w:val="63"/>
              </w:numPr>
              <w:tabs>
                <w:tab w:val="left" w:pos="372"/>
              </w:tabs>
              <w:spacing w:before="2"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支持系统健康状况监视、事件日志记录；支持实时查看刚体运动轨迹曲线；</w:t>
            </w:r>
          </w:p>
        </w:tc>
      </w:tr>
    </w:tbl>
    <w:p>
      <w:pPr>
        <w:spacing w:after="0" w:line="240" w:lineRule="auto"/>
        <w:jc w:val="left"/>
        <w:rPr>
          <w:rFonts w:hint="eastAsia" w:ascii="宋体" w:hAnsi="宋体" w:eastAsia="宋体" w:cs="宋体"/>
          <w:sz w:val="17"/>
        </w:rPr>
        <w:sectPr>
          <w:pgSz w:w="11900" w:h="16840"/>
          <w:pgMar w:top="560" w:right="560" w:bottom="280" w:left="540" w:header="0" w:footer="9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273" w:hRule="atLeast"/>
        </w:trPr>
        <w:tc>
          <w:tcPr>
            <w:tcW w:w="1056" w:type="dxa"/>
            <w:tcBorders>
              <w:top w:val="nil"/>
            </w:tcBorders>
          </w:tcPr>
          <w:p>
            <w:pPr>
              <w:pStyle w:val="19"/>
              <w:rPr>
                <w:rFonts w:hint="eastAsia" w:ascii="宋体" w:hAnsi="宋体" w:eastAsia="宋体" w:cs="宋体"/>
                <w:sz w:val="16"/>
              </w:rPr>
            </w:pPr>
          </w:p>
        </w:tc>
        <w:tc>
          <w:tcPr>
            <w:tcW w:w="528" w:type="dxa"/>
            <w:tcBorders>
              <w:top w:val="nil"/>
            </w:tcBorders>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4"/>
              <w:rPr>
                <w:rFonts w:hint="eastAsia" w:ascii="宋体" w:hAnsi="宋体" w:eastAsia="宋体" w:cs="宋体"/>
                <w:b/>
                <w:sz w:val="28"/>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Borders>
              <w:top w:val="nil"/>
            </w:tcBorders>
          </w:tcPr>
          <w:p>
            <w:pPr>
              <w:pStyle w:val="19"/>
              <w:numPr>
                <w:ilvl w:val="0"/>
                <w:numId w:val="64"/>
              </w:numPr>
              <w:tabs>
                <w:tab w:val="left" w:pos="372"/>
              </w:tabs>
              <w:spacing w:before="82"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内置动作轨迹交换工具、间隙填充工具、平滑工具和移动轨迹工具能极大的提高动作捕捉数据修复的准确性和效率</w:t>
            </w:r>
          </w:p>
          <w:p>
            <w:pPr>
              <w:pStyle w:val="19"/>
              <w:spacing w:before="166"/>
              <w:ind w:left="100"/>
              <w:rPr>
                <w:rFonts w:hint="eastAsia" w:ascii="宋体" w:hAnsi="宋体" w:eastAsia="宋体" w:cs="宋体"/>
                <w:sz w:val="17"/>
              </w:rPr>
            </w:pPr>
            <w:r>
              <w:rPr>
                <w:rFonts w:hint="eastAsia" w:ascii="宋体" w:hAnsi="宋体" w:eastAsia="宋体" w:cs="宋体"/>
                <w:w w:val="98"/>
                <w:sz w:val="17"/>
              </w:rPr>
              <w:t>；</w:t>
            </w:r>
          </w:p>
          <w:p>
            <w:pPr>
              <w:pStyle w:val="19"/>
              <w:rPr>
                <w:rFonts w:hint="eastAsia" w:ascii="宋体" w:hAnsi="宋体" w:eastAsia="宋体" w:cs="宋体"/>
                <w:b/>
                <w:sz w:val="13"/>
              </w:rPr>
            </w:pPr>
          </w:p>
          <w:p>
            <w:pPr>
              <w:pStyle w:val="19"/>
              <w:numPr>
                <w:ilvl w:val="0"/>
                <w:numId w:val="64"/>
              </w:numPr>
              <w:tabs>
                <w:tab w:val="left" w:pos="372"/>
              </w:tabs>
              <w:spacing w:before="0"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智能便捷的数据修复，可一键修复数据；</w:t>
            </w:r>
          </w:p>
          <w:p>
            <w:pPr>
              <w:pStyle w:val="19"/>
              <w:numPr>
                <w:ilvl w:val="0"/>
                <w:numId w:val="64"/>
              </w:numPr>
              <w:tabs>
                <w:tab w:val="left" w:pos="372"/>
              </w:tabs>
              <w:spacing w:before="166" w:after="0" w:line="422" w:lineRule="auto"/>
              <w:ind w:left="100" w:right="1525" w:firstLine="0"/>
              <w:jc w:val="left"/>
              <w:rPr>
                <w:rFonts w:hint="eastAsia" w:ascii="宋体" w:hAnsi="宋体" w:eastAsia="宋体" w:cs="宋体"/>
                <w:sz w:val="17"/>
              </w:rPr>
            </w:pPr>
            <w:r>
              <w:rPr>
                <w:rFonts w:hint="eastAsia" w:ascii="宋体" w:hAnsi="宋体" w:eastAsia="宋体" w:cs="宋体"/>
                <w:w w:val="95"/>
                <w:sz w:val="17"/>
              </w:rPr>
              <w:t>可一键自动遮蔽场地内所有干扰噪点（即具备自动噪点遮蔽功能），</w:t>
            </w:r>
            <w:r>
              <w:rPr>
                <w:rFonts w:hint="eastAsia" w:ascii="宋体" w:hAnsi="宋体" w:eastAsia="宋体" w:cs="宋体"/>
                <w:spacing w:val="-2"/>
                <w:w w:val="95"/>
                <w:sz w:val="17"/>
              </w:rPr>
              <w:t xml:space="preserve">同时也支持手动遮蔽操作； </w:t>
            </w:r>
            <w:r>
              <w:rPr>
                <w:rFonts w:hint="eastAsia" w:ascii="宋体" w:hAnsi="宋体" w:eastAsia="宋体" w:cs="宋体"/>
                <w:w w:val="115"/>
                <w:sz w:val="17"/>
              </w:rPr>
              <w:t>16.捕捉的数据在Motion</w:t>
            </w:r>
            <w:r>
              <w:rPr>
                <w:rFonts w:hint="eastAsia" w:ascii="宋体" w:hAnsi="宋体" w:eastAsia="宋体" w:cs="宋体"/>
                <w:spacing w:val="-20"/>
                <w:w w:val="115"/>
                <w:sz w:val="17"/>
              </w:rPr>
              <w:t xml:space="preserve"> </w:t>
            </w:r>
            <w:r>
              <w:rPr>
                <w:rFonts w:hint="eastAsia" w:ascii="宋体" w:hAnsi="宋体" w:eastAsia="宋体" w:cs="宋体"/>
                <w:spacing w:val="-4"/>
                <w:w w:val="115"/>
                <w:sz w:val="17"/>
              </w:rPr>
              <w:t>Builder</w:t>
            </w:r>
            <w:r>
              <w:rPr>
                <w:rFonts w:hint="eastAsia" w:ascii="宋体" w:hAnsi="宋体" w:eastAsia="宋体" w:cs="宋体"/>
                <w:w w:val="115"/>
                <w:sz w:val="17"/>
              </w:rPr>
              <w:t>、UE4、</w:t>
            </w:r>
            <w:r>
              <w:rPr>
                <w:rFonts w:hint="eastAsia" w:ascii="宋体" w:hAnsi="宋体" w:eastAsia="宋体" w:cs="宋体"/>
                <w:spacing w:val="-5"/>
                <w:w w:val="115"/>
                <w:sz w:val="17"/>
              </w:rPr>
              <w:t>Unity3d</w:t>
            </w:r>
            <w:r>
              <w:rPr>
                <w:rFonts w:hint="eastAsia" w:ascii="宋体" w:hAnsi="宋体" w:eastAsia="宋体" w:cs="宋体"/>
                <w:w w:val="115"/>
                <w:sz w:val="17"/>
              </w:rPr>
              <w:t>软件中可实时显示；</w:t>
            </w:r>
          </w:p>
          <w:p>
            <w:pPr>
              <w:pStyle w:val="19"/>
              <w:numPr>
                <w:ilvl w:val="0"/>
                <w:numId w:val="65"/>
              </w:numPr>
              <w:tabs>
                <w:tab w:val="left" w:pos="372"/>
              </w:tabs>
              <w:spacing w:before="2"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支持相机帧速率、曝光、阈值、照明、增益等参数设置；</w:t>
            </w:r>
          </w:p>
          <w:p>
            <w:pPr>
              <w:pStyle w:val="19"/>
              <w:numPr>
                <w:ilvl w:val="0"/>
                <w:numId w:val="65"/>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捕捉的数据可导出为C3D、CSV、FBX、</w:t>
            </w:r>
            <w:r>
              <w:rPr>
                <w:rFonts w:hint="eastAsia" w:ascii="宋体" w:hAnsi="宋体" w:eastAsia="宋体" w:cs="宋体"/>
                <w:spacing w:val="-4"/>
                <w:sz w:val="17"/>
              </w:rPr>
              <w:t>BVH</w:t>
            </w:r>
            <w:r>
              <w:rPr>
                <w:rFonts w:hint="eastAsia" w:ascii="宋体" w:hAnsi="宋体" w:eastAsia="宋体" w:cs="宋体"/>
                <w:sz w:val="17"/>
              </w:rPr>
              <w:t>等格式；</w:t>
            </w:r>
          </w:p>
          <w:p>
            <w:pPr>
              <w:pStyle w:val="19"/>
              <w:numPr>
                <w:ilvl w:val="0"/>
                <w:numId w:val="65"/>
              </w:numPr>
              <w:tabs>
                <w:tab w:val="left" w:pos="372"/>
              </w:tabs>
              <w:spacing w:before="166" w:after="0" w:line="422" w:lineRule="auto"/>
              <w:ind w:left="100" w:right="205" w:firstLine="0"/>
              <w:jc w:val="left"/>
              <w:rPr>
                <w:rFonts w:hint="eastAsia" w:ascii="宋体" w:hAnsi="宋体" w:eastAsia="宋体" w:cs="宋体"/>
                <w:sz w:val="17"/>
              </w:rPr>
            </w:pPr>
            <w:r>
              <w:rPr>
                <w:rFonts w:hint="eastAsia" w:ascii="宋体" w:hAnsi="宋体" w:eastAsia="宋体" w:cs="宋体"/>
                <w:sz w:val="17"/>
              </w:rPr>
              <w:t>可选择视图显示个数和方式（单个视图或是多个视图），可选择和切换视图类型应包括参考视频、2D视图、3D</w:t>
            </w:r>
            <w:r>
              <w:rPr>
                <w:rFonts w:hint="eastAsia" w:ascii="宋体" w:hAnsi="宋体" w:eastAsia="宋体" w:cs="宋体"/>
                <w:spacing w:val="-15"/>
                <w:sz w:val="17"/>
              </w:rPr>
              <w:t>视</w:t>
            </w:r>
            <w:r>
              <w:rPr>
                <w:rFonts w:hint="eastAsia" w:ascii="宋体" w:hAnsi="宋体" w:eastAsia="宋体" w:cs="宋体"/>
                <w:sz w:val="17"/>
              </w:rPr>
              <w:t>图、</w:t>
            </w:r>
            <w:r>
              <w:rPr>
                <w:rFonts w:hint="eastAsia" w:ascii="宋体" w:hAnsi="宋体" w:eastAsia="宋体" w:cs="宋体"/>
                <w:spacing w:val="-3"/>
                <w:sz w:val="17"/>
              </w:rPr>
              <w:t>Marker</w:t>
            </w:r>
            <w:r>
              <w:rPr>
                <w:rFonts w:hint="eastAsia" w:ascii="宋体" w:hAnsi="宋体" w:eastAsia="宋体" w:cs="宋体"/>
                <w:spacing w:val="-13"/>
                <w:sz w:val="17"/>
              </w:rPr>
              <w:t xml:space="preserve"> </w:t>
            </w:r>
            <w:r>
              <w:rPr>
                <w:rFonts w:hint="eastAsia" w:ascii="宋体" w:hAnsi="宋体" w:eastAsia="宋体" w:cs="宋体"/>
                <w:sz w:val="17"/>
              </w:rPr>
              <w:t>XYZ图表、模拟图表、骨骼图表、分析图表、空白视图；</w:t>
            </w:r>
          </w:p>
          <w:p>
            <w:pPr>
              <w:pStyle w:val="19"/>
              <w:numPr>
                <w:ilvl w:val="0"/>
                <w:numId w:val="65"/>
              </w:numPr>
              <w:tabs>
                <w:tab w:val="left" w:pos="372"/>
              </w:tabs>
              <w:spacing w:before="2" w:after="0" w:line="240" w:lineRule="auto"/>
              <w:ind w:left="371" w:right="0" w:hanging="272"/>
              <w:jc w:val="left"/>
              <w:rPr>
                <w:rFonts w:hint="eastAsia" w:ascii="宋体" w:hAnsi="宋体" w:eastAsia="宋体" w:cs="宋体"/>
                <w:sz w:val="17"/>
              </w:rPr>
            </w:pPr>
            <w:r>
              <w:rPr>
                <w:rFonts w:hint="eastAsia" w:ascii="宋体" w:hAnsi="宋体" w:eastAsia="宋体" w:cs="宋体"/>
                <w:sz w:val="17"/>
              </w:rPr>
              <w:t>通过该SDK实时获取到的数据应包括：</w:t>
            </w:r>
          </w:p>
          <w:p>
            <w:pPr>
              <w:pStyle w:val="19"/>
              <w:spacing w:before="166"/>
              <w:ind w:left="100"/>
              <w:rPr>
                <w:rFonts w:hint="eastAsia" w:ascii="宋体" w:hAnsi="宋体" w:eastAsia="宋体" w:cs="宋体"/>
                <w:sz w:val="17"/>
              </w:rPr>
            </w:pPr>
            <w:r>
              <w:rPr>
                <w:rFonts w:hint="eastAsia" w:ascii="宋体" w:hAnsi="宋体" w:eastAsia="宋体" w:cs="宋体"/>
                <w:sz w:val="17"/>
              </w:rPr>
              <w:t>①标志点（Marker）坐标；</w:t>
            </w:r>
          </w:p>
          <w:p>
            <w:pPr>
              <w:pStyle w:val="19"/>
              <w:spacing w:before="166"/>
              <w:ind w:left="100"/>
              <w:rPr>
                <w:rFonts w:hint="eastAsia" w:ascii="宋体" w:hAnsi="宋体" w:eastAsia="宋体" w:cs="宋体"/>
                <w:sz w:val="17"/>
              </w:rPr>
            </w:pPr>
            <w:r>
              <w:rPr>
                <w:rFonts w:hint="eastAsia" w:ascii="宋体" w:hAnsi="宋体" w:eastAsia="宋体" w:cs="宋体"/>
                <w:sz w:val="17"/>
              </w:rPr>
              <w:t>②刚体的名称、坐标、四元数、包含的Marker的数量和Marker坐标；</w:t>
            </w:r>
          </w:p>
          <w:p>
            <w:pPr>
              <w:pStyle w:val="19"/>
              <w:spacing w:before="167"/>
              <w:ind w:left="100"/>
              <w:rPr>
                <w:rFonts w:hint="eastAsia" w:ascii="宋体" w:hAnsi="宋体" w:eastAsia="宋体" w:cs="宋体"/>
                <w:sz w:val="17"/>
              </w:rPr>
            </w:pPr>
            <w:r>
              <w:rPr>
                <w:rFonts w:hint="eastAsia" w:ascii="宋体" w:hAnsi="宋体" w:eastAsia="宋体" w:cs="宋体"/>
                <w:sz w:val="17"/>
              </w:rPr>
              <w:t>③支持模拟通道数据传输；</w:t>
            </w:r>
          </w:p>
          <w:p>
            <w:pPr>
              <w:pStyle w:val="19"/>
              <w:spacing w:before="166"/>
              <w:ind w:left="100"/>
              <w:rPr>
                <w:rFonts w:hint="eastAsia" w:ascii="宋体" w:hAnsi="宋体" w:eastAsia="宋体" w:cs="宋体"/>
                <w:sz w:val="17"/>
              </w:rPr>
            </w:pPr>
            <w:r>
              <w:rPr>
                <w:rFonts w:hint="eastAsia" w:ascii="宋体" w:hAnsi="宋体" w:eastAsia="宋体" w:cs="宋体"/>
                <w:sz w:val="17"/>
              </w:rPr>
              <w:t>④帧数据中包含绝对时间戳。</w:t>
            </w:r>
          </w:p>
          <w:p>
            <w:pPr>
              <w:pStyle w:val="19"/>
              <w:numPr>
                <w:ilvl w:val="0"/>
                <w:numId w:val="65"/>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w w:val="95"/>
                <w:sz w:val="17"/>
              </w:rPr>
              <w:t>支持主动和被动标记点的同时光学捕捉；</w:t>
            </w:r>
          </w:p>
          <w:p>
            <w:pPr>
              <w:pStyle w:val="19"/>
              <w:spacing w:before="166"/>
              <w:ind w:left="100"/>
              <w:rPr>
                <w:rFonts w:hint="eastAsia" w:ascii="宋体" w:hAnsi="宋体" w:eastAsia="宋体" w:cs="宋体"/>
                <w:sz w:val="17"/>
              </w:rPr>
            </w:pPr>
            <w:r>
              <w:rPr>
                <w:rFonts w:hint="eastAsia" w:ascii="宋体" w:hAnsi="宋体" w:eastAsia="宋体" w:cs="宋体"/>
                <w:spacing w:val="-1"/>
                <w:w w:val="115"/>
                <w:sz w:val="17"/>
              </w:rPr>
              <w:t>22.64</w:t>
            </w:r>
            <w:r>
              <w:rPr>
                <w:rFonts w:hint="eastAsia" w:ascii="宋体" w:hAnsi="宋体" w:eastAsia="宋体" w:cs="宋体"/>
                <w:spacing w:val="-1"/>
                <w:sz w:val="17"/>
              </w:rPr>
              <w:t>位多线程架构，最多支持数百个捕捉相机；</w:t>
            </w:r>
          </w:p>
          <w:p>
            <w:pPr>
              <w:pStyle w:val="19"/>
              <w:numPr>
                <w:ilvl w:val="0"/>
                <w:numId w:val="66"/>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可实时显示相机捕捉的区域，便于校准相机；</w:t>
            </w:r>
          </w:p>
          <w:p>
            <w:pPr>
              <w:pStyle w:val="19"/>
              <w:numPr>
                <w:ilvl w:val="0"/>
                <w:numId w:val="6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实时获取动捕软件捕获的数据，并以任意形式存储；</w:t>
            </w:r>
          </w:p>
          <w:p>
            <w:pPr>
              <w:pStyle w:val="19"/>
              <w:numPr>
                <w:ilvl w:val="0"/>
                <w:numId w:val="6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支持系统内完成捕捉数据的实时展示和数据格式的存储；</w:t>
            </w:r>
          </w:p>
          <w:p>
            <w:pPr>
              <w:pStyle w:val="19"/>
              <w:numPr>
                <w:ilvl w:val="0"/>
                <w:numId w:val="66"/>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支持主流的国外虚拟现实软件或游戏引擎软件</w:t>
            </w:r>
            <w:r>
              <w:rPr>
                <w:rFonts w:hint="eastAsia" w:ascii="宋体" w:hAnsi="宋体" w:eastAsia="宋体" w:cs="宋体"/>
                <w:spacing w:val="-4"/>
                <w:sz w:val="17"/>
              </w:rPr>
              <w:t>（Unity</w:t>
            </w:r>
            <w:r>
              <w:rPr>
                <w:rFonts w:hint="eastAsia" w:ascii="宋体" w:hAnsi="宋体" w:eastAsia="宋体" w:cs="宋体"/>
                <w:spacing w:val="39"/>
                <w:sz w:val="17"/>
              </w:rPr>
              <w:t xml:space="preserve"> </w:t>
            </w:r>
            <w:r>
              <w:rPr>
                <w:rFonts w:hint="eastAsia" w:ascii="宋体" w:hAnsi="宋体" w:eastAsia="宋体" w:cs="宋体"/>
                <w:sz w:val="17"/>
              </w:rPr>
              <w:t>3D</w:t>
            </w:r>
            <w:r>
              <w:rPr>
                <w:rFonts w:hint="eastAsia" w:ascii="宋体" w:hAnsi="宋体" w:eastAsia="宋体" w:cs="宋体"/>
                <w:spacing w:val="24"/>
                <w:sz w:val="17"/>
              </w:rPr>
              <w:t xml:space="preserve">, </w:t>
            </w:r>
            <w:r>
              <w:rPr>
                <w:rFonts w:hint="eastAsia" w:ascii="宋体" w:hAnsi="宋体" w:eastAsia="宋体" w:cs="宋体"/>
                <w:sz w:val="17"/>
              </w:rPr>
              <w:t>UE4）可直接显示或控制本动作捕捉系统中角色的运动</w:t>
            </w:r>
          </w:p>
          <w:p>
            <w:pPr>
              <w:pStyle w:val="19"/>
              <w:spacing w:before="166"/>
              <w:ind w:left="100"/>
              <w:rPr>
                <w:rFonts w:hint="eastAsia" w:ascii="宋体" w:hAnsi="宋体" w:eastAsia="宋体" w:cs="宋体"/>
                <w:sz w:val="17"/>
              </w:rPr>
            </w:pPr>
            <w:r>
              <w:rPr>
                <w:rFonts w:hint="eastAsia" w:ascii="宋体" w:hAnsi="宋体" w:eastAsia="宋体" w:cs="宋体"/>
                <w:w w:val="98"/>
                <w:sz w:val="17"/>
              </w:rPr>
              <w:t>；</w:t>
            </w:r>
          </w:p>
          <w:p>
            <w:pPr>
              <w:pStyle w:val="19"/>
              <w:spacing w:before="12"/>
              <w:rPr>
                <w:rFonts w:hint="eastAsia" w:ascii="宋体" w:hAnsi="宋体" w:eastAsia="宋体" w:cs="宋体"/>
                <w:b/>
                <w:sz w:val="12"/>
              </w:rPr>
            </w:pPr>
          </w:p>
          <w:p>
            <w:pPr>
              <w:pStyle w:val="19"/>
              <w:numPr>
                <w:ilvl w:val="0"/>
                <w:numId w:val="66"/>
              </w:numPr>
              <w:tabs>
                <w:tab w:val="left" w:pos="372"/>
              </w:tabs>
              <w:spacing w:before="0"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可以捕捉任何类型的骨骼在两足和四足动物；</w:t>
            </w:r>
          </w:p>
          <w:p>
            <w:pPr>
              <w:pStyle w:val="19"/>
              <w:numPr>
                <w:ilvl w:val="0"/>
                <w:numId w:val="66"/>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当骨骼点的连接丢失后，通过全选丢失的部分进行一键修理，完成修复连接；</w:t>
            </w:r>
          </w:p>
          <w:p>
            <w:pPr>
              <w:pStyle w:val="19"/>
              <w:numPr>
                <w:ilvl w:val="0"/>
                <w:numId w:val="6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状态显示：软件自带的状态面板可实时查看的六自由度数据与精度、延迟、数据量等；</w:t>
            </w:r>
          </w:p>
          <w:p>
            <w:pPr>
              <w:pStyle w:val="19"/>
              <w:numPr>
                <w:ilvl w:val="0"/>
                <w:numId w:val="66"/>
              </w:numPr>
              <w:tabs>
                <w:tab w:val="left" w:pos="372"/>
              </w:tabs>
              <w:spacing w:before="166" w:after="0" w:line="240" w:lineRule="auto"/>
              <w:ind w:left="371" w:right="0" w:hanging="272"/>
              <w:jc w:val="left"/>
              <w:rPr>
                <w:rFonts w:hint="eastAsia" w:ascii="宋体" w:hAnsi="宋体" w:eastAsia="宋体" w:cs="宋体"/>
                <w:sz w:val="17"/>
              </w:rPr>
            </w:pPr>
            <w:r>
              <w:rPr>
                <w:rFonts w:hint="eastAsia" w:ascii="宋体" w:hAnsi="宋体" w:eastAsia="宋体" w:cs="宋体"/>
                <w:sz w:val="17"/>
              </w:rPr>
              <w:t>具备独特的刚体变形测量功能，可实现一定形变的刚体实时定位跟踪；</w:t>
            </w:r>
          </w:p>
          <w:p>
            <w:pPr>
              <w:pStyle w:val="19"/>
              <w:numPr>
                <w:ilvl w:val="0"/>
                <w:numId w:val="66"/>
              </w:numPr>
              <w:tabs>
                <w:tab w:val="left" w:pos="372"/>
              </w:tabs>
              <w:spacing w:before="167" w:after="0" w:line="240" w:lineRule="auto"/>
              <w:ind w:left="371" w:right="0" w:hanging="272"/>
              <w:jc w:val="left"/>
              <w:rPr>
                <w:rFonts w:hint="eastAsia" w:ascii="宋体" w:hAnsi="宋体" w:eastAsia="宋体" w:cs="宋体"/>
                <w:sz w:val="17"/>
              </w:rPr>
            </w:pPr>
            <w:r>
              <w:rPr>
                <w:rFonts w:hint="eastAsia" w:ascii="宋体" w:hAnsi="宋体" w:eastAsia="宋体" w:cs="宋体"/>
                <w:sz w:val="17"/>
              </w:rPr>
              <w:t>支持VRPN、ZMQ、</w:t>
            </w:r>
            <w:r>
              <w:rPr>
                <w:rFonts w:hint="eastAsia" w:ascii="宋体" w:hAnsi="宋体" w:eastAsia="宋体" w:cs="宋体"/>
                <w:spacing w:val="4"/>
                <w:sz w:val="17"/>
              </w:rPr>
              <w:t>TCP</w:t>
            </w:r>
            <w:r>
              <w:rPr>
                <w:rFonts w:hint="eastAsia" w:ascii="宋体" w:hAnsi="宋体" w:eastAsia="宋体" w:cs="宋体"/>
                <w:sz w:val="17"/>
              </w:rPr>
              <w:t>、UDP协议完成实时数据流传输；</w:t>
            </w:r>
          </w:p>
          <w:p>
            <w:pPr>
              <w:pStyle w:val="19"/>
              <w:numPr>
                <w:ilvl w:val="0"/>
                <w:numId w:val="66"/>
              </w:numPr>
              <w:tabs>
                <w:tab w:val="left" w:pos="372"/>
              </w:tabs>
              <w:spacing w:before="166" w:after="0" w:line="184" w:lineRule="exact"/>
              <w:ind w:left="371" w:right="0" w:hanging="272"/>
              <w:jc w:val="left"/>
              <w:rPr>
                <w:rFonts w:hint="eastAsia" w:ascii="宋体" w:hAnsi="宋体" w:eastAsia="宋体" w:cs="宋体"/>
                <w:sz w:val="17"/>
              </w:rPr>
            </w:pPr>
            <w:r>
              <w:rPr>
                <w:rFonts w:hint="eastAsia" w:ascii="宋体" w:hAnsi="宋体" w:eastAsia="宋体" w:cs="宋体"/>
                <w:sz w:val="17"/>
              </w:rPr>
              <w:t>支持LuMOSDK开发自定义数据接口；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4"/>
        <w:ind w:left="120" w:right="0" w:firstLine="0"/>
        <w:jc w:val="left"/>
        <w:rPr>
          <w:rFonts w:hint="eastAsia" w:ascii="宋体" w:hAnsi="宋体" w:eastAsia="宋体" w:cs="宋体"/>
          <w:b/>
          <w:sz w:val="19"/>
        </w:rPr>
      </w:pPr>
      <w:r>
        <w:rPr>
          <w:rFonts w:hint="eastAsia" w:ascii="宋体" w:hAnsi="宋体" w:eastAsia="宋体" w:cs="宋体"/>
          <w:b/>
          <w:sz w:val="19"/>
        </w:rPr>
        <w:t>附表二十：教学工作站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pgSz w:w="11900" w:h="16840"/>
          <w:pgMar w:top="560" w:right="560" w:bottom="280" w:left="540" w:header="0" w:footer="9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90"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7"/>
              <w:rPr>
                <w:rFonts w:hint="eastAsia" w:ascii="宋体" w:hAnsi="宋体" w:eastAsia="宋体" w:cs="宋体"/>
                <w:b/>
                <w:sz w:val="30"/>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67"/>
              </w:numPr>
              <w:tabs>
                <w:tab w:val="left" w:pos="264"/>
              </w:tabs>
              <w:spacing w:before="80" w:after="0" w:line="422" w:lineRule="auto"/>
              <w:ind w:left="100" w:right="90" w:firstLine="0"/>
              <w:jc w:val="left"/>
              <w:rPr>
                <w:rFonts w:hint="eastAsia" w:ascii="宋体" w:hAnsi="宋体" w:eastAsia="宋体" w:cs="宋体"/>
                <w:sz w:val="17"/>
              </w:rPr>
            </w:pPr>
            <w:r>
              <w:rPr>
                <w:rFonts w:hint="eastAsia" w:ascii="宋体" w:hAnsi="宋体" w:eastAsia="宋体" w:cs="宋体"/>
                <w:sz w:val="17"/>
              </w:rPr>
              <w:t>虚拟现实专业应用型台式机，流畅播放3D场景及3D程序，专门针对虚拟现实高强度三维应用所优化，在64位</w:t>
            </w:r>
            <w:r>
              <w:rPr>
                <w:rFonts w:hint="eastAsia" w:ascii="宋体" w:hAnsi="宋体" w:eastAsia="宋体" w:cs="宋体"/>
                <w:spacing w:val="-7"/>
                <w:sz w:val="17"/>
              </w:rPr>
              <w:t xml:space="preserve">Windo </w:t>
            </w:r>
            <w:r>
              <w:rPr>
                <w:rFonts w:hint="eastAsia" w:ascii="宋体" w:hAnsi="宋体" w:eastAsia="宋体" w:cs="宋体"/>
                <w:w w:val="110"/>
                <w:sz w:val="17"/>
              </w:rPr>
              <w:t>ws平台上实现高性能专业图形运算；</w:t>
            </w:r>
          </w:p>
          <w:p>
            <w:pPr>
              <w:pStyle w:val="19"/>
              <w:numPr>
                <w:ilvl w:val="0"/>
                <w:numId w:val="67"/>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支持500万面超大规模虚拟现实场景实时漫游，帧率不低于30FPS，支持16倍抗锯齿，32倍各项异性过滤；</w:t>
            </w:r>
          </w:p>
          <w:p>
            <w:pPr>
              <w:pStyle w:val="19"/>
              <w:numPr>
                <w:ilvl w:val="0"/>
                <w:numId w:val="67"/>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预装</w:t>
            </w:r>
            <w:r>
              <w:rPr>
                <w:rFonts w:hint="eastAsia" w:ascii="宋体" w:hAnsi="宋体" w:eastAsia="宋体" w:cs="宋体"/>
                <w:spacing w:val="-3"/>
                <w:w w:val="105"/>
                <w:sz w:val="17"/>
              </w:rPr>
              <w:t>Windows</w:t>
            </w:r>
            <w:r>
              <w:rPr>
                <w:rFonts w:hint="eastAsia" w:ascii="宋体" w:hAnsi="宋体" w:eastAsia="宋体" w:cs="宋体"/>
                <w:spacing w:val="-4"/>
                <w:w w:val="105"/>
                <w:sz w:val="17"/>
              </w:rPr>
              <w:t xml:space="preserve"> </w:t>
            </w:r>
            <w:r>
              <w:rPr>
                <w:rFonts w:hint="eastAsia" w:ascii="宋体" w:hAnsi="宋体" w:eastAsia="宋体" w:cs="宋体"/>
                <w:w w:val="105"/>
                <w:sz w:val="17"/>
              </w:rPr>
              <w:t>10</w:t>
            </w:r>
            <w:r>
              <w:rPr>
                <w:rFonts w:hint="eastAsia" w:ascii="宋体" w:hAnsi="宋体" w:eastAsia="宋体" w:cs="宋体"/>
                <w:spacing w:val="-10"/>
                <w:w w:val="105"/>
                <w:sz w:val="17"/>
              </w:rPr>
              <w:t xml:space="preserve"> </w:t>
            </w:r>
            <w:r>
              <w:rPr>
                <w:rFonts w:hint="eastAsia" w:ascii="宋体" w:hAnsi="宋体" w:eastAsia="宋体" w:cs="宋体"/>
                <w:w w:val="105"/>
                <w:sz w:val="17"/>
              </w:rPr>
              <w:t>64位专业中文版操作系统，免费提供虚拟仿真实验教学软件安装调试服务；</w:t>
            </w:r>
          </w:p>
          <w:p>
            <w:pPr>
              <w:pStyle w:val="19"/>
              <w:numPr>
                <w:ilvl w:val="0"/>
                <w:numId w:val="67"/>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整机一年质量保证，三年上门维修服务；</w:t>
            </w:r>
          </w:p>
          <w:p>
            <w:pPr>
              <w:pStyle w:val="19"/>
              <w:numPr>
                <w:ilvl w:val="0"/>
                <w:numId w:val="67"/>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搭载最新一代英特尔酷睿</w:t>
            </w:r>
            <w:r>
              <w:rPr>
                <w:rFonts w:hint="eastAsia" w:ascii="宋体" w:hAnsi="宋体" w:eastAsia="宋体" w:cs="宋体"/>
                <w:spacing w:val="-7"/>
                <w:w w:val="105"/>
                <w:sz w:val="17"/>
              </w:rPr>
              <w:t>I7</w:t>
            </w:r>
            <w:r>
              <w:rPr>
                <w:rFonts w:hint="eastAsia" w:ascii="宋体" w:hAnsi="宋体" w:eastAsia="宋体" w:cs="宋体"/>
                <w:w w:val="105"/>
                <w:sz w:val="17"/>
              </w:rPr>
              <w:t>处理器，性能不低于8核心20线程；</w:t>
            </w:r>
          </w:p>
          <w:p>
            <w:pPr>
              <w:pStyle w:val="19"/>
              <w:numPr>
                <w:ilvl w:val="0"/>
                <w:numId w:val="67"/>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支持64GB内存，助力各项操作流畅进行，本机配置32GB；</w:t>
            </w:r>
          </w:p>
          <w:p>
            <w:pPr>
              <w:pStyle w:val="19"/>
              <w:numPr>
                <w:ilvl w:val="0"/>
                <w:numId w:val="67"/>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采用</w:t>
            </w:r>
            <w:r>
              <w:rPr>
                <w:rFonts w:hint="eastAsia" w:ascii="宋体" w:hAnsi="宋体" w:eastAsia="宋体" w:cs="宋体"/>
                <w:spacing w:val="-8"/>
                <w:sz w:val="17"/>
              </w:rPr>
              <w:t>NVIDIA</w:t>
            </w:r>
            <w:r>
              <w:rPr>
                <w:rFonts w:hint="eastAsia" w:ascii="宋体" w:hAnsi="宋体" w:eastAsia="宋体" w:cs="宋体"/>
                <w:sz w:val="17"/>
              </w:rPr>
              <w:t>系列高配置图形处理显卡，显存不低于8GB，具备高分辨率及图像处理能力；</w:t>
            </w:r>
          </w:p>
          <w:p>
            <w:pPr>
              <w:pStyle w:val="19"/>
              <w:numPr>
                <w:ilvl w:val="0"/>
                <w:numId w:val="67"/>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系统运行硬盘采用512GB固态硬盘，搭配</w:t>
            </w:r>
            <w:r>
              <w:rPr>
                <w:rFonts w:hint="eastAsia" w:ascii="宋体" w:hAnsi="宋体" w:eastAsia="宋体" w:cs="宋体"/>
                <w:spacing w:val="3"/>
                <w:sz w:val="17"/>
              </w:rPr>
              <w:t>2TB</w:t>
            </w:r>
            <w:r>
              <w:rPr>
                <w:rFonts w:hint="eastAsia" w:ascii="宋体" w:hAnsi="宋体" w:eastAsia="宋体" w:cs="宋体"/>
                <w:sz w:val="17"/>
              </w:rPr>
              <w:t>独立存储空间；</w:t>
            </w:r>
          </w:p>
          <w:p>
            <w:pPr>
              <w:pStyle w:val="19"/>
              <w:numPr>
                <w:ilvl w:val="0"/>
                <w:numId w:val="67"/>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专业绘图专用显示器，高清宽屏图像显示，超窄边设计；</w:t>
            </w:r>
          </w:p>
          <w:p>
            <w:pPr>
              <w:pStyle w:val="19"/>
              <w:numPr>
                <w:ilvl w:val="0"/>
                <w:numId w:val="67"/>
              </w:numPr>
              <w:tabs>
                <w:tab w:val="left" w:pos="372"/>
              </w:tabs>
              <w:spacing w:before="4" w:after="0" w:line="380" w:lineRule="atLeast"/>
              <w:ind w:left="100" w:right="109" w:firstLine="0"/>
              <w:jc w:val="left"/>
              <w:rPr>
                <w:rFonts w:hint="eastAsia" w:ascii="宋体" w:hAnsi="宋体" w:eastAsia="宋体" w:cs="宋体"/>
                <w:sz w:val="17"/>
              </w:rPr>
            </w:pPr>
            <w:r>
              <w:rPr>
                <w:rFonts w:hint="eastAsia" w:ascii="宋体" w:hAnsi="宋体" w:eastAsia="宋体" w:cs="宋体"/>
                <w:w w:val="95"/>
                <w:sz w:val="17"/>
              </w:rPr>
              <w:t xml:space="preserve">预装软件：编辑器操作面板主要对模型进行编辑，支持外部模型导入，在线模型库编辑，通过可视化图表界面，简   </w:t>
            </w:r>
            <w:r>
              <w:rPr>
                <w:rFonts w:hint="eastAsia" w:ascii="宋体" w:hAnsi="宋体" w:eastAsia="宋体" w:cs="宋体"/>
                <w:spacing w:val="-1"/>
                <w:w w:val="95"/>
                <w:sz w:val="17"/>
              </w:rPr>
              <w:t xml:space="preserve">单的拖拽功能，为模型添加知识点功能，模型制作完成后会形成微课发布到平台首页，同时平台需要包含模型内容总数    </w:t>
            </w:r>
            <w:r>
              <w:rPr>
                <w:rFonts w:hint="eastAsia" w:ascii="宋体" w:hAnsi="宋体" w:eastAsia="宋体" w:cs="宋体"/>
                <w:w w:val="105"/>
                <w:sz w:val="17"/>
              </w:rPr>
              <w:t>不低于3200个，涵盖军工、交通、工业、人物、植物、家具、建筑、文旅、动物等不少于11类模型资源；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60"/>
        <w:ind w:left="120" w:right="0" w:firstLine="0"/>
        <w:jc w:val="left"/>
        <w:rPr>
          <w:rFonts w:hint="eastAsia" w:ascii="宋体" w:hAnsi="宋体" w:eastAsia="宋体" w:cs="宋体"/>
          <w:b/>
          <w:sz w:val="19"/>
        </w:rPr>
      </w:pPr>
      <w:r>
        <w:rPr>
          <w:rFonts w:hint="eastAsia" w:ascii="宋体" w:hAnsi="宋体" w:eastAsia="宋体" w:cs="宋体"/>
          <w:b/>
          <w:spacing w:val="9"/>
          <w:sz w:val="19"/>
        </w:rPr>
        <w:t>附表二十一：实训工作站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74"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7"/>
              <w:rPr>
                <w:rFonts w:hint="eastAsia" w:ascii="宋体" w:hAnsi="宋体" w:eastAsia="宋体" w:cs="宋体"/>
                <w:b/>
                <w:sz w:val="23"/>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68"/>
              </w:numPr>
              <w:tabs>
                <w:tab w:val="left" w:pos="264"/>
              </w:tabs>
              <w:spacing w:before="80" w:after="0" w:line="422" w:lineRule="auto"/>
              <w:ind w:left="100" w:right="158" w:firstLine="0"/>
              <w:jc w:val="left"/>
              <w:rPr>
                <w:rFonts w:hint="eastAsia" w:ascii="宋体" w:hAnsi="宋体" w:eastAsia="宋体" w:cs="宋体"/>
                <w:sz w:val="17"/>
              </w:rPr>
            </w:pPr>
            <w:r>
              <w:rPr>
                <w:rFonts w:hint="eastAsia" w:ascii="宋体" w:hAnsi="宋体" w:eastAsia="宋体" w:cs="宋体"/>
                <w:sz w:val="17"/>
              </w:rPr>
              <w:t>专业绘图设计3D渲染型台式机，流畅播放3D场景及3D程序，专门针对虚拟现实高强度三维应用所优化，在64位</w:t>
            </w:r>
            <w:r>
              <w:rPr>
                <w:rFonts w:hint="eastAsia" w:ascii="宋体" w:hAnsi="宋体" w:eastAsia="宋体" w:cs="宋体"/>
                <w:spacing w:val="-12"/>
                <w:sz w:val="17"/>
              </w:rPr>
              <w:t xml:space="preserve">Wi </w:t>
            </w:r>
            <w:r>
              <w:rPr>
                <w:rFonts w:hint="eastAsia" w:ascii="宋体" w:hAnsi="宋体" w:eastAsia="宋体" w:cs="宋体"/>
                <w:w w:val="115"/>
                <w:sz w:val="17"/>
              </w:rPr>
              <w:t>ndows平台上实现高性能专业图形运算；</w:t>
            </w:r>
          </w:p>
          <w:p>
            <w:pPr>
              <w:pStyle w:val="19"/>
              <w:numPr>
                <w:ilvl w:val="0"/>
                <w:numId w:val="68"/>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支持500万面超大规模虚拟现实场景实时漫游，帧率不低于30FPS，支持16倍抗锯齿，32倍各项异性过滤；</w:t>
            </w:r>
          </w:p>
          <w:p>
            <w:pPr>
              <w:pStyle w:val="19"/>
              <w:numPr>
                <w:ilvl w:val="0"/>
                <w:numId w:val="68"/>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预装</w:t>
            </w:r>
            <w:r>
              <w:rPr>
                <w:rFonts w:hint="eastAsia" w:ascii="宋体" w:hAnsi="宋体" w:eastAsia="宋体" w:cs="宋体"/>
                <w:spacing w:val="-3"/>
                <w:w w:val="105"/>
                <w:sz w:val="17"/>
              </w:rPr>
              <w:t>Windows</w:t>
            </w:r>
            <w:r>
              <w:rPr>
                <w:rFonts w:hint="eastAsia" w:ascii="宋体" w:hAnsi="宋体" w:eastAsia="宋体" w:cs="宋体"/>
                <w:spacing w:val="-4"/>
                <w:w w:val="105"/>
                <w:sz w:val="17"/>
              </w:rPr>
              <w:t xml:space="preserve"> </w:t>
            </w:r>
            <w:r>
              <w:rPr>
                <w:rFonts w:hint="eastAsia" w:ascii="宋体" w:hAnsi="宋体" w:eastAsia="宋体" w:cs="宋体"/>
                <w:w w:val="105"/>
                <w:sz w:val="17"/>
              </w:rPr>
              <w:t>10</w:t>
            </w:r>
            <w:r>
              <w:rPr>
                <w:rFonts w:hint="eastAsia" w:ascii="宋体" w:hAnsi="宋体" w:eastAsia="宋体" w:cs="宋体"/>
                <w:spacing w:val="-10"/>
                <w:w w:val="105"/>
                <w:sz w:val="17"/>
              </w:rPr>
              <w:t xml:space="preserve"> </w:t>
            </w:r>
            <w:r>
              <w:rPr>
                <w:rFonts w:hint="eastAsia" w:ascii="宋体" w:hAnsi="宋体" w:eastAsia="宋体" w:cs="宋体"/>
                <w:w w:val="105"/>
                <w:sz w:val="17"/>
              </w:rPr>
              <w:t>64位专业中文版操作系统，免费提供虚拟仿真实验教学软件安装调试服务；</w:t>
            </w:r>
          </w:p>
          <w:p>
            <w:pPr>
              <w:pStyle w:val="19"/>
              <w:numPr>
                <w:ilvl w:val="0"/>
                <w:numId w:val="68"/>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整机一年质量保证，三年上门维修服务；</w:t>
            </w:r>
          </w:p>
          <w:p>
            <w:pPr>
              <w:pStyle w:val="19"/>
              <w:numPr>
                <w:ilvl w:val="0"/>
                <w:numId w:val="68"/>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搭载最新一代英特尔酷睿</w:t>
            </w:r>
            <w:r>
              <w:rPr>
                <w:rFonts w:hint="eastAsia" w:ascii="宋体" w:hAnsi="宋体" w:eastAsia="宋体" w:cs="宋体"/>
                <w:spacing w:val="-7"/>
                <w:w w:val="105"/>
                <w:sz w:val="17"/>
              </w:rPr>
              <w:t>I7</w:t>
            </w:r>
            <w:r>
              <w:rPr>
                <w:rFonts w:hint="eastAsia" w:ascii="宋体" w:hAnsi="宋体" w:eastAsia="宋体" w:cs="宋体"/>
                <w:w w:val="105"/>
                <w:sz w:val="17"/>
              </w:rPr>
              <w:t>处理器，性能不低于8核心16线程；</w:t>
            </w:r>
          </w:p>
          <w:p>
            <w:pPr>
              <w:pStyle w:val="19"/>
              <w:numPr>
                <w:ilvl w:val="0"/>
                <w:numId w:val="68"/>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支持64GB内存，助力各项操作流畅进行，本机配置16GB；</w:t>
            </w:r>
          </w:p>
          <w:p>
            <w:pPr>
              <w:pStyle w:val="19"/>
              <w:numPr>
                <w:ilvl w:val="0"/>
                <w:numId w:val="68"/>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采用</w:t>
            </w:r>
            <w:r>
              <w:rPr>
                <w:rFonts w:hint="eastAsia" w:ascii="宋体" w:hAnsi="宋体" w:eastAsia="宋体" w:cs="宋体"/>
                <w:spacing w:val="-8"/>
                <w:sz w:val="17"/>
              </w:rPr>
              <w:t>NVIDIA</w:t>
            </w:r>
            <w:r>
              <w:rPr>
                <w:rFonts w:hint="eastAsia" w:ascii="宋体" w:hAnsi="宋体" w:eastAsia="宋体" w:cs="宋体"/>
                <w:sz w:val="17"/>
              </w:rPr>
              <w:t>专业图形处理显卡，显存不低于6GB，具备高分辨率及图像处理能力；</w:t>
            </w:r>
          </w:p>
          <w:p>
            <w:pPr>
              <w:pStyle w:val="19"/>
              <w:numPr>
                <w:ilvl w:val="0"/>
                <w:numId w:val="68"/>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系统运行硬盘采用256GB固态硬盘，搭配</w:t>
            </w:r>
            <w:r>
              <w:rPr>
                <w:rFonts w:hint="eastAsia" w:ascii="宋体" w:hAnsi="宋体" w:eastAsia="宋体" w:cs="宋体"/>
                <w:spacing w:val="3"/>
                <w:sz w:val="17"/>
              </w:rPr>
              <w:t>1TB</w:t>
            </w:r>
            <w:r>
              <w:rPr>
                <w:rFonts w:hint="eastAsia" w:ascii="宋体" w:hAnsi="宋体" w:eastAsia="宋体" w:cs="宋体"/>
                <w:sz w:val="17"/>
              </w:rPr>
              <w:t>独立存储空间；</w:t>
            </w:r>
          </w:p>
          <w:p>
            <w:pPr>
              <w:pStyle w:val="19"/>
              <w:numPr>
                <w:ilvl w:val="0"/>
                <w:numId w:val="68"/>
              </w:numPr>
              <w:tabs>
                <w:tab w:val="left" w:pos="264"/>
              </w:tabs>
              <w:spacing w:before="166" w:after="0" w:line="422" w:lineRule="auto"/>
              <w:ind w:left="100" w:right="193" w:firstLine="0"/>
              <w:jc w:val="left"/>
              <w:rPr>
                <w:rFonts w:hint="eastAsia" w:ascii="宋体" w:hAnsi="宋体" w:eastAsia="宋体" w:cs="宋体"/>
                <w:sz w:val="17"/>
              </w:rPr>
            </w:pPr>
            <w:r>
              <w:rPr>
                <w:rFonts w:hint="eastAsia" w:ascii="宋体" w:hAnsi="宋体" w:eastAsia="宋体" w:cs="宋体"/>
                <w:sz w:val="17"/>
              </w:rPr>
              <w:t>支持</w:t>
            </w:r>
            <w:r>
              <w:rPr>
                <w:rFonts w:hint="eastAsia" w:ascii="宋体" w:hAnsi="宋体" w:eastAsia="宋体" w:cs="宋体"/>
                <w:spacing w:val="-7"/>
                <w:sz w:val="17"/>
              </w:rPr>
              <w:t>maya/3dmax</w:t>
            </w:r>
            <w:r>
              <w:rPr>
                <w:rFonts w:hint="eastAsia" w:ascii="宋体" w:hAnsi="宋体" w:eastAsia="宋体" w:cs="宋体"/>
                <w:sz w:val="17"/>
              </w:rPr>
              <w:t>建模软件实时渲染开窗口：支持窗口位置自定义、分辨率自定义，显示方式支持上下格式</w:t>
            </w:r>
            <w:r>
              <w:rPr>
                <w:rFonts w:hint="eastAsia" w:ascii="宋体" w:hAnsi="宋体" w:eastAsia="宋体" w:cs="宋体"/>
                <w:spacing w:val="3"/>
                <w:sz w:val="17"/>
              </w:rPr>
              <w:t>/</w:t>
            </w:r>
            <w:r>
              <w:rPr>
                <w:rFonts w:hint="eastAsia" w:ascii="宋体" w:hAnsi="宋体" w:eastAsia="宋体" w:cs="宋体"/>
                <w:spacing w:val="-5"/>
                <w:sz w:val="17"/>
              </w:rPr>
              <w:t>左右格</w:t>
            </w:r>
            <w:r>
              <w:rPr>
                <w:rFonts w:hint="eastAsia" w:ascii="宋体" w:hAnsi="宋体" w:eastAsia="宋体" w:cs="宋体"/>
                <w:w w:val="110"/>
                <w:sz w:val="17"/>
              </w:rPr>
              <w:t>式</w:t>
            </w:r>
            <w:r>
              <w:rPr>
                <w:rFonts w:hint="eastAsia" w:ascii="宋体" w:hAnsi="宋体" w:eastAsia="宋体" w:cs="宋体"/>
                <w:spacing w:val="3"/>
                <w:sz w:val="17"/>
              </w:rPr>
              <w:t>/</w:t>
            </w:r>
            <w:r>
              <w:rPr>
                <w:rFonts w:hint="eastAsia" w:ascii="宋体" w:hAnsi="宋体" w:eastAsia="宋体" w:cs="宋体"/>
                <w:w w:val="110"/>
                <w:sz w:val="17"/>
              </w:rPr>
              <w:t>深度图像；</w:t>
            </w:r>
          </w:p>
          <w:p>
            <w:pPr>
              <w:pStyle w:val="19"/>
              <w:numPr>
                <w:ilvl w:val="0"/>
                <w:numId w:val="68"/>
              </w:numPr>
              <w:tabs>
                <w:tab w:val="left" w:pos="372"/>
              </w:tabs>
              <w:spacing w:before="1" w:after="0" w:line="422" w:lineRule="auto"/>
              <w:ind w:left="100" w:right="109" w:firstLine="0"/>
              <w:jc w:val="left"/>
              <w:rPr>
                <w:rFonts w:hint="eastAsia" w:ascii="宋体" w:hAnsi="宋体" w:eastAsia="宋体" w:cs="宋体"/>
                <w:sz w:val="17"/>
              </w:rPr>
            </w:pPr>
            <w:r>
              <w:rPr>
                <w:rFonts w:hint="eastAsia" w:ascii="宋体" w:hAnsi="宋体" w:eastAsia="宋体" w:cs="宋体"/>
                <w:w w:val="95"/>
                <w:sz w:val="17"/>
              </w:rPr>
              <w:t xml:space="preserve">预装软件：编辑器操作面板主要对模型进行编辑，支持外部模型导入，在线模型库编辑，通过可视化图表界面，简   </w:t>
            </w:r>
            <w:r>
              <w:rPr>
                <w:rFonts w:hint="eastAsia" w:ascii="宋体" w:hAnsi="宋体" w:eastAsia="宋体" w:cs="宋体"/>
                <w:spacing w:val="-1"/>
                <w:w w:val="95"/>
                <w:sz w:val="17"/>
              </w:rPr>
              <w:t>单的拖拽功能，为模型添加知识点功能，模型制作完成后会形成微课发布到平台首页，同时平台需要包含模型内容总数</w:t>
            </w:r>
          </w:p>
          <w:p>
            <w:pPr>
              <w:pStyle w:val="19"/>
              <w:spacing w:before="2"/>
              <w:ind w:left="100"/>
              <w:rPr>
                <w:rFonts w:hint="eastAsia" w:ascii="宋体" w:hAnsi="宋体" w:eastAsia="宋体" w:cs="宋体"/>
                <w:sz w:val="17"/>
              </w:rPr>
            </w:pPr>
            <w:r>
              <w:rPr>
                <w:rFonts w:hint="eastAsia" w:ascii="宋体" w:hAnsi="宋体" w:eastAsia="宋体" w:cs="宋体"/>
                <w:w w:val="105"/>
                <w:sz w:val="17"/>
              </w:rPr>
              <w:t>不低于3200个，涵盖军工、交通、工业、人物、植物、家具、建筑、文旅、动物等不少于11类模型资源；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pacing w:val="9"/>
          <w:sz w:val="19"/>
        </w:rPr>
        <w:t>附表二十二：研发工作站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pgSz w:w="11900" w:h="16840"/>
          <w:pgMar w:top="560" w:right="560" w:bottom="280" w:left="540" w:header="0" w:footer="9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22"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8"/>
              <w:rPr>
                <w:rFonts w:hint="eastAsia" w:ascii="宋体" w:hAnsi="宋体" w:eastAsia="宋体" w:cs="宋体"/>
                <w:b/>
                <w:sz w:val="22"/>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69"/>
              </w:numPr>
              <w:tabs>
                <w:tab w:val="left" w:pos="264"/>
              </w:tabs>
              <w:spacing w:before="80" w:after="0" w:line="422" w:lineRule="auto"/>
              <w:ind w:left="100" w:right="158" w:firstLine="0"/>
              <w:jc w:val="left"/>
              <w:rPr>
                <w:rFonts w:hint="eastAsia" w:ascii="宋体" w:hAnsi="宋体" w:eastAsia="宋体" w:cs="宋体"/>
                <w:sz w:val="17"/>
              </w:rPr>
            </w:pPr>
            <w:r>
              <w:rPr>
                <w:rFonts w:hint="eastAsia" w:ascii="宋体" w:hAnsi="宋体" w:eastAsia="宋体" w:cs="宋体"/>
                <w:sz w:val="17"/>
              </w:rPr>
              <w:t>专业绘图设计3D渲染型台式机，流畅播放3D场景及3D程序，专门针对虚拟现实高强度三维应用所优化，在64位</w:t>
            </w:r>
            <w:r>
              <w:rPr>
                <w:rFonts w:hint="eastAsia" w:ascii="宋体" w:hAnsi="宋体" w:eastAsia="宋体" w:cs="宋体"/>
                <w:spacing w:val="-12"/>
                <w:sz w:val="17"/>
              </w:rPr>
              <w:t xml:space="preserve">Wi </w:t>
            </w:r>
            <w:r>
              <w:rPr>
                <w:rFonts w:hint="eastAsia" w:ascii="宋体" w:hAnsi="宋体" w:eastAsia="宋体" w:cs="宋体"/>
                <w:w w:val="115"/>
                <w:sz w:val="17"/>
              </w:rPr>
              <w:t>ndows平台上实现高性能专业图形运算；</w:t>
            </w:r>
          </w:p>
          <w:p>
            <w:pPr>
              <w:pStyle w:val="19"/>
              <w:numPr>
                <w:ilvl w:val="0"/>
                <w:numId w:val="69"/>
              </w:numPr>
              <w:tabs>
                <w:tab w:val="left" w:pos="264"/>
              </w:tabs>
              <w:spacing w:before="2"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支持500万面超大规模虚拟现实场景实时漫游，帧率不低于30FPS，支持16倍抗锯齿，32倍各项异性过滤；</w:t>
            </w:r>
          </w:p>
          <w:p>
            <w:pPr>
              <w:pStyle w:val="19"/>
              <w:numPr>
                <w:ilvl w:val="0"/>
                <w:numId w:val="6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预装</w:t>
            </w:r>
            <w:r>
              <w:rPr>
                <w:rFonts w:hint="eastAsia" w:ascii="宋体" w:hAnsi="宋体" w:eastAsia="宋体" w:cs="宋体"/>
                <w:spacing w:val="-3"/>
                <w:w w:val="105"/>
                <w:sz w:val="17"/>
              </w:rPr>
              <w:t>Windows</w:t>
            </w:r>
            <w:r>
              <w:rPr>
                <w:rFonts w:hint="eastAsia" w:ascii="宋体" w:hAnsi="宋体" w:eastAsia="宋体" w:cs="宋体"/>
                <w:spacing w:val="-4"/>
                <w:w w:val="105"/>
                <w:sz w:val="17"/>
              </w:rPr>
              <w:t xml:space="preserve"> </w:t>
            </w:r>
            <w:r>
              <w:rPr>
                <w:rFonts w:hint="eastAsia" w:ascii="宋体" w:hAnsi="宋体" w:eastAsia="宋体" w:cs="宋体"/>
                <w:w w:val="105"/>
                <w:sz w:val="17"/>
              </w:rPr>
              <w:t>10</w:t>
            </w:r>
            <w:r>
              <w:rPr>
                <w:rFonts w:hint="eastAsia" w:ascii="宋体" w:hAnsi="宋体" w:eastAsia="宋体" w:cs="宋体"/>
                <w:spacing w:val="-10"/>
                <w:w w:val="105"/>
                <w:sz w:val="17"/>
              </w:rPr>
              <w:t xml:space="preserve"> </w:t>
            </w:r>
            <w:r>
              <w:rPr>
                <w:rFonts w:hint="eastAsia" w:ascii="宋体" w:hAnsi="宋体" w:eastAsia="宋体" w:cs="宋体"/>
                <w:w w:val="105"/>
                <w:sz w:val="17"/>
              </w:rPr>
              <w:t>64位专业中文版操作系统，免费提供虚拟仿真实验教学软件安装调试服务；</w:t>
            </w:r>
          </w:p>
          <w:p>
            <w:pPr>
              <w:pStyle w:val="19"/>
              <w:numPr>
                <w:ilvl w:val="0"/>
                <w:numId w:val="6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整机一年质量保证，三年上门维修服务；</w:t>
            </w:r>
          </w:p>
          <w:p>
            <w:pPr>
              <w:pStyle w:val="19"/>
              <w:numPr>
                <w:ilvl w:val="0"/>
                <w:numId w:val="69"/>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搭载最新一代英特尔酷睿</w:t>
            </w:r>
            <w:r>
              <w:rPr>
                <w:rFonts w:hint="eastAsia" w:ascii="宋体" w:hAnsi="宋体" w:eastAsia="宋体" w:cs="宋体"/>
                <w:spacing w:val="-7"/>
                <w:w w:val="105"/>
                <w:sz w:val="17"/>
              </w:rPr>
              <w:t>I7</w:t>
            </w:r>
            <w:r>
              <w:rPr>
                <w:rFonts w:hint="eastAsia" w:ascii="宋体" w:hAnsi="宋体" w:eastAsia="宋体" w:cs="宋体"/>
                <w:w w:val="105"/>
                <w:sz w:val="17"/>
              </w:rPr>
              <w:t>处理器，性能不低于8核心16线程；</w:t>
            </w:r>
          </w:p>
          <w:p>
            <w:pPr>
              <w:pStyle w:val="19"/>
              <w:numPr>
                <w:ilvl w:val="0"/>
                <w:numId w:val="6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支持64GB内存，助力各项操作流畅进行，本机配置32GB；</w:t>
            </w:r>
          </w:p>
          <w:p>
            <w:pPr>
              <w:pStyle w:val="19"/>
              <w:numPr>
                <w:ilvl w:val="0"/>
                <w:numId w:val="6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采用</w:t>
            </w:r>
            <w:r>
              <w:rPr>
                <w:rFonts w:hint="eastAsia" w:ascii="宋体" w:hAnsi="宋体" w:eastAsia="宋体" w:cs="宋体"/>
                <w:spacing w:val="-8"/>
                <w:sz w:val="17"/>
              </w:rPr>
              <w:t>NVIDIA</w:t>
            </w:r>
            <w:r>
              <w:rPr>
                <w:rFonts w:hint="eastAsia" w:ascii="宋体" w:hAnsi="宋体" w:eastAsia="宋体" w:cs="宋体"/>
                <w:sz w:val="17"/>
              </w:rPr>
              <w:t>专业图形处理显卡，显存不低于16GB，具备高分辨率及图像处理能力；</w:t>
            </w:r>
          </w:p>
          <w:p>
            <w:pPr>
              <w:pStyle w:val="19"/>
              <w:numPr>
                <w:ilvl w:val="0"/>
                <w:numId w:val="69"/>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系统运行硬盘采用512GB固态硬盘，搭配</w:t>
            </w:r>
            <w:r>
              <w:rPr>
                <w:rFonts w:hint="eastAsia" w:ascii="宋体" w:hAnsi="宋体" w:eastAsia="宋体" w:cs="宋体"/>
                <w:spacing w:val="3"/>
                <w:sz w:val="17"/>
              </w:rPr>
              <w:t>1TB</w:t>
            </w:r>
            <w:r>
              <w:rPr>
                <w:rFonts w:hint="eastAsia" w:ascii="宋体" w:hAnsi="宋体" w:eastAsia="宋体" w:cs="宋体"/>
                <w:sz w:val="17"/>
              </w:rPr>
              <w:t>独立存储空间；</w:t>
            </w:r>
          </w:p>
          <w:p>
            <w:pPr>
              <w:pStyle w:val="19"/>
              <w:numPr>
                <w:ilvl w:val="0"/>
                <w:numId w:val="69"/>
              </w:numPr>
              <w:tabs>
                <w:tab w:val="left" w:pos="264"/>
              </w:tabs>
              <w:spacing w:before="4" w:after="0" w:line="380" w:lineRule="atLeast"/>
              <w:ind w:left="100" w:right="193" w:firstLine="0"/>
              <w:jc w:val="left"/>
              <w:rPr>
                <w:rFonts w:hint="eastAsia" w:ascii="宋体" w:hAnsi="宋体" w:eastAsia="宋体" w:cs="宋体"/>
                <w:sz w:val="17"/>
              </w:rPr>
            </w:pPr>
            <w:r>
              <w:rPr>
                <w:rFonts w:hint="eastAsia" w:ascii="宋体" w:hAnsi="宋体" w:eastAsia="宋体" w:cs="宋体"/>
                <w:sz w:val="17"/>
              </w:rPr>
              <w:t>支持</w:t>
            </w:r>
            <w:r>
              <w:rPr>
                <w:rFonts w:hint="eastAsia" w:ascii="宋体" w:hAnsi="宋体" w:eastAsia="宋体" w:cs="宋体"/>
                <w:spacing w:val="-7"/>
                <w:sz w:val="17"/>
              </w:rPr>
              <w:t>maya/3dmax</w:t>
            </w:r>
            <w:r>
              <w:rPr>
                <w:rFonts w:hint="eastAsia" w:ascii="宋体" w:hAnsi="宋体" w:eastAsia="宋体" w:cs="宋体"/>
                <w:sz w:val="17"/>
              </w:rPr>
              <w:t>建模软件实时渲染开窗口：支持窗口位置自定义、分辨率自定义，显示方式支持上下格式</w:t>
            </w:r>
            <w:r>
              <w:rPr>
                <w:rFonts w:hint="eastAsia" w:ascii="宋体" w:hAnsi="宋体" w:eastAsia="宋体" w:cs="宋体"/>
                <w:spacing w:val="3"/>
                <w:sz w:val="17"/>
              </w:rPr>
              <w:t>/</w:t>
            </w:r>
            <w:r>
              <w:rPr>
                <w:rFonts w:hint="eastAsia" w:ascii="宋体" w:hAnsi="宋体" w:eastAsia="宋体" w:cs="宋体"/>
                <w:spacing w:val="-5"/>
                <w:sz w:val="17"/>
              </w:rPr>
              <w:t>左右格</w:t>
            </w:r>
            <w:r>
              <w:rPr>
                <w:rFonts w:hint="eastAsia" w:ascii="宋体" w:hAnsi="宋体" w:eastAsia="宋体" w:cs="宋体"/>
                <w:w w:val="110"/>
                <w:sz w:val="17"/>
              </w:rPr>
              <w:t>式</w:t>
            </w:r>
            <w:r>
              <w:rPr>
                <w:rFonts w:hint="eastAsia" w:ascii="宋体" w:hAnsi="宋体" w:eastAsia="宋体" w:cs="宋体"/>
                <w:spacing w:val="3"/>
                <w:sz w:val="17"/>
              </w:rPr>
              <w:t>/</w:t>
            </w:r>
            <w:r>
              <w:rPr>
                <w:rFonts w:hint="eastAsia" w:ascii="宋体" w:hAnsi="宋体" w:eastAsia="宋体" w:cs="宋体"/>
                <w:w w:val="110"/>
                <w:sz w:val="17"/>
              </w:rPr>
              <w:t>深度图像；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60"/>
        <w:ind w:left="120" w:right="0" w:firstLine="0"/>
        <w:jc w:val="left"/>
        <w:rPr>
          <w:rFonts w:hint="eastAsia" w:ascii="宋体" w:hAnsi="宋体" w:eastAsia="宋体" w:cs="宋体"/>
          <w:b/>
          <w:sz w:val="19"/>
        </w:rPr>
      </w:pPr>
      <w:r>
        <w:rPr>
          <w:rFonts w:hint="eastAsia" w:ascii="宋体" w:hAnsi="宋体" w:eastAsia="宋体" w:cs="宋体"/>
          <w:b/>
          <w:spacing w:val="8"/>
          <w:sz w:val="19"/>
        </w:rPr>
        <w:t>附表二十三：路由器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85"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8"/>
              <w:rPr>
                <w:rFonts w:hint="eastAsia" w:ascii="宋体" w:hAnsi="宋体" w:eastAsia="宋体" w:cs="宋体"/>
                <w:b/>
                <w:sz w:val="28"/>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70"/>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通信标准：3GPP</w:t>
            </w:r>
            <w:r>
              <w:rPr>
                <w:rFonts w:hint="eastAsia" w:ascii="宋体" w:hAnsi="宋体" w:eastAsia="宋体" w:cs="宋体"/>
                <w:spacing w:val="-4"/>
                <w:w w:val="110"/>
                <w:sz w:val="17"/>
              </w:rPr>
              <w:t xml:space="preserve"> </w:t>
            </w:r>
            <w:r>
              <w:rPr>
                <w:rFonts w:hint="eastAsia" w:ascii="宋体" w:hAnsi="宋体" w:eastAsia="宋体" w:cs="宋体"/>
                <w:w w:val="110"/>
                <w:sz w:val="17"/>
              </w:rPr>
              <w:t>Release</w:t>
            </w:r>
            <w:r>
              <w:rPr>
                <w:rFonts w:hint="eastAsia" w:ascii="宋体" w:hAnsi="宋体" w:eastAsia="宋体" w:cs="宋体"/>
                <w:spacing w:val="-5"/>
                <w:w w:val="110"/>
                <w:sz w:val="17"/>
              </w:rPr>
              <w:t xml:space="preserve"> </w:t>
            </w:r>
            <w:r>
              <w:rPr>
                <w:rFonts w:hint="eastAsia" w:ascii="宋体" w:hAnsi="宋体" w:eastAsia="宋体" w:cs="宋体"/>
                <w:w w:val="110"/>
                <w:sz w:val="17"/>
              </w:rPr>
              <w:t>15；</w:t>
            </w:r>
          </w:p>
          <w:p>
            <w:pPr>
              <w:pStyle w:val="19"/>
              <w:numPr>
                <w:ilvl w:val="0"/>
                <w:numId w:val="70"/>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适用网络：5G/4G；</w:t>
            </w:r>
          </w:p>
          <w:p>
            <w:pPr>
              <w:pStyle w:val="19"/>
              <w:numPr>
                <w:ilvl w:val="0"/>
                <w:numId w:val="7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组网模式：NSA/SA；</w:t>
            </w:r>
          </w:p>
          <w:p>
            <w:pPr>
              <w:pStyle w:val="19"/>
              <w:numPr>
                <w:ilvl w:val="0"/>
                <w:numId w:val="7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网络频段：5G全网通、4G全网通；</w:t>
            </w:r>
          </w:p>
          <w:p>
            <w:pPr>
              <w:pStyle w:val="19"/>
              <w:numPr>
                <w:ilvl w:val="0"/>
                <w:numId w:val="7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无线速率：双频并发，1167Mbps；</w:t>
            </w:r>
          </w:p>
          <w:p>
            <w:pPr>
              <w:pStyle w:val="19"/>
              <w:numPr>
                <w:ilvl w:val="0"/>
                <w:numId w:val="70"/>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无线频段：2.4GHz</w:t>
            </w:r>
            <w:r>
              <w:rPr>
                <w:rFonts w:hint="eastAsia" w:ascii="宋体" w:hAnsi="宋体" w:eastAsia="宋体" w:cs="宋体"/>
                <w:spacing w:val="-3"/>
                <w:w w:val="110"/>
                <w:sz w:val="17"/>
              </w:rPr>
              <w:t xml:space="preserve"> </w:t>
            </w:r>
            <w:r>
              <w:rPr>
                <w:rFonts w:hint="eastAsia" w:ascii="宋体" w:hAnsi="宋体" w:eastAsia="宋体" w:cs="宋体"/>
                <w:w w:val="110"/>
                <w:sz w:val="17"/>
              </w:rPr>
              <w:t>&amp;</w:t>
            </w:r>
            <w:r>
              <w:rPr>
                <w:rFonts w:hint="eastAsia" w:ascii="宋体" w:hAnsi="宋体" w:eastAsia="宋体" w:cs="宋体"/>
                <w:spacing w:val="3"/>
                <w:w w:val="110"/>
                <w:sz w:val="17"/>
              </w:rPr>
              <w:t xml:space="preserve"> </w:t>
            </w:r>
            <w:r>
              <w:rPr>
                <w:rFonts w:hint="eastAsia" w:ascii="宋体" w:hAnsi="宋体" w:eastAsia="宋体" w:cs="宋体"/>
                <w:w w:val="110"/>
                <w:sz w:val="17"/>
              </w:rPr>
              <w:t>5GHz，支持5GHz优选；</w:t>
            </w:r>
          </w:p>
          <w:p>
            <w:pPr>
              <w:pStyle w:val="19"/>
              <w:numPr>
                <w:ilvl w:val="0"/>
                <w:numId w:val="7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支持设备数量：能满足</w:t>
            </w:r>
            <w:r>
              <w:rPr>
                <w:rFonts w:hint="eastAsia" w:ascii="宋体" w:hAnsi="宋体" w:eastAsia="宋体" w:cs="宋体"/>
                <w:spacing w:val="-3"/>
                <w:sz w:val="17"/>
              </w:rPr>
              <w:t>XR</w:t>
            </w:r>
            <w:r>
              <w:rPr>
                <w:rFonts w:hint="eastAsia" w:ascii="宋体" w:hAnsi="宋体" w:eastAsia="宋体" w:cs="宋体"/>
                <w:sz w:val="17"/>
              </w:rPr>
              <w:t>教室正常使用；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pacing w:val="8"/>
          <w:sz w:val="19"/>
        </w:rPr>
        <w:t>附表二十四：交换机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65"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6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71"/>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固定端口：8个10/100/1000Base-T电口</w:t>
            </w:r>
            <w:r>
              <w:rPr>
                <w:rFonts w:hint="eastAsia" w:ascii="宋体" w:hAnsi="宋体" w:eastAsia="宋体" w:cs="宋体"/>
                <w:spacing w:val="-6"/>
                <w:w w:val="110"/>
                <w:sz w:val="17"/>
              </w:rPr>
              <w:t>(</w:t>
            </w:r>
            <w:r>
              <w:rPr>
                <w:rFonts w:hint="eastAsia" w:ascii="宋体" w:hAnsi="宋体" w:eastAsia="宋体" w:cs="宋体"/>
                <w:w w:val="110"/>
                <w:sz w:val="17"/>
              </w:rPr>
              <w:t>包含两个</w:t>
            </w:r>
            <w:r>
              <w:rPr>
                <w:rFonts w:hint="eastAsia" w:ascii="宋体" w:hAnsi="宋体" w:eastAsia="宋体" w:cs="宋体"/>
                <w:spacing w:val="-4"/>
                <w:w w:val="110"/>
                <w:sz w:val="17"/>
              </w:rPr>
              <w:t>uplink</w:t>
            </w:r>
            <w:r>
              <w:rPr>
                <w:rFonts w:hint="eastAsia" w:ascii="宋体" w:hAnsi="宋体" w:eastAsia="宋体" w:cs="宋体"/>
                <w:w w:val="110"/>
                <w:sz w:val="17"/>
              </w:rPr>
              <w:t>口，可作为上行口</w:t>
            </w:r>
            <w:r>
              <w:rPr>
                <w:rFonts w:hint="eastAsia" w:ascii="宋体" w:hAnsi="宋体" w:eastAsia="宋体" w:cs="宋体"/>
                <w:spacing w:val="-3"/>
                <w:w w:val="110"/>
                <w:sz w:val="17"/>
              </w:rPr>
              <w:t>)2</w:t>
            </w:r>
            <w:r>
              <w:rPr>
                <w:rFonts w:hint="eastAsia" w:ascii="宋体" w:hAnsi="宋体" w:eastAsia="宋体" w:cs="宋体"/>
                <w:w w:val="110"/>
                <w:sz w:val="17"/>
              </w:rPr>
              <w:t>个10G</w:t>
            </w:r>
            <w:r>
              <w:rPr>
                <w:rFonts w:hint="eastAsia" w:ascii="宋体" w:hAnsi="宋体" w:eastAsia="宋体" w:cs="宋体"/>
                <w:spacing w:val="-23"/>
                <w:w w:val="110"/>
                <w:sz w:val="17"/>
              </w:rPr>
              <w:t xml:space="preserve"> </w:t>
            </w:r>
            <w:r>
              <w:rPr>
                <w:rFonts w:hint="eastAsia" w:ascii="宋体" w:hAnsi="宋体" w:eastAsia="宋体" w:cs="宋体"/>
                <w:w w:val="110"/>
                <w:sz w:val="17"/>
              </w:rPr>
              <w:t>Base-X</w:t>
            </w:r>
            <w:r>
              <w:rPr>
                <w:rFonts w:hint="eastAsia" w:ascii="宋体" w:hAnsi="宋体" w:eastAsia="宋体" w:cs="宋体"/>
                <w:spacing w:val="-28"/>
                <w:w w:val="110"/>
                <w:sz w:val="17"/>
              </w:rPr>
              <w:t xml:space="preserve"> </w:t>
            </w:r>
            <w:r>
              <w:rPr>
                <w:rFonts w:hint="eastAsia" w:ascii="宋体" w:hAnsi="宋体" w:eastAsia="宋体" w:cs="宋体"/>
                <w:spacing w:val="2"/>
                <w:w w:val="110"/>
                <w:sz w:val="17"/>
              </w:rPr>
              <w:t>SFP+</w:t>
            </w:r>
            <w:r>
              <w:rPr>
                <w:rFonts w:hint="eastAsia" w:ascii="宋体" w:hAnsi="宋体" w:eastAsia="宋体" w:cs="宋体"/>
                <w:w w:val="110"/>
                <w:sz w:val="17"/>
              </w:rPr>
              <w:t>光口；</w:t>
            </w:r>
          </w:p>
          <w:p>
            <w:pPr>
              <w:pStyle w:val="19"/>
              <w:numPr>
                <w:ilvl w:val="0"/>
                <w:numId w:val="71"/>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模式切换：标准交换、端口隔离、汇聚上联网络克隆；</w:t>
            </w:r>
          </w:p>
          <w:p>
            <w:pPr>
              <w:pStyle w:val="19"/>
              <w:numPr>
                <w:ilvl w:val="0"/>
                <w:numId w:val="7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MAC地址表：16K；</w:t>
            </w:r>
          </w:p>
          <w:p>
            <w:pPr>
              <w:pStyle w:val="19"/>
              <w:numPr>
                <w:ilvl w:val="0"/>
                <w:numId w:val="7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端口交换容量：136Gbps；</w:t>
            </w:r>
          </w:p>
          <w:p>
            <w:pPr>
              <w:pStyle w:val="19"/>
              <w:numPr>
                <w:ilvl w:val="0"/>
                <w:numId w:val="7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转发能力：101.4Mpps；</w:t>
            </w:r>
          </w:p>
          <w:p>
            <w:pPr>
              <w:pStyle w:val="19"/>
              <w:numPr>
                <w:ilvl w:val="0"/>
                <w:numId w:val="71"/>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包缓存：12M；</w:t>
            </w:r>
          </w:p>
          <w:p>
            <w:pPr>
              <w:pStyle w:val="19"/>
              <w:numPr>
                <w:ilvl w:val="0"/>
                <w:numId w:val="7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交换模式：存储转发模式；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z w:val="19"/>
        </w:rPr>
        <w:t>附表二十五：多媒体讲台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footerReference r:id="rId9" w:type="default"/>
          <w:pgSz w:w="11900" w:h="16840"/>
          <w:pgMar w:top="560" w:right="560" w:bottom="200" w:left="540" w:header="0" w:footer="13" w:gutter="0"/>
          <w:pgNumType w:start="3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01"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75"/>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72"/>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支持双人同时操作，桌面银闪光台面，可以定制；</w:t>
            </w:r>
          </w:p>
          <w:p>
            <w:pPr>
              <w:pStyle w:val="19"/>
              <w:numPr>
                <w:ilvl w:val="0"/>
                <w:numId w:val="72"/>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可调节托盘、高级锁具、鼠标走线孔；</w:t>
            </w:r>
          </w:p>
          <w:p>
            <w:pPr>
              <w:pStyle w:val="19"/>
              <w:numPr>
                <w:ilvl w:val="0"/>
                <w:numId w:val="72"/>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宽1250MM*高600MM*深950MM，根据现场定制；</w:t>
            </w:r>
          </w:p>
          <w:p>
            <w:pPr>
              <w:pStyle w:val="19"/>
              <w:numPr>
                <w:ilvl w:val="0"/>
                <w:numId w:val="72"/>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带并机孔，支持多台级联；</w:t>
            </w:r>
          </w:p>
          <w:p>
            <w:pPr>
              <w:pStyle w:val="19"/>
              <w:numPr>
                <w:ilvl w:val="0"/>
                <w:numId w:val="72"/>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标准19机架；</w:t>
            </w:r>
          </w:p>
          <w:p>
            <w:pPr>
              <w:pStyle w:val="19"/>
              <w:numPr>
                <w:ilvl w:val="0"/>
                <w:numId w:val="72"/>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主体框架≥1.5MM，承重梁≥2.0MM，台面防火板≥25MM。</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60"/>
        <w:ind w:left="120" w:right="0" w:firstLine="0"/>
        <w:jc w:val="left"/>
        <w:rPr>
          <w:rFonts w:hint="eastAsia" w:ascii="宋体" w:hAnsi="宋体" w:eastAsia="宋体" w:cs="宋体"/>
          <w:b/>
          <w:sz w:val="19"/>
        </w:rPr>
      </w:pPr>
      <w:r>
        <w:rPr>
          <w:rFonts w:hint="eastAsia" w:ascii="宋体" w:hAnsi="宋体" w:eastAsia="宋体" w:cs="宋体"/>
          <w:b/>
          <w:spacing w:val="9"/>
          <w:sz w:val="19"/>
        </w:rPr>
        <w:t>附表二十六：教训操作台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53"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87"/>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spacing w:before="80"/>
              <w:ind w:left="100"/>
              <w:rPr>
                <w:rFonts w:hint="eastAsia" w:ascii="宋体" w:hAnsi="宋体" w:eastAsia="宋体" w:cs="宋体"/>
                <w:sz w:val="17"/>
              </w:rPr>
            </w:pPr>
            <w:r>
              <w:rPr>
                <w:rFonts w:hint="eastAsia" w:ascii="宋体" w:hAnsi="宋体" w:eastAsia="宋体" w:cs="宋体"/>
                <w:w w:val="110"/>
                <w:sz w:val="17"/>
              </w:rPr>
              <w:t>1.尺寸至少达到2200*2070*750，单桌面尺寸：≥1200mm，桌面厚度：≥24mm；</w:t>
            </w:r>
          </w:p>
          <w:p>
            <w:pPr>
              <w:pStyle w:val="19"/>
              <w:numPr>
                <w:ilvl w:val="0"/>
                <w:numId w:val="73"/>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桌面材质：需采用优质防火板，六边形倒角拼接处理，切割处以聚氰胺贴纸板封边，安全不刮手；</w:t>
            </w:r>
          </w:p>
          <w:p>
            <w:pPr>
              <w:pStyle w:val="19"/>
              <w:numPr>
                <w:ilvl w:val="0"/>
                <w:numId w:val="73"/>
              </w:numPr>
              <w:tabs>
                <w:tab w:val="left" w:pos="264"/>
              </w:tabs>
              <w:spacing w:before="166" w:after="0" w:line="422" w:lineRule="auto"/>
              <w:ind w:left="100" w:right="85" w:firstLine="0"/>
              <w:jc w:val="left"/>
              <w:rPr>
                <w:rFonts w:hint="eastAsia" w:ascii="宋体" w:hAnsi="宋体" w:eastAsia="宋体" w:cs="宋体"/>
                <w:sz w:val="17"/>
              </w:rPr>
            </w:pPr>
            <w:r>
              <w:rPr>
                <w:rFonts w:hint="eastAsia" w:ascii="宋体" w:hAnsi="宋体" w:eastAsia="宋体" w:cs="宋体"/>
                <w:w w:val="95"/>
                <w:sz w:val="17"/>
              </w:rPr>
              <w:t xml:space="preserve">造型设计：采用六边形桌面设计，2梯形拼接，接缝平整、光洁，满足多人使用，简洁的造型颜色搭配，满足各类场    </w:t>
            </w:r>
            <w:r>
              <w:rPr>
                <w:rFonts w:hint="eastAsia" w:ascii="宋体" w:hAnsi="宋体" w:eastAsia="宋体" w:cs="宋体"/>
                <w:sz w:val="17"/>
              </w:rPr>
              <w:t xml:space="preserve">地要求，桌面整体效果美观，电脑机箱高储存设计，可放置机箱和VR头戴设备，保证桌面清洁满足人工工程学设计； </w:t>
            </w:r>
            <w:r>
              <w:rPr>
                <w:rFonts w:hint="eastAsia" w:ascii="宋体" w:hAnsi="宋体" w:eastAsia="宋体" w:cs="宋体"/>
                <w:spacing w:val="-3"/>
                <w:sz w:val="17"/>
              </w:rPr>
              <w:t>4.</w:t>
            </w:r>
            <w:r>
              <w:rPr>
                <w:rFonts w:hint="eastAsia" w:ascii="宋体" w:hAnsi="宋体" w:eastAsia="宋体" w:cs="宋体"/>
                <w:sz w:val="17"/>
              </w:rPr>
              <w:t>六边形凸台设计，侧面有</w:t>
            </w:r>
            <w:r>
              <w:rPr>
                <w:rFonts w:hint="eastAsia" w:ascii="宋体" w:hAnsi="宋体" w:eastAsia="宋体" w:cs="宋体"/>
                <w:spacing w:val="3"/>
                <w:sz w:val="17"/>
              </w:rPr>
              <w:t>usb</w:t>
            </w:r>
            <w:r>
              <w:rPr>
                <w:rFonts w:hint="eastAsia" w:ascii="宋体" w:hAnsi="宋体" w:eastAsia="宋体" w:cs="宋体"/>
                <w:sz w:val="17"/>
              </w:rPr>
              <w:t xml:space="preserve">和电源插口设计，顶部可放置全息头盔、3D打印机等共享设备。教学模式时候可以开 </w:t>
            </w:r>
            <w:r>
              <w:rPr>
                <w:rFonts w:hint="eastAsia" w:ascii="宋体" w:hAnsi="宋体" w:eastAsia="宋体" w:cs="宋体"/>
                <w:spacing w:val="-1"/>
                <w:sz w:val="17"/>
              </w:rPr>
              <w:t>启桌面，为满足学生看清桌面，显示器距离桌子边沿距不大于</w:t>
            </w:r>
            <w:r>
              <w:rPr>
                <w:rFonts w:hint="eastAsia" w:ascii="宋体" w:hAnsi="宋体" w:eastAsia="宋体" w:cs="宋体"/>
                <w:sz w:val="17"/>
              </w:rPr>
              <w:t>65cm；VR</w:t>
            </w:r>
            <w:r>
              <w:rPr>
                <w:rFonts w:hint="eastAsia" w:ascii="宋体" w:hAnsi="宋体" w:eastAsia="宋体" w:cs="宋体"/>
                <w:spacing w:val="-1"/>
                <w:sz w:val="17"/>
              </w:rPr>
              <w:t>模式开启后，显示桌面可折叠收起，解决学生</w:t>
            </w:r>
            <w:r>
              <w:rPr>
                <w:rFonts w:hint="eastAsia" w:ascii="宋体" w:hAnsi="宋体" w:eastAsia="宋体" w:cs="宋体"/>
                <w:w w:val="110"/>
                <w:sz w:val="17"/>
              </w:rPr>
              <w:t>对屏幕的误伤；</w:t>
            </w:r>
          </w:p>
          <w:p>
            <w:pPr>
              <w:pStyle w:val="19"/>
              <w:spacing w:before="4"/>
              <w:ind w:left="100"/>
              <w:rPr>
                <w:rFonts w:hint="eastAsia" w:ascii="宋体" w:hAnsi="宋体" w:eastAsia="宋体" w:cs="宋体"/>
                <w:sz w:val="17"/>
              </w:rPr>
            </w:pPr>
            <w:r>
              <w:rPr>
                <w:rFonts w:hint="eastAsia" w:ascii="宋体" w:hAnsi="宋体" w:eastAsia="宋体" w:cs="宋体"/>
                <w:sz w:val="17"/>
              </w:rPr>
              <w:t>5.环保耐用：桌面材质采用高密度纤维板，兼容中纤板的所有优点，厚度为25mm，组织结构均匀，内外一致，抗静电</w:t>
            </w:r>
          </w:p>
          <w:p>
            <w:pPr>
              <w:pStyle w:val="19"/>
              <w:spacing w:before="166"/>
              <w:ind w:left="100"/>
              <w:rPr>
                <w:rFonts w:hint="eastAsia" w:ascii="宋体" w:hAnsi="宋体" w:eastAsia="宋体" w:cs="宋体"/>
                <w:sz w:val="17"/>
              </w:rPr>
            </w:pPr>
            <w:r>
              <w:rPr>
                <w:rFonts w:hint="eastAsia" w:ascii="宋体" w:hAnsi="宋体" w:eastAsia="宋体" w:cs="宋体"/>
                <w:sz w:val="17"/>
              </w:rPr>
              <w:t>能力强；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pacing w:val="9"/>
          <w:sz w:val="19"/>
        </w:rPr>
        <w:t>附表二十七：多功能座椅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rPr>
                <w:rFonts w:hint="eastAsia" w:ascii="宋体" w:hAnsi="宋体" w:eastAsia="宋体" w:cs="宋体"/>
                <w:sz w:val="16"/>
              </w:rPr>
            </w:pPr>
          </w:p>
        </w:tc>
        <w:tc>
          <w:tcPr>
            <w:tcW w:w="528"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74"/>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sz w:val="17"/>
              </w:rPr>
              <w:t>五脚转椅或弓型座椅；</w:t>
            </w:r>
          </w:p>
          <w:p>
            <w:pPr>
              <w:pStyle w:val="19"/>
              <w:numPr>
                <w:ilvl w:val="0"/>
                <w:numId w:val="74"/>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配合六边桌，可进行收纳；</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pacing w:val="9"/>
          <w:sz w:val="19"/>
        </w:rPr>
        <w:t>附表二十八：综合布线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409"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5"/>
              <w:rPr>
                <w:rFonts w:hint="eastAsia" w:ascii="宋体" w:hAnsi="宋体" w:eastAsia="宋体" w:cs="宋体"/>
                <w:b/>
                <w:sz w:val="17"/>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75"/>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w w:val="105"/>
                <w:sz w:val="17"/>
              </w:rPr>
              <w:t>采用国标六类网线进行网络布防，线缆品牌选用国标优质品牌，每个工位配置1路；</w:t>
            </w:r>
          </w:p>
          <w:p>
            <w:pPr>
              <w:pStyle w:val="19"/>
              <w:numPr>
                <w:ilvl w:val="0"/>
                <w:numId w:val="75"/>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w w:val="110"/>
                <w:sz w:val="17"/>
              </w:rPr>
              <w:t>采用国标RVV3*4/BV4做主线缆铺设，线缆选用国标优质品牌，每个工位保证不低于</w:t>
            </w:r>
            <w:r>
              <w:rPr>
                <w:rFonts w:hint="eastAsia" w:ascii="宋体" w:hAnsi="宋体" w:eastAsia="宋体" w:cs="宋体"/>
                <w:spacing w:val="-4"/>
                <w:w w:val="110"/>
                <w:sz w:val="17"/>
              </w:rPr>
              <w:t>2.5KW</w:t>
            </w:r>
            <w:r>
              <w:rPr>
                <w:rFonts w:hint="eastAsia" w:ascii="宋体" w:hAnsi="宋体" w:eastAsia="宋体" w:cs="宋体"/>
                <w:w w:val="110"/>
                <w:sz w:val="17"/>
              </w:rPr>
              <w:t>供电需求；</w:t>
            </w:r>
          </w:p>
          <w:p>
            <w:pPr>
              <w:pStyle w:val="19"/>
              <w:numPr>
                <w:ilvl w:val="0"/>
                <w:numId w:val="7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线槽、线管布防规整、线路标记清晰、保障网络数据传输稳定高效，电源供应稳定；</w:t>
            </w:r>
          </w:p>
          <w:p>
            <w:pPr>
              <w:pStyle w:val="19"/>
              <w:numPr>
                <w:ilvl w:val="0"/>
                <w:numId w:val="7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网络设备端采用标准网络面板，支持多次插拔；</w:t>
            </w:r>
          </w:p>
          <w:p>
            <w:pPr>
              <w:pStyle w:val="19"/>
              <w:numPr>
                <w:ilvl w:val="0"/>
                <w:numId w:val="75"/>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网络交换端预留充足预留线缆，机柜线缆排放整齐，标记清楚，便于后期维护；</w:t>
            </w:r>
          </w:p>
          <w:p>
            <w:pPr>
              <w:pStyle w:val="19"/>
              <w:numPr>
                <w:ilvl w:val="0"/>
                <w:numId w:val="75"/>
              </w:numPr>
              <w:tabs>
                <w:tab w:val="left" w:pos="264"/>
              </w:tabs>
              <w:spacing w:before="167"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机柜配电采用独立线缆铺放，供电功率保证不低于</w:t>
            </w:r>
            <w:r>
              <w:rPr>
                <w:rFonts w:hint="eastAsia" w:ascii="宋体" w:hAnsi="宋体" w:eastAsia="宋体" w:cs="宋体"/>
                <w:spacing w:val="-4"/>
                <w:sz w:val="17"/>
              </w:rPr>
              <w:t>5KW；</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50"/>
        <w:ind w:left="120" w:right="0" w:firstLine="0"/>
        <w:jc w:val="left"/>
        <w:rPr>
          <w:rFonts w:hint="eastAsia" w:ascii="宋体" w:hAnsi="宋体" w:eastAsia="宋体" w:cs="宋体"/>
          <w:b/>
          <w:sz w:val="19"/>
        </w:rPr>
      </w:pPr>
      <w:r>
        <w:rPr>
          <w:rFonts w:hint="eastAsia" w:ascii="宋体" w:hAnsi="宋体" w:eastAsia="宋体" w:cs="宋体"/>
          <w:b/>
          <w:spacing w:val="9"/>
          <w:sz w:val="19"/>
        </w:rPr>
        <w:t>附表二十九：环境布置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pgSz w:w="11900" w:h="16840"/>
          <w:pgMar w:top="560" w:right="560" w:bottom="28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53"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187"/>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76"/>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墙面环境处理：交钥匙工程。墙面平整光滑，无异味，无甲醛漆，VR设备可以完美嵌入式安装，不影响交互过程；</w:t>
            </w:r>
          </w:p>
          <w:p>
            <w:pPr>
              <w:pStyle w:val="19"/>
              <w:numPr>
                <w:ilvl w:val="0"/>
                <w:numId w:val="76"/>
              </w:numPr>
              <w:tabs>
                <w:tab w:val="left" w:pos="264"/>
              </w:tabs>
              <w:spacing w:before="167" w:after="0" w:line="422" w:lineRule="auto"/>
              <w:ind w:left="100" w:right="181" w:firstLine="0"/>
              <w:jc w:val="left"/>
              <w:rPr>
                <w:rFonts w:hint="eastAsia" w:ascii="宋体" w:hAnsi="宋体" w:eastAsia="宋体" w:cs="宋体"/>
                <w:sz w:val="17"/>
              </w:rPr>
            </w:pPr>
            <w:r>
              <w:rPr>
                <w:rFonts w:hint="eastAsia" w:ascii="宋体" w:hAnsi="宋体" w:eastAsia="宋体" w:cs="宋体"/>
                <w:w w:val="95"/>
                <w:sz w:val="17"/>
              </w:rPr>
              <w:t>顶面环境处理：轻钢主骨通过8</w:t>
            </w:r>
            <w:r>
              <w:rPr>
                <w:rFonts w:hint="eastAsia" w:ascii="宋体" w:hAnsi="宋体" w:eastAsia="宋体" w:cs="宋体"/>
                <w:spacing w:val="-1"/>
                <w:w w:val="95"/>
                <w:sz w:val="17"/>
              </w:rPr>
              <w:t xml:space="preserve">厘的吊筋固定于顶面，生态木方通扣于轻钢主骨上，可以固定虚拟现实定位系统，线    </w:t>
            </w:r>
            <w:r>
              <w:rPr>
                <w:rFonts w:hint="eastAsia" w:ascii="宋体" w:hAnsi="宋体" w:eastAsia="宋体" w:cs="宋体"/>
                <w:w w:val="105"/>
                <w:sz w:val="17"/>
              </w:rPr>
              <w:t>缆安装不裸露；</w:t>
            </w:r>
          </w:p>
          <w:p>
            <w:pPr>
              <w:pStyle w:val="19"/>
              <w:numPr>
                <w:ilvl w:val="0"/>
                <w:numId w:val="76"/>
              </w:numPr>
              <w:tabs>
                <w:tab w:val="left" w:pos="264"/>
              </w:tabs>
              <w:spacing w:before="1" w:after="0" w:line="422" w:lineRule="auto"/>
              <w:ind w:left="100" w:right="205" w:firstLine="0"/>
              <w:jc w:val="left"/>
              <w:rPr>
                <w:rFonts w:hint="eastAsia" w:ascii="宋体" w:hAnsi="宋体" w:eastAsia="宋体" w:cs="宋体"/>
                <w:sz w:val="17"/>
              </w:rPr>
            </w:pPr>
            <w:r>
              <w:rPr>
                <w:rFonts w:hint="eastAsia" w:ascii="宋体" w:hAnsi="宋体" w:eastAsia="宋体" w:cs="宋体"/>
                <w:spacing w:val="-2"/>
                <w:sz w:val="17"/>
              </w:rPr>
              <w:t>地面环境处理：</w:t>
            </w:r>
            <w:r>
              <w:rPr>
                <w:rFonts w:hint="eastAsia" w:ascii="宋体" w:hAnsi="宋体" w:eastAsia="宋体" w:cs="宋体"/>
                <w:spacing w:val="-4"/>
                <w:sz w:val="17"/>
              </w:rPr>
              <w:t>2mm</w:t>
            </w:r>
            <w:r>
              <w:rPr>
                <w:rFonts w:hint="eastAsia" w:ascii="宋体" w:hAnsi="宋体" w:eastAsia="宋体" w:cs="宋体"/>
                <w:spacing w:val="-1"/>
                <w:sz w:val="17"/>
              </w:rPr>
              <w:t xml:space="preserve">厚防潮垫铺于地砖，防潮垫上直接铺装国内知名品牌强化木地板，能配合位置追踪系统捕捉， </w:t>
            </w:r>
            <w:r>
              <w:rPr>
                <w:rFonts w:hint="eastAsia" w:ascii="宋体" w:hAnsi="宋体" w:eastAsia="宋体" w:cs="宋体"/>
                <w:w w:val="105"/>
                <w:sz w:val="17"/>
              </w:rPr>
              <w:t>使系统无杂点，保证系统稳定运行；</w:t>
            </w:r>
          </w:p>
          <w:p>
            <w:pPr>
              <w:pStyle w:val="19"/>
              <w:numPr>
                <w:ilvl w:val="0"/>
                <w:numId w:val="76"/>
              </w:numPr>
              <w:tabs>
                <w:tab w:val="left" w:pos="264"/>
              </w:tabs>
              <w:spacing w:before="2" w:after="0" w:line="422" w:lineRule="auto"/>
              <w:ind w:left="100" w:right="121" w:firstLine="0"/>
              <w:jc w:val="left"/>
              <w:rPr>
                <w:rFonts w:hint="eastAsia" w:ascii="宋体" w:hAnsi="宋体" w:eastAsia="宋体" w:cs="宋体"/>
                <w:sz w:val="17"/>
              </w:rPr>
            </w:pPr>
            <w:r>
              <w:rPr>
                <w:rFonts w:hint="eastAsia" w:ascii="宋体" w:hAnsi="宋体" w:eastAsia="宋体" w:cs="宋体"/>
                <w:spacing w:val="-1"/>
                <w:w w:val="95"/>
                <w:sz w:val="17"/>
              </w:rPr>
              <w:t xml:space="preserve">电气环境处理：暗装部位需加固处理，明装部位做保护处理，接线规范，符合智慧中控系统要求，对灯箱、筒灯、照   </w:t>
            </w:r>
            <w:r>
              <w:rPr>
                <w:rFonts w:hint="eastAsia" w:ascii="宋体" w:hAnsi="宋体" w:eastAsia="宋体" w:cs="宋体"/>
                <w:sz w:val="17"/>
              </w:rPr>
              <w:t>明分离设计，支持大屏幕观看需求；</w:t>
            </w:r>
          </w:p>
          <w:p>
            <w:pPr>
              <w:pStyle w:val="19"/>
              <w:numPr>
                <w:ilvl w:val="0"/>
                <w:numId w:val="76"/>
              </w:numPr>
              <w:tabs>
                <w:tab w:val="left" w:pos="264"/>
              </w:tabs>
              <w:spacing w:before="1" w:after="0" w:line="240" w:lineRule="auto"/>
              <w:ind w:left="263" w:right="0" w:hanging="164"/>
              <w:jc w:val="left"/>
              <w:rPr>
                <w:rFonts w:hint="eastAsia" w:ascii="宋体" w:hAnsi="宋体" w:eastAsia="宋体" w:cs="宋体"/>
                <w:sz w:val="17"/>
              </w:rPr>
            </w:pPr>
            <w:r>
              <w:rPr>
                <w:rFonts w:hint="eastAsia" w:ascii="宋体" w:hAnsi="宋体" w:eastAsia="宋体" w:cs="宋体"/>
                <w:w w:val="95"/>
                <w:sz w:val="17"/>
              </w:rPr>
              <w:t>灯光环境处理：暗装部位需加固处理，明装部位做保护处理，接线规范，符合智慧中控系统要求，对灯箱、筒灯、照</w:t>
            </w:r>
          </w:p>
          <w:p>
            <w:pPr>
              <w:pStyle w:val="19"/>
              <w:spacing w:before="166"/>
              <w:ind w:left="100"/>
              <w:rPr>
                <w:rFonts w:hint="eastAsia" w:ascii="宋体" w:hAnsi="宋体" w:eastAsia="宋体" w:cs="宋体"/>
                <w:sz w:val="17"/>
              </w:rPr>
            </w:pPr>
            <w:r>
              <w:rPr>
                <w:rFonts w:hint="eastAsia" w:ascii="宋体" w:hAnsi="宋体" w:eastAsia="宋体" w:cs="宋体"/>
                <w:sz w:val="17"/>
              </w:rPr>
              <w:t>明分离设计，支持大屏幕观看需求；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before="60"/>
        <w:ind w:left="120" w:right="0" w:firstLine="0"/>
        <w:jc w:val="left"/>
        <w:rPr>
          <w:rFonts w:hint="eastAsia" w:ascii="宋体" w:hAnsi="宋体" w:eastAsia="宋体" w:cs="宋体"/>
          <w:b/>
          <w:sz w:val="19"/>
        </w:rPr>
      </w:pPr>
      <w:r>
        <w:rPr>
          <w:rFonts w:hint="eastAsia" w:ascii="宋体" w:hAnsi="宋体" w:eastAsia="宋体" w:cs="宋体"/>
          <w:b/>
          <w:sz w:val="19"/>
        </w:rPr>
        <w:t>附表三十：虚拟仿真教研管理平台 是否进口：否</w:t>
      </w:r>
    </w:p>
    <w:p>
      <w:pPr>
        <w:pStyle w:val="9"/>
        <w:spacing w:before="12"/>
        <w:rPr>
          <w:rFonts w:hint="eastAsia" w:ascii="宋体" w:hAnsi="宋体" w:eastAsia="宋体" w:cs="宋体"/>
          <w:b/>
          <w:sz w:val="8"/>
        </w:r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sz w:val="19"/>
              </w:rPr>
              <w:t>参数性质</w:t>
            </w:r>
          </w:p>
        </w:tc>
        <w:tc>
          <w:tcPr>
            <w:tcW w:w="528" w:type="dxa"/>
          </w:tcPr>
          <w:p>
            <w:pPr>
              <w:pStyle w:val="19"/>
              <w:spacing w:before="60"/>
              <w:ind w:left="100"/>
              <w:rPr>
                <w:rFonts w:hint="eastAsia" w:ascii="宋体" w:hAnsi="宋体" w:eastAsia="宋体" w:cs="宋体"/>
                <w:sz w:val="19"/>
              </w:rPr>
            </w:pPr>
            <w:r>
              <w:rPr>
                <w:rFonts w:hint="eastAsia" w:ascii="宋体" w:hAnsi="宋体" w:eastAsia="宋体" w:cs="宋体"/>
                <w:w w:val="101"/>
                <w:sz w:val="19"/>
              </w:rPr>
              <w:t>序</w:t>
            </w:r>
          </w:p>
          <w:p>
            <w:pPr>
              <w:pStyle w:val="19"/>
              <w:spacing w:before="141"/>
              <w:ind w:left="100"/>
              <w:rPr>
                <w:rFonts w:hint="eastAsia" w:ascii="宋体" w:hAnsi="宋体" w:eastAsia="宋体" w:cs="宋体"/>
                <w:sz w:val="19"/>
              </w:rPr>
            </w:pPr>
            <w:r>
              <w:rPr>
                <w:rFonts w:hint="eastAsia" w:ascii="宋体" w:hAnsi="宋体" w:eastAsia="宋体" w:cs="宋体"/>
                <w:w w:val="101"/>
                <w:sz w:val="19"/>
              </w:rPr>
              <w:t>号</w:t>
            </w:r>
          </w:p>
        </w:tc>
        <w:tc>
          <w:tcPr>
            <w:tcW w:w="8966" w:type="dxa"/>
          </w:tcPr>
          <w:p>
            <w:pPr>
              <w:pStyle w:val="19"/>
              <w:spacing w:before="9"/>
              <w:rPr>
                <w:rFonts w:hint="eastAsia" w:ascii="宋体" w:hAnsi="宋体" w:eastAsia="宋体" w:cs="宋体"/>
                <w:b/>
                <w:sz w:val="19"/>
              </w:rPr>
            </w:pPr>
          </w:p>
          <w:p>
            <w:pPr>
              <w:pStyle w:val="19"/>
              <w:ind w:left="100"/>
              <w:rPr>
                <w:rFonts w:hint="eastAsia" w:ascii="宋体" w:hAnsi="宋体" w:eastAsia="宋体" w:cs="宋体"/>
                <w:sz w:val="19"/>
              </w:rPr>
            </w:pPr>
            <w:r>
              <w:rPr>
                <w:rFonts w:hint="eastAsia" w:ascii="宋体" w:hAnsi="宋体" w:eastAsia="宋体" w:cs="宋体"/>
                <w:w w:val="110"/>
                <w:sz w:val="19"/>
              </w:rPr>
              <w:t>具体技术(参数)要求</w:t>
            </w:r>
          </w:p>
        </w:tc>
      </w:tr>
    </w:tbl>
    <w:p>
      <w:pPr>
        <w:spacing w:after="0"/>
        <w:rPr>
          <w:rFonts w:hint="eastAsia" w:ascii="宋体" w:hAnsi="宋体" w:eastAsia="宋体" w:cs="宋体"/>
          <w:sz w:val="19"/>
        </w:rPr>
        <w:sectPr>
          <w:pgSz w:w="11900" w:h="16840"/>
          <w:pgMar w:top="560" w:right="560" w:bottom="28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56"/>
        <w:gridCol w:w="528"/>
        <w:gridCol w:w="89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076" w:hRule="atLeast"/>
        </w:trPr>
        <w:tc>
          <w:tcPr>
            <w:tcW w:w="1056" w:type="dxa"/>
          </w:tcPr>
          <w:p>
            <w:pPr>
              <w:pStyle w:val="19"/>
              <w:rPr>
                <w:rFonts w:hint="eastAsia" w:ascii="宋体" w:hAnsi="宋体" w:eastAsia="宋体" w:cs="宋体"/>
                <w:sz w:val="16"/>
              </w:rPr>
            </w:pPr>
          </w:p>
        </w:tc>
        <w:tc>
          <w:tcPr>
            <w:tcW w:w="528" w:type="dxa"/>
          </w:tcPr>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rPr>
                <w:rFonts w:hint="eastAsia" w:ascii="宋体" w:hAnsi="宋体" w:eastAsia="宋体" w:cs="宋体"/>
                <w:b/>
                <w:sz w:val="22"/>
              </w:rPr>
            </w:pPr>
          </w:p>
          <w:p>
            <w:pPr>
              <w:pStyle w:val="19"/>
              <w:spacing w:before="9"/>
              <w:rPr>
                <w:rFonts w:hint="eastAsia" w:ascii="宋体" w:hAnsi="宋体" w:eastAsia="宋体" w:cs="宋体"/>
                <w:b/>
                <w:sz w:val="32"/>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8966" w:type="dxa"/>
          </w:tcPr>
          <w:p>
            <w:pPr>
              <w:pStyle w:val="19"/>
              <w:numPr>
                <w:ilvl w:val="0"/>
                <w:numId w:val="77"/>
              </w:numPr>
              <w:tabs>
                <w:tab w:val="left" w:pos="264"/>
              </w:tabs>
              <w:spacing w:before="80"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多人多场景互动</w:t>
            </w:r>
          </w:p>
          <w:p>
            <w:pPr>
              <w:pStyle w:val="19"/>
              <w:numPr>
                <w:ilvl w:val="1"/>
                <w:numId w:val="77"/>
              </w:numPr>
              <w:tabs>
                <w:tab w:val="left" w:pos="366"/>
              </w:tabs>
              <w:spacing w:before="167" w:after="0" w:line="240" w:lineRule="auto"/>
              <w:ind w:left="365" w:right="0" w:hanging="266"/>
              <w:jc w:val="left"/>
              <w:rPr>
                <w:rFonts w:hint="eastAsia" w:ascii="宋体" w:hAnsi="宋体" w:eastAsia="宋体" w:cs="宋体"/>
                <w:sz w:val="17"/>
              </w:rPr>
            </w:pPr>
            <w:r>
              <w:rPr>
                <w:rFonts w:hint="eastAsia" w:ascii="宋体" w:hAnsi="宋体" w:eastAsia="宋体" w:cs="宋体"/>
                <w:sz w:val="17"/>
              </w:rPr>
              <w:t>漫游：支持在虚拟场景中前进、后退、左移、右移、原地转向；</w:t>
            </w:r>
          </w:p>
          <w:p>
            <w:pPr>
              <w:pStyle w:val="19"/>
              <w:numPr>
                <w:ilvl w:val="1"/>
                <w:numId w:val="77"/>
              </w:numPr>
              <w:tabs>
                <w:tab w:val="left" w:pos="366"/>
              </w:tabs>
              <w:spacing w:before="166" w:after="0" w:line="240" w:lineRule="auto"/>
              <w:ind w:left="365" w:right="0" w:hanging="266"/>
              <w:jc w:val="left"/>
              <w:rPr>
                <w:rFonts w:hint="eastAsia" w:ascii="宋体" w:hAnsi="宋体" w:eastAsia="宋体" w:cs="宋体"/>
                <w:sz w:val="17"/>
              </w:rPr>
            </w:pPr>
            <w:r>
              <w:rPr>
                <w:rFonts w:hint="eastAsia" w:ascii="宋体" w:hAnsi="宋体" w:eastAsia="宋体" w:cs="宋体"/>
                <w:sz w:val="17"/>
              </w:rPr>
              <w:t>多场景：多场景：可在多个场景之间切换（出生地：厂房，教学地点：授课厅，实操场景：工业机器人实训室；</w:t>
            </w:r>
          </w:p>
          <w:p>
            <w:pPr>
              <w:pStyle w:val="19"/>
              <w:numPr>
                <w:ilvl w:val="1"/>
                <w:numId w:val="77"/>
              </w:numPr>
              <w:tabs>
                <w:tab w:val="left" w:pos="366"/>
              </w:tabs>
              <w:spacing w:before="166" w:after="0" w:line="240" w:lineRule="auto"/>
              <w:ind w:left="365" w:right="0" w:hanging="266"/>
              <w:jc w:val="left"/>
              <w:rPr>
                <w:rFonts w:hint="eastAsia" w:ascii="宋体" w:hAnsi="宋体" w:eastAsia="宋体" w:cs="宋体"/>
                <w:sz w:val="17"/>
              </w:rPr>
            </w:pPr>
            <w:r>
              <w:rPr>
                <w:rFonts w:hint="eastAsia" w:ascii="宋体" w:hAnsi="宋体" w:eastAsia="宋体" w:cs="宋体"/>
                <w:sz w:val="17"/>
              </w:rPr>
              <w:t>互动：支持指定操作、指定回答、学生举手、语音对话、手势等进行互动；</w:t>
            </w:r>
          </w:p>
          <w:p>
            <w:pPr>
              <w:pStyle w:val="19"/>
              <w:numPr>
                <w:ilvl w:val="1"/>
                <w:numId w:val="77"/>
              </w:numPr>
              <w:tabs>
                <w:tab w:val="left" w:pos="366"/>
              </w:tabs>
              <w:spacing w:before="166" w:after="0" w:line="240" w:lineRule="auto"/>
              <w:ind w:left="365" w:right="0" w:hanging="266"/>
              <w:jc w:val="left"/>
              <w:rPr>
                <w:rFonts w:hint="eastAsia" w:ascii="宋体" w:hAnsi="宋体" w:eastAsia="宋体" w:cs="宋体"/>
                <w:sz w:val="17"/>
              </w:rPr>
            </w:pPr>
            <w:r>
              <w:rPr>
                <w:rFonts w:hint="eastAsia" w:ascii="宋体" w:hAnsi="宋体" w:eastAsia="宋体" w:cs="宋体"/>
                <w:sz w:val="17"/>
              </w:rPr>
              <w:t>选座：支持学生任意选座；</w:t>
            </w:r>
          </w:p>
          <w:p>
            <w:pPr>
              <w:pStyle w:val="19"/>
              <w:numPr>
                <w:ilvl w:val="1"/>
                <w:numId w:val="77"/>
              </w:numPr>
              <w:tabs>
                <w:tab w:val="left" w:pos="366"/>
              </w:tabs>
              <w:spacing w:before="167" w:after="0" w:line="240" w:lineRule="auto"/>
              <w:ind w:left="365" w:right="0" w:hanging="266"/>
              <w:jc w:val="left"/>
              <w:rPr>
                <w:rFonts w:hint="eastAsia" w:ascii="宋体" w:hAnsi="宋体" w:eastAsia="宋体" w:cs="宋体"/>
                <w:sz w:val="17"/>
              </w:rPr>
            </w:pPr>
            <w:r>
              <w:rPr>
                <w:rFonts w:hint="eastAsia" w:ascii="宋体" w:hAnsi="宋体" w:eastAsia="宋体" w:cs="宋体"/>
                <w:sz w:val="17"/>
              </w:rPr>
              <w:t>座位分配：开启上课后系统自动为未选座的学生角色分配座位，不支持随意走动；</w:t>
            </w:r>
          </w:p>
          <w:p>
            <w:pPr>
              <w:pStyle w:val="19"/>
              <w:numPr>
                <w:ilvl w:val="0"/>
                <w:numId w:val="78"/>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创建课程</w:t>
            </w:r>
          </w:p>
          <w:p>
            <w:pPr>
              <w:pStyle w:val="19"/>
              <w:numPr>
                <w:ilvl w:val="1"/>
                <w:numId w:val="78"/>
              </w:numPr>
              <w:tabs>
                <w:tab w:val="left" w:pos="366"/>
              </w:tabs>
              <w:spacing w:before="166" w:after="0" w:line="422" w:lineRule="auto"/>
              <w:ind w:left="100" w:right="145" w:firstLine="0"/>
              <w:jc w:val="left"/>
              <w:rPr>
                <w:rFonts w:hint="eastAsia" w:ascii="宋体" w:hAnsi="宋体" w:eastAsia="宋体" w:cs="宋体"/>
                <w:sz w:val="17"/>
              </w:rPr>
            </w:pPr>
            <w:r>
              <w:rPr>
                <w:rFonts w:hint="eastAsia" w:ascii="宋体" w:hAnsi="宋体" w:eastAsia="宋体" w:cs="宋体"/>
                <w:spacing w:val="-4"/>
                <w:w w:val="95"/>
                <w:sz w:val="17"/>
              </w:rPr>
              <w:t>“</w:t>
            </w:r>
            <w:r>
              <w:rPr>
                <w:rFonts w:hint="eastAsia" w:ascii="宋体" w:hAnsi="宋体" w:eastAsia="宋体" w:cs="宋体"/>
                <w:spacing w:val="-1"/>
                <w:w w:val="95"/>
                <w:sz w:val="17"/>
              </w:rPr>
              <w:t>教师</w:t>
            </w:r>
            <w:r>
              <w:rPr>
                <w:rFonts w:hint="eastAsia" w:ascii="宋体" w:hAnsi="宋体" w:eastAsia="宋体" w:cs="宋体"/>
                <w:spacing w:val="-4"/>
                <w:w w:val="95"/>
                <w:sz w:val="17"/>
              </w:rPr>
              <w:t>”</w:t>
            </w:r>
            <w:r>
              <w:rPr>
                <w:rFonts w:hint="eastAsia" w:ascii="宋体" w:hAnsi="宋体" w:eastAsia="宋体" w:cs="宋体"/>
                <w:spacing w:val="-1"/>
                <w:w w:val="95"/>
                <w:sz w:val="17"/>
              </w:rPr>
              <w:t>角色：创建课程：课程名称、课程开始时间、课程结束时间、关联讲授课件、关联讲授</w:t>
            </w:r>
            <w:r>
              <w:rPr>
                <w:rFonts w:hint="eastAsia" w:ascii="宋体" w:hAnsi="宋体" w:eastAsia="宋体" w:cs="宋体"/>
                <w:w w:val="95"/>
                <w:sz w:val="17"/>
              </w:rPr>
              <w:t>PPT,</w:t>
            </w:r>
            <w:r>
              <w:rPr>
                <w:rFonts w:hint="eastAsia" w:ascii="宋体" w:hAnsi="宋体" w:eastAsia="宋体" w:cs="宋体"/>
                <w:spacing w:val="-2"/>
                <w:w w:val="95"/>
                <w:sz w:val="17"/>
              </w:rPr>
              <w:t xml:space="preserve">课程创建完毕后    </w:t>
            </w:r>
            <w:r>
              <w:rPr>
                <w:rFonts w:hint="eastAsia" w:ascii="宋体" w:hAnsi="宋体" w:eastAsia="宋体" w:cs="宋体"/>
                <w:w w:val="105"/>
                <w:sz w:val="17"/>
              </w:rPr>
              <w:t>用户可在距离开课前15分钟进入授课厅；</w:t>
            </w:r>
          </w:p>
          <w:p>
            <w:pPr>
              <w:pStyle w:val="19"/>
              <w:numPr>
                <w:ilvl w:val="1"/>
                <w:numId w:val="78"/>
              </w:numPr>
              <w:tabs>
                <w:tab w:val="left" w:pos="366"/>
              </w:tabs>
              <w:spacing w:before="2" w:after="0" w:line="240" w:lineRule="auto"/>
              <w:ind w:left="365" w:right="0" w:hanging="266"/>
              <w:jc w:val="left"/>
              <w:rPr>
                <w:rFonts w:hint="eastAsia" w:ascii="宋体" w:hAnsi="宋体" w:eastAsia="宋体" w:cs="宋体"/>
                <w:sz w:val="17"/>
              </w:rPr>
            </w:pPr>
            <w:r>
              <w:rPr>
                <w:rFonts w:hint="eastAsia" w:ascii="宋体" w:hAnsi="宋体" w:eastAsia="宋体" w:cs="宋体"/>
                <w:spacing w:val="-4"/>
                <w:w w:val="105"/>
                <w:sz w:val="17"/>
              </w:rPr>
              <w:t>“</w:t>
            </w:r>
            <w:r>
              <w:rPr>
                <w:rFonts w:hint="eastAsia" w:ascii="宋体" w:hAnsi="宋体" w:eastAsia="宋体" w:cs="宋体"/>
                <w:w w:val="105"/>
                <w:sz w:val="17"/>
              </w:rPr>
              <w:t>学生</w:t>
            </w:r>
            <w:r>
              <w:rPr>
                <w:rFonts w:hint="eastAsia" w:ascii="宋体" w:hAnsi="宋体" w:eastAsia="宋体" w:cs="宋体"/>
                <w:spacing w:val="-4"/>
                <w:w w:val="105"/>
                <w:sz w:val="17"/>
              </w:rPr>
              <w:t>”</w:t>
            </w:r>
            <w:r>
              <w:rPr>
                <w:rFonts w:hint="eastAsia" w:ascii="宋体" w:hAnsi="宋体" w:eastAsia="宋体" w:cs="宋体"/>
                <w:w w:val="105"/>
                <w:sz w:val="17"/>
              </w:rPr>
              <w:t>角色：可以在课程列表选择具体的课程，距离开课时间前15分钟，可以进入到授课厅；</w:t>
            </w:r>
          </w:p>
          <w:p>
            <w:pPr>
              <w:pStyle w:val="19"/>
              <w:numPr>
                <w:ilvl w:val="0"/>
                <w:numId w:val="79"/>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教室授课</w:t>
            </w:r>
          </w:p>
          <w:p>
            <w:pPr>
              <w:pStyle w:val="19"/>
              <w:numPr>
                <w:ilvl w:val="1"/>
                <w:numId w:val="79"/>
              </w:numPr>
              <w:tabs>
                <w:tab w:val="left" w:pos="366"/>
              </w:tabs>
              <w:spacing w:before="166" w:after="0" w:line="240" w:lineRule="auto"/>
              <w:ind w:left="365" w:right="0" w:hanging="266"/>
              <w:jc w:val="left"/>
              <w:rPr>
                <w:rFonts w:hint="eastAsia" w:ascii="宋体" w:hAnsi="宋体" w:eastAsia="宋体" w:cs="宋体"/>
                <w:sz w:val="17"/>
              </w:rPr>
            </w:pPr>
            <w:r>
              <w:rPr>
                <w:rFonts w:hint="eastAsia" w:ascii="宋体" w:hAnsi="宋体" w:eastAsia="宋体" w:cs="宋体"/>
                <w:sz w:val="17"/>
              </w:rPr>
              <w:t>教室授课：支持</w:t>
            </w:r>
            <w:r>
              <w:rPr>
                <w:rFonts w:hint="eastAsia" w:ascii="宋体" w:hAnsi="宋体" w:eastAsia="宋体" w:cs="宋体"/>
                <w:spacing w:val="5"/>
                <w:sz w:val="17"/>
              </w:rPr>
              <w:t>PPT</w:t>
            </w:r>
            <w:r>
              <w:rPr>
                <w:rFonts w:hint="eastAsia" w:ascii="宋体" w:hAnsi="宋体" w:eastAsia="宋体" w:cs="宋体"/>
                <w:sz w:val="17"/>
              </w:rPr>
              <w:t>与机器人课件的讲授</w:t>
            </w:r>
            <w:r>
              <w:rPr>
                <w:rFonts w:hint="eastAsia" w:ascii="宋体" w:hAnsi="宋体" w:eastAsia="宋体" w:cs="宋体"/>
                <w:spacing w:val="-6"/>
                <w:sz w:val="17"/>
              </w:rPr>
              <w:t>(</w:t>
            </w:r>
            <w:r>
              <w:rPr>
                <w:rFonts w:hint="eastAsia" w:ascii="宋体" w:hAnsi="宋体" w:eastAsia="宋体" w:cs="宋体"/>
                <w:sz w:val="17"/>
              </w:rPr>
              <w:t>理实一体化教学</w:t>
            </w:r>
            <w:r>
              <w:rPr>
                <w:rFonts w:hint="eastAsia" w:ascii="宋体" w:hAnsi="宋体" w:eastAsia="宋体" w:cs="宋体"/>
                <w:spacing w:val="-3"/>
                <w:sz w:val="17"/>
              </w:rPr>
              <w:t>)；</w:t>
            </w:r>
          </w:p>
          <w:p>
            <w:pPr>
              <w:pStyle w:val="19"/>
              <w:numPr>
                <w:ilvl w:val="1"/>
                <w:numId w:val="79"/>
              </w:numPr>
              <w:tabs>
                <w:tab w:val="left" w:pos="366"/>
              </w:tabs>
              <w:spacing w:before="167" w:after="0" w:line="422" w:lineRule="auto"/>
              <w:ind w:left="100" w:right="217" w:firstLine="0"/>
              <w:jc w:val="left"/>
              <w:rPr>
                <w:rFonts w:hint="eastAsia" w:ascii="宋体" w:hAnsi="宋体" w:eastAsia="宋体" w:cs="宋体"/>
                <w:sz w:val="17"/>
              </w:rPr>
            </w:pPr>
            <w:r>
              <w:rPr>
                <w:rFonts w:hint="eastAsia" w:ascii="宋体" w:hAnsi="宋体" w:eastAsia="宋体" w:cs="宋体"/>
                <w:spacing w:val="4"/>
                <w:w w:val="95"/>
                <w:sz w:val="17"/>
              </w:rPr>
              <w:t>PPT</w:t>
            </w:r>
            <w:r>
              <w:rPr>
                <w:rFonts w:hint="eastAsia" w:ascii="宋体" w:hAnsi="宋体" w:eastAsia="宋体" w:cs="宋体"/>
                <w:w w:val="95"/>
                <w:sz w:val="17"/>
              </w:rPr>
              <w:t>：教师授课的</w:t>
            </w:r>
            <w:r>
              <w:rPr>
                <w:rFonts w:hint="eastAsia" w:ascii="宋体" w:hAnsi="宋体" w:eastAsia="宋体" w:cs="宋体"/>
                <w:spacing w:val="4"/>
                <w:w w:val="95"/>
                <w:sz w:val="17"/>
              </w:rPr>
              <w:t>PPT</w:t>
            </w:r>
            <w:r>
              <w:rPr>
                <w:rFonts w:hint="eastAsia" w:ascii="宋体" w:hAnsi="宋体" w:eastAsia="宋体" w:cs="宋体"/>
                <w:w w:val="95"/>
                <w:sz w:val="17"/>
              </w:rPr>
              <w:t>，内容可以同步给场景中的其它学生，学生端拥有</w:t>
            </w:r>
            <w:r>
              <w:rPr>
                <w:rFonts w:hint="eastAsia" w:ascii="宋体" w:hAnsi="宋体" w:eastAsia="宋体" w:cs="宋体"/>
                <w:spacing w:val="5"/>
                <w:w w:val="95"/>
                <w:sz w:val="17"/>
              </w:rPr>
              <w:t>PPT</w:t>
            </w:r>
            <w:r>
              <w:rPr>
                <w:rFonts w:hint="eastAsia" w:ascii="宋体" w:hAnsi="宋体" w:eastAsia="宋体" w:cs="宋体"/>
                <w:spacing w:val="-1"/>
                <w:w w:val="95"/>
                <w:sz w:val="17"/>
              </w:rPr>
              <w:t xml:space="preserve">第一视角，支持无论坐在授课厅内任   </w:t>
            </w:r>
            <w:r>
              <w:rPr>
                <w:rFonts w:hint="eastAsia" w:ascii="宋体" w:hAnsi="宋体" w:eastAsia="宋体" w:cs="宋体"/>
                <w:sz w:val="17"/>
              </w:rPr>
              <w:t>意角落，都可以看清</w:t>
            </w:r>
            <w:r>
              <w:rPr>
                <w:rFonts w:hint="eastAsia" w:ascii="宋体" w:hAnsi="宋体" w:eastAsia="宋体" w:cs="宋体"/>
                <w:spacing w:val="5"/>
                <w:sz w:val="17"/>
              </w:rPr>
              <w:t>PPT</w:t>
            </w:r>
            <w:r>
              <w:rPr>
                <w:rFonts w:hint="eastAsia" w:ascii="宋体" w:hAnsi="宋体" w:eastAsia="宋体" w:cs="宋体"/>
                <w:sz w:val="17"/>
              </w:rPr>
              <w:t>中的内容；</w:t>
            </w:r>
          </w:p>
          <w:p>
            <w:pPr>
              <w:pStyle w:val="19"/>
              <w:numPr>
                <w:ilvl w:val="1"/>
                <w:numId w:val="79"/>
              </w:numPr>
              <w:tabs>
                <w:tab w:val="left" w:pos="366"/>
              </w:tabs>
              <w:spacing w:before="1" w:after="0" w:line="240" w:lineRule="auto"/>
              <w:ind w:left="365" w:right="0" w:hanging="266"/>
              <w:jc w:val="left"/>
              <w:rPr>
                <w:rFonts w:hint="eastAsia" w:ascii="宋体" w:hAnsi="宋体" w:eastAsia="宋体" w:cs="宋体"/>
                <w:sz w:val="17"/>
              </w:rPr>
            </w:pPr>
            <w:r>
              <w:rPr>
                <w:rFonts w:hint="eastAsia" w:ascii="宋体" w:hAnsi="宋体" w:eastAsia="宋体" w:cs="宋体"/>
                <w:sz w:val="17"/>
              </w:rPr>
              <w:t>第一视角功能：学生拥有第一视角窗口，无论坐在授课厅哪个角落，都可以看清老师完整的实操过程；</w:t>
            </w:r>
          </w:p>
          <w:p>
            <w:pPr>
              <w:pStyle w:val="19"/>
              <w:numPr>
                <w:ilvl w:val="1"/>
                <w:numId w:val="79"/>
              </w:numPr>
              <w:tabs>
                <w:tab w:val="left" w:pos="366"/>
              </w:tabs>
              <w:spacing w:before="167" w:after="0" w:line="240" w:lineRule="auto"/>
              <w:ind w:left="365" w:right="0" w:hanging="266"/>
              <w:jc w:val="left"/>
              <w:rPr>
                <w:rFonts w:hint="eastAsia" w:ascii="宋体" w:hAnsi="宋体" w:eastAsia="宋体" w:cs="宋体"/>
                <w:sz w:val="17"/>
              </w:rPr>
            </w:pPr>
            <w:r>
              <w:rPr>
                <w:rFonts w:hint="eastAsia" w:ascii="宋体" w:hAnsi="宋体" w:eastAsia="宋体" w:cs="宋体"/>
                <w:sz w:val="17"/>
              </w:rPr>
              <w:t>机器人课件：内置实训资源模型，通过教师在虚拟环境中对工业机器人边实操边讲解；</w:t>
            </w:r>
          </w:p>
          <w:p>
            <w:pPr>
              <w:pStyle w:val="19"/>
              <w:numPr>
                <w:ilvl w:val="1"/>
                <w:numId w:val="79"/>
              </w:numPr>
              <w:tabs>
                <w:tab w:val="left" w:pos="366"/>
              </w:tabs>
              <w:spacing w:before="166" w:after="0" w:line="422" w:lineRule="auto"/>
              <w:ind w:left="100" w:right="181" w:firstLine="0"/>
              <w:jc w:val="left"/>
              <w:rPr>
                <w:rFonts w:hint="eastAsia" w:ascii="宋体" w:hAnsi="宋体" w:eastAsia="宋体" w:cs="宋体"/>
                <w:sz w:val="17"/>
              </w:rPr>
            </w:pPr>
            <w:r>
              <w:rPr>
                <w:rFonts w:hint="eastAsia" w:ascii="宋体" w:hAnsi="宋体" w:eastAsia="宋体" w:cs="宋体"/>
                <w:spacing w:val="-1"/>
                <w:w w:val="95"/>
                <w:sz w:val="17"/>
              </w:rPr>
              <w:t xml:space="preserve">举手：支持课堂中学生随时举手，举手后老师侧显示举手标识，老师可以通过连线的方式进行语音连接，在老师和   </w:t>
            </w:r>
            <w:r>
              <w:rPr>
                <w:rFonts w:hint="eastAsia" w:ascii="宋体" w:hAnsi="宋体" w:eastAsia="宋体" w:cs="宋体"/>
                <w:sz w:val="17"/>
              </w:rPr>
              <w:t>学生连线的过程中，场景内所有的学生都可以试试听到该学生与老师之间的通话；</w:t>
            </w:r>
          </w:p>
          <w:p>
            <w:pPr>
              <w:pStyle w:val="19"/>
              <w:numPr>
                <w:ilvl w:val="1"/>
                <w:numId w:val="79"/>
              </w:numPr>
              <w:tabs>
                <w:tab w:val="left" w:pos="366"/>
              </w:tabs>
              <w:spacing w:before="1" w:after="0" w:line="240" w:lineRule="auto"/>
              <w:ind w:left="365" w:right="0" w:hanging="266"/>
              <w:jc w:val="left"/>
              <w:rPr>
                <w:rFonts w:hint="eastAsia" w:ascii="宋体" w:hAnsi="宋体" w:eastAsia="宋体" w:cs="宋体"/>
                <w:sz w:val="17"/>
              </w:rPr>
            </w:pPr>
            <w:r>
              <w:rPr>
                <w:rFonts w:hint="eastAsia" w:ascii="宋体" w:hAnsi="宋体" w:eastAsia="宋体" w:cs="宋体"/>
                <w:sz w:val="17"/>
              </w:rPr>
              <w:t>机器人重置模式：学生或老师操作完成后支持重置机器人教学，增加了对模型设备操作灵活性；</w:t>
            </w:r>
          </w:p>
          <w:p>
            <w:pPr>
              <w:pStyle w:val="19"/>
              <w:numPr>
                <w:ilvl w:val="1"/>
                <w:numId w:val="79"/>
              </w:numPr>
              <w:tabs>
                <w:tab w:val="left" w:pos="366"/>
              </w:tabs>
              <w:spacing w:before="167" w:after="0" w:line="422" w:lineRule="auto"/>
              <w:ind w:left="100" w:right="181" w:firstLine="0"/>
              <w:jc w:val="left"/>
              <w:rPr>
                <w:rFonts w:hint="eastAsia" w:ascii="宋体" w:hAnsi="宋体" w:eastAsia="宋体" w:cs="宋体"/>
                <w:sz w:val="17"/>
              </w:rPr>
            </w:pPr>
            <w:r>
              <w:rPr>
                <w:rFonts w:hint="eastAsia" w:ascii="宋体" w:hAnsi="宋体" w:eastAsia="宋体" w:cs="宋体"/>
                <w:spacing w:val="-1"/>
                <w:w w:val="95"/>
                <w:sz w:val="17"/>
              </w:rPr>
              <w:t xml:space="preserve">指定操作：通过教师指定学生操作，在课堂中可以随时检验学生的听课效果，在学生操作同时，场景内所有的学生   </w:t>
            </w:r>
            <w:r>
              <w:rPr>
                <w:rFonts w:hint="eastAsia" w:ascii="宋体" w:hAnsi="宋体" w:eastAsia="宋体" w:cs="宋体"/>
                <w:sz w:val="17"/>
              </w:rPr>
              <w:t>都可以实时查看该学生的操作过程；</w:t>
            </w:r>
          </w:p>
          <w:p>
            <w:pPr>
              <w:pStyle w:val="19"/>
              <w:numPr>
                <w:ilvl w:val="1"/>
                <w:numId w:val="79"/>
              </w:numPr>
              <w:tabs>
                <w:tab w:val="left" w:pos="366"/>
              </w:tabs>
              <w:spacing w:before="1" w:after="0" w:line="422" w:lineRule="auto"/>
              <w:ind w:left="100" w:right="181" w:firstLine="0"/>
              <w:jc w:val="left"/>
              <w:rPr>
                <w:rFonts w:hint="eastAsia" w:ascii="宋体" w:hAnsi="宋体" w:eastAsia="宋体" w:cs="宋体"/>
                <w:sz w:val="17"/>
              </w:rPr>
            </w:pPr>
            <w:r>
              <w:rPr>
                <w:rFonts w:hint="eastAsia" w:ascii="宋体" w:hAnsi="宋体" w:eastAsia="宋体" w:cs="宋体"/>
                <w:spacing w:val="-1"/>
                <w:w w:val="95"/>
                <w:sz w:val="17"/>
              </w:rPr>
              <w:t xml:space="preserve">指定回答：通过教师指定学生回答，在课堂中可以随时检验学生的听课效果，在学生回答同时，场景内所有的学生   </w:t>
            </w:r>
            <w:r>
              <w:rPr>
                <w:rFonts w:hint="eastAsia" w:ascii="宋体" w:hAnsi="宋体" w:eastAsia="宋体" w:cs="宋体"/>
                <w:sz w:val="17"/>
              </w:rPr>
              <w:t>都可以实时听到该学生与老师之间的通话；</w:t>
            </w:r>
          </w:p>
          <w:p>
            <w:pPr>
              <w:pStyle w:val="19"/>
              <w:numPr>
                <w:ilvl w:val="1"/>
                <w:numId w:val="79"/>
              </w:numPr>
              <w:tabs>
                <w:tab w:val="left" w:pos="366"/>
              </w:tabs>
              <w:spacing w:before="2" w:after="0" w:line="240" w:lineRule="auto"/>
              <w:ind w:left="365" w:right="0" w:hanging="266"/>
              <w:jc w:val="left"/>
              <w:rPr>
                <w:rFonts w:hint="eastAsia" w:ascii="宋体" w:hAnsi="宋体" w:eastAsia="宋体" w:cs="宋体"/>
                <w:sz w:val="17"/>
              </w:rPr>
            </w:pPr>
            <w:r>
              <w:rPr>
                <w:rFonts w:hint="eastAsia" w:ascii="宋体" w:hAnsi="宋体" w:eastAsia="宋体" w:cs="宋体"/>
                <w:sz w:val="17"/>
              </w:rPr>
              <w:t>声音控制：支持老师全员静音，对单个学生的声音控制；</w:t>
            </w:r>
          </w:p>
          <w:p>
            <w:pPr>
              <w:pStyle w:val="19"/>
              <w:numPr>
                <w:ilvl w:val="0"/>
                <w:numId w:val="80"/>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学生个人实操</w:t>
            </w:r>
          </w:p>
          <w:p>
            <w:pPr>
              <w:pStyle w:val="19"/>
              <w:numPr>
                <w:ilvl w:val="1"/>
                <w:numId w:val="80"/>
              </w:numPr>
              <w:tabs>
                <w:tab w:val="left" w:pos="366"/>
              </w:tabs>
              <w:spacing w:before="166" w:after="0" w:line="240" w:lineRule="auto"/>
              <w:ind w:left="365" w:right="0" w:hanging="266"/>
              <w:jc w:val="left"/>
              <w:rPr>
                <w:rFonts w:hint="eastAsia" w:ascii="宋体" w:hAnsi="宋体" w:eastAsia="宋体" w:cs="宋体"/>
                <w:sz w:val="17"/>
              </w:rPr>
            </w:pPr>
            <w:r>
              <w:rPr>
                <w:rFonts w:hint="eastAsia" w:ascii="宋体" w:hAnsi="宋体" w:eastAsia="宋体" w:cs="宋体"/>
                <w:sz w:val="17"/>
              </w:rPr>
              <w:t>开启个人练习：支持老师在课中开启个人练习，授课厅内的每位学生可进入自己的实训练习空间；</w:t>
            </w:r>
          </w:p>
          <w:p>
            <w:pPr>
              <w:pStyle w:val="19"/>
              <w:numPr>
                <w:ilvl w:val="1"/>
                <w:numId w:val="80"/>
              </w:numPr>
              <w:tabs>
                <w:tab w:val="left" w:pos="366"/>
              </w:tabs>
              <w:spacing w:before="167" w:after="0" w:line="422" w:lineRule="auto"/>
              <w:ind w:left="100" w:right="181" w:firstLine="0"/>
              <w:jc w:val="left"/>
              <w:rPr>
                <w:rFonts w:hint="eastAsia" w:ascii="宋体" w:hAnsi="宋体" w:eastAsia="宋体" w:cs="宋体"/>
                <w:sz w:val="17"/>
              </w:rPr>
            </w:pPr>
            <w:r>
              <w:rPr>
                <w:rFonts w:hint="eastAsia" w:ascii="宋体" w:hAnsi="宋体" w:eastAsia="宋体" w:cs="宋体"/>
                <w:w w:val="95"/>
                <w:sz w:val="17"/>
              </w:rPr>
              <w:t>练习监控面板：支持在学生实操练习的过程中，老师可以监控每位学生的练习进度以及异常情况（练习停滞），</w:t>
            </w:r>
            <w:r>
              <w:rPr>
                <w:rFonts w:hint="eastAsia" w:ascii="宋体" w:hAnsi="宋体" w:eastAsia="宋体" w:cs="宋体"/>
                <w:spacing w:val="-16"/>
                <w:w w:val="95"/>
                <w:sz w:val="17"/>
              </w:rPr>
              <w:t xml:space="preserve">该   </w:t>
            </w:r>
            <w:r>
              <w:rPr>
                <w:rFonts w:hint="eastAsia" w:ascii="宋体" w:hAnsi="宋体" w:eastAsia="宋体" w:cs="宋体"/>
                <w:sz w:val="17"/>
              </w:rPr>
              <w:t>功能起到更好的监管效果；</w:t>
            </w:r>
          </w:p>
          <w:p>
            <w:pPr>
              <w:pStyle w:val="19"/>
              <w:numPr>
                <w:ilvl w:val="1"/>
                <w:numId w:val="80"/>
              </w:numPr>
              <w:tabs>
                <w:tab w:val="left" w:pos="366"/>
              </w:tabs>
              <w:spacing w:before="1" w:after="0" w:line="422" w:lineRule="auto"/>
              <w:ind w:left="100" w:right="181" w:firstLine="0"/>
              <w:jc w:val="left"/>
              <w:rPr>
                <w:rFonts w:hint="eastAsia" w:ascii="宋体" w:hAnsi="宋体" w:eastAsia="宋体" w:cs="宋体"/>
                <w:sz w:val="17"/>
              </w:rPr>
            </w:pPr>
            <w:r>
              <w:rPr>
                <w:rFonts w:hint="eastAsia" w:ascii="宋体" w:hAnsi="宋体" w:eastAsia="宋体" w:cs="宋体"/>
                <w:spacing w:val="-1"/>
                <w:w w:val="95"/>
                <w:sz w:val="17"/>
              </w:rPr>
              <w:t xml:space="preserve">老师场景介入：支持在学生实操练习过程中，老师可以随时介入每位学生的练习场景，进行语音指导，师生之间互   </w:t>
            </w:r>
            <w:r>
              <w:rPr>
                <w:rFonts w:hint="eastAsia" w:ascii="宋体" w:hAnsi="宋体" w:eastAsia="宋体" w:cs="宋体"/>
                <w:sz w:val="17"/>
              </w:rPr>
              <w:t>相可以看到。师生之间的语音交流，其它场景内的学生也一并可以听到；</w:t>
            </w:r>
          </w:p>
          <w:p>
            <w:pPr>
              <w:pStyle w:val="19"/>
              <w:numPr>
                <w:ilvl w:val="1"/>
                <w:numId w:val="80"/>
              </w:numPr>
              <w:tabs>
                <w:tab w:val="left" w:pos="366"/>
              </w:tabs>
              <w:spacing w:before="2" w:after="0" w:line="240" w:lineRule="auto"/>
              <w:ind w:left="365" w:right="0" w:hanging="266"/>
              <w:jc w:val="left"/>
              <w:rPr>
                <w:rFonts w:hint="eastAsia" w:ascii="宋体" w:hAnsi="宋体" w:eastAsia="宋体" w:cs="宋体"/>
                <w:sz w:val="17"/>
              </w:rPr>
            </w:pPr>
            <w:r>
              <w:rPr>
                <w:rFonts w:hint="eastAsia" w:ascii="宋体" w:hAnsi="宋体" w:eastAsia="宋体" w:cs="宋体"/>
                <w:sz w:val="17"/>
              </w:rPr>
              <w:t>全员学生练习：学生进入自己实训练习空间进行练习，实训空间内有步骤提醒，学生可根据高亮部分进行练习；</w:t>
            </w:r>
          </w:p>
          <w:p>
            <w:pPr>
              <w:pStyle w:val="19"/>
              <w:numPr>
                <w:ilvl w:val="0"/>
                <w:numId w:val="81"/>
              </w:numPr>
              <w:tabs>
                <w:tab w:val="left" w:pos="264"/>
              </w:tabs>
              <w:spacing w:before="166" w:after="0" w:line="240" w:lineRule="auto"/>
              <w:ind w:left="263" w:right="0" w:hanging="164"/>
              <w:jc w:val="left"/>
              <w:rPr>
                <w:rFonts w:hint="eastAsia" w:ascii="宋体" w:hAnsi="宋体" w:eastAsia="宋体" w:cs="宋体"/>
                <w:sz w:val="17"/>
              </w:rPr>
            </w:pPr>
            <w:r>
              <w:rPr>
                <w:rFonts w:hint="eastAsia" w:ascii="宋体" w:hAnsi="宋体" w:eastAsia="宋体" w:cs="宋体"/>
                <w:sz w:val="17"/>
              </w:rPr>
              <w:t>课堂数据</w:t>
            </w:r>
          </w:p>
          <w:p>
            <w:pPr>
              <w:pStyle w:val="19"/>
              <w:numPr>
                <w:ilvl w:val="1"/>
                <w:numId w:val="81"/>
              </w:numPr>
              <w:tabs>
                <w:tab w:val="left" w:pos="366"/>
              </w:tabs>
              <w:spacing w:before="166" w:after="0" w:line="422" w:lineRule="auto"/>
              <w:ind w:left="100" w:right="181" w:firstLine="0"/>
              <w:jc w:val="left"/>
              <w:rPr>
                <w:rFonts w:hint="eastAsia" w:ascii="宋体" w:hAnsi="宋体" w:eastAsia="宋体" w:cs="宋体"/>
                <w:sz w:val="17"/>
              </w:rPr>
            </w:pPr>
            <w:r>
              <w:rPr>
                <w:rFonts w:hint="eastAsia" w:ascii="宋体" w:hAnsi="宋体" w:eastAsia="宋体" w:cs="宋体"/>
                <w:w w:val="95"/>
                <w:sz w:val="17"/>
              </w:rPr>
              <w:t>老师端：数据报告（每位学生的姓名、听课时长、练习步骤完成率、每个步骤的操作的时间、练习总时间）；</w:t>
            </w:r>
            <w:r>
              <w:rPr>
                <w:rFonts w:hint="eastAsia" w:ascii="宋体" w:hAnsi="宋体" w:eastAsia="宋体" w:cs="宋体"/>
                <w:spacing w:val="-8"/>
                <w:w w:val="95"/>
                <w:sz w:val="17"/>
              </w:rPr>
              <w:t xml:space="preserve">【需   </w:t>
            </w:r>
            <w:r>
              <w:rPr>
                <w:rFonts w:hint="eastAsia" w:ascii="宋体" w:hAnsi="宋体" w:eastAsia="宋体" w:cs="宋体"/>
                <w:sz w:val="17"/>
              </w:rPr>
              <w:t>提供软件截图】</w:t>
            </w:r>
          </w:p>
          <w:p>
            <w:pPr>
              <w:pStyle w:val="19"/>
              <w:numPr>
                <w:ilvl w:val="1"/>
                <w:numId w:val="81"/>
              </w:numPr>
              <w:tabs>
                <w:tab w:val="left" w:pos="366"/>
              </w:tabs>
              <w:spacing w:before="2" w:after="0" w:line="240" w:lineRule="auto"/>
              <w:ind w:left="365" w:right="0" w:hanging="266"/>
              <w:jc w:val="left"/>
              <w:rPr>
                <w:rFonts w:hint="eastAsia" w:ascii="宋体" w:hAnsi="宋体" w:eastAsia="宋体" w:cs="宋体"/>
                <w:sz w:val="17"/>
              </w:rPr>
            </w:pPr>
            <w:r>
              <w:rPr>
                <w:rFonts w:hint="eastAsia" w:ascii="宋体" w:hAnsi="宋体" w:eastAsia="宋体" w:cs="宋体"/>
                <w:w w:val="95"/>
                <w:sz w:val="17"/>
              </w:rPr>
              <w:t>学生端：数据报告（该学生的姓名、听课时长、举手</w:t>
            </w:r>
            <w:r>
              <w:rPr>
                <w:rFonts w:hint="eastAsia" w:ascii="宋体" w:hAnsi="宋体" w:eastAsia="宋体" w:cs="宋体"/>
                <w:spacing w:val="3"/>
                <w:w w:val="95"/>
                <w:sz w:val="17"/>
              </w:rPr>
              <w:t>/</w:t>
            </w:r>
            <w:r>
              <w:rPr>
                <w:rFonts w:hint="eastAsia" w:ascii="宋体" w:hAnsi="宋体" w:eastAsia="宋体" w:cs="宋体"/>
                <w:w w:val="95"/>
                <w:sz w:val="17"/>
              </w:rPr>
              <w:t>应答、练习步骤完成率、每个步骤的操作的时间、练习总时间</w:t>
            </w:r>
          </w:p>
          <w:p>
            <w:pPr>
              <w:pStyle w:val="19"/>
              <w:spacing w:before="166"/>
              <w:ind w:left="100"/>
              <w:rPr>
                <w:rFonts w:hint="eastAsia" w:ascii="宋体" w:hAnsi="宋体" w:eastAsia="宋体" w:cs="宋体"/>
                <w:sz w:val="17"/>
              </w:rPr>
            </w:pPr>
            <w:r>
              <w:rPr>
                <w:rFonts w:hint="eastAsia" w:ascii="宋体" w:hAnsi="宋体" w:eastAsia="宋体" w:cs="宋体"/>
                <w:sz w:val="17"/>
              </w:rPr>
              <w:t>。；【需提供软件截图】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056" w:type="dxa"/>
          </w:tcPr>
          <w:p>
            <w:pPr>
              <w:pStyle w:val="19"/>
              <w:spacing w:before="60"/>
              <w:ind w:left="100"/>
              <w:rPr>
                <w:rFonts w:hint="eastAsia" w:ascii="宋体" w:hAnsi="宋体" w:eastAsia="宋体" w:cs="宋体"/>
                <w:sz w:val="19"/>
              </w:rPr>
            </w:pPr>
            <w:r>
              <w:rPr>
                <w:rFonts w:hint="eastAsia" w:ascii="宋体" w:hAnsi="宋体" w:eastAsia="宋体" w:cs="宋体"/>
                <w:sz w:val="19"/>
              </w:rPr>
              <w:t>说明</w:t>
            </w:r>
          </w:p>
        </w:tc>
        <w:tc>
          <w:tcPr>
            <w:tcW w:w="9494" w:type="dxa"/>
            <w:gridSpan w:val="2"/>
          </w:tcPr>
          <w:p>
            <w:pPr>
              <w:pStyle w:val="19"/>
              <w:spacing w:before="60"/>
              <w:ind w:left="100"/>
              <w:rPr>
                <w:rFonts w:hint="eastAsia" w:ascii="宋体" w:hAnsi="宋体" w:eastAsia="宋体" w:cs="宋体"/>
                <w:sz w:val="19"/>
              </w:rPr>
            </w:pPr>
            <w:r>
              <w:rPr>
                <w:rFonts w:hint="eastAsia" w:ascii="宋体" w:hAnsi="宋体" w:eastAsia="宋体" w:cs="宋体"/>
                <w:sz w:val="19"/>
              </w:rPr>
              <w:t>打“★”号条款为实质性条款，若有任何一条负偏离或不满足则导致投标无效。</w:t>
            </w:r>
          </w:p>
        </w:tc>
      </w:tr>
    </w:tbl>
    <w:p>
      <w:pPr>
        <w:spacing w:after="0"/>
        <w:rPr>
          <w:rFonts w:hint="eastAsia" w:ascii="宋体" w:hAnsi="宋体" w:eastAsia="宋体" w:cs="宋体"/>
          <w:sz w:val="19"/>
        </w:rPr>
        <w:sectPr>
          <w:pgSz w:w="11900" w:h="16840"/>
          <w:pgMar w:top="560" w:right="560" w:bottom="200" w:left="540" w:header="0" w:footer="13" w:gutter="0"/>
          <w:cols w:space="720" w:num="1"/>
        </w:sectPr>
      </w:pPr>
    </w:p>
    <w:p>
      <w:pPr>
        <w:spacing w:before="48"/>
        <w:ind w:left="2374" w:right="2381" w:firstLine="0"/>
        <w:jc w:val="center"/>
        <w:rPr>
          <w:rFonts w:hint="eastAsia" w:ascii="宋体" w:hAnsi="宋体" w:eastAsia="宋体" w:cs="宋体"/>
          <w:b/>
          <w:sz w:val="21"/>
        </w:rPr>
      </w:pPr>
      <w:r>
        <w:rPr>
          <w:rFonts w:hint="eastAsia" w:ascii="宋体" w:hAnsi="宋体" w:eastAsia="宋体" w:cs="宋体"/>
          <w:b/>
          <w:sz w:val="21"/>
        </w:rPr>
        <w:t>第五章 供应商资格证明及相关文件要求</w:t>
      </w:r>
    </w:p>
    <w:p>
      <w:pPr>
        <w:pStyle w:val="9"/>
        <w:rPr>
          <w:rFonts w:hint="eastAsia" w:ascii="宋体" w:hAnsi="宋体" w:eastAsia="宋体" w:cs="宋体"/>
          <w:b/>
          <w:sz w:val="22"/>
        </w:rPr>
      </w:pPr>
    </w:p>
    <w:p>
      <w:pPr>
        <w:pStyle w:val="9"/>
        <w:spacing w:before="153" w:line="379" w:lineRule="auto"/>
        <w:ind w:left="126" w:right="109" w:firstLine="384"/>
        <w:rPr>
          <w:rFonts w:hint="eastAsia" w:ascii="宋体" w:hAnsi="宋体" w:eastAsia="宋体" w:cs="宋体"/>
        </w:rPr>
      </w:pPr>
      <w:r>
        <w:rPr>
          <w:rFonts w:hint="eastAsia" w:ascii="宋体" w:hAnsi="宋体" w:eastAsia="宋体" w:cs="宋体"/>
        </w:rPr>
        <w:t>供应商应提交证明其有资格参加投标和中标后有能力履行合同的相关文件，并作为其响应文件的一部分，所有文件必须真实可靠、不得伪造，否则将按相关规定予以处罚。</w:t>
      </w:r>
    </w:p>
    <w:p>
      <w:pPr>
        <w:pStyle w:val="18"/>
        <w:numPr>
          <w:ilvl w:val="1"/>
          <w:numId w:val="33"/>
        </w:numPr>
        <w:tabs>
          <w:tab w:val="left" w:pos="693"/>
        </w:tabs>
        <w:spacing w:before="0" w:after="0" w:line="242" w:lineRule="exact"/>
        <w:ind w:left="692" w:right="0" w:hanging="183"/>
        <w:jc w:val="left"/>
        <w:rPr>
          <w:rFonts w:hint="eastAsia" w:ascii="宋体" w:hAnsi="宋体" w:eastAsia="宋体" w:cs="宋体"/>
          <w:sz w:val="19"/>
        </w:rPr>
      </w:pPr>
      <w:r>
        <w:rPr>
          <w:rFonts w:hint="eastAsia" w:ascii="宋体" w:hAnsi="宋体" w:eastAsia="宋体" w:cs="宋体"/>
          <w:sz w:val="19"/>
        </w:rPr>
        <w:t>法人或者其他组织的营业执照等证明文件，自然人的身份证明：</w:t>
      </w:r>
    </w:p>
    <w:p>
      <w:pPr>
        <w:pStyle w:val="18"/>
        <w:numPr>
          <w:ilvl w:val="0"/>
          <w:numId w:val="82"/>
        </w:numPr>
        <w:tabs>
          <w:tab w:val="left" w:pos="1016"/>
        </w:tabs>
        <w:spacing w:before="141"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法人包括企业法人、机关法人、事业单位法人和社会团体法人；其他组织主要包括合伙企业、非企业专业服务机  构、个体工商户、农村承包经营户；自然人是指《中华人民共和国民法通则》（以下简称《民法通则》）</w:t>
      </w:r>
      <w:r>
        <w:rPr>
          <w:rFonts w:hint="eastAsia" w:ascii="宋体" w:hAnsi="宋体" w:eastAsia="宋体" w:cs="宋体"/>
          <w:spacing w:val="-2"/>
          <w:sz w:val="19"/>
        </w:rPr>
        <w:t>规定的具有完全民事</w:t>
      </w:r>
      <w:r>
        <w:rPr>
          <w:rFonts w:hint="eastAsia" w:ascii="宋体" w:hAnsi="宋体" w:eastAsia="宋体" w:cs="宋体"/>
          <w:sz w:val="19"/>
        </w:rPr>
        <w:t>行为能力、能够承担民事责任和义务的公民。如供应商是企业（包括合伙企业），要提供在工商部门注册的有效</w:t>
      </w:r>
      <w:r>
        <w:rPr>
          <w:rFonts w:hint="eastAsia" w:ascii="宋体" w:hAnsi="宋体" w:eastAsia="宋体" w:cs="宋体"/>
          <w:spacing w:val="-4"/>
          <w:sz w:val="19"/>
        </w:rPr>
        <w:t>“</w:t>
      </w:r>
      <w:r>
        <w:rPr>
          <w:rFonts w:hint="eastAsia" w:ascii="宋体" w:hAnsi="宋体" w:eastAsia="宋体" w:cs="宋体"/>
          <w:sz w:val="19"/>
        </w:rPr>
        <w:t>企业法人营 业执照</w:t>
      </w:r>
      <w:r>
        <w:rPr>
          <w:rFonts w:hint="eastAsia" w:ascii="宋体" w:hAnsi="宋体" w:eastAsia="宋体" w:cs="宋体"/>
          <w:spacing w:val="-4"/>
          <w:sz w:val="19"/>
        </w:rPr>
        <w:t>”</w:t>
      </w:r>
      <w:r>
        <w:rPr>
          <w:rFonts w:hint="eastAsia" w:ascii="宋体" w:hAnsi="宋体" w:eastAsia="宋体" w:cs="宋体"/>
          <w:sz w:val="19"/>
        </w:rPr>
        <w:t>或</w:t>
      </w:r>
      <w:r>
        <w:rPr>
          <w:rFonts w:hint="eastAsia" w:ascii="宋体" w:hAnsi="宋体" w:eastAsia="宋体" w:cs="宋体"/>
          <w:spacing w:val="-4"/>
          <w:sz w:val="19"/>
        </w:rPr>
        <w:t>“</w:t>
      </w:r>
      <w:r>
        <w:rPr>
          <w:rFonts w:hint="eastAsia" w:ascii="宋体" w:hAnsi="宋体" w:eastAsia="宋体" w:cs="宋体"/>
          <w:sz w:val="19"/>
        </w:rPr>
        <w:t>营业执照”；如供应商是事业单位，要提供有效的</w:t>
      </w:r>
      <w:r>
        <w:rPr>
          <w:rFonts w:hint="eastAsia" w:ascii="宋体" w:hAnsi="宋体" w:eastAsia="宋体" w:cs="宋体"/>
          <w:spacing w:val="-4"/>
          <w:sz w:val="19"/>
        </w:rPr>
        <w:t>“</w:t>
      </w:r>
      <w:r>
        <w:rPr>
          <w:rFonts w:hint="eastAsia" w:ascii="宋体" w:hAnsi="宋体" w:eastAsia="宋体" w:cs="宋体"/>
          <w:sz w:val="19"/>
        </w:rPr>
        <w:t>事业单位法人证书”；供应商是非企业专业服务机构的，如律师 事务所，会计师事务所要提供执业许可证等证明文件；如供应商是个体工商户，要提供有效的</w:t>
      </w:r>
      <w:r>
        <w:rPr>
          <w:rFonts w:hint="eastAsia" w:ascii="宋体" w:hAnsi="宋体" w:eastAsia="宋体" w:cs="宋体"/>
          <w:spacing w:val="-4"/>
          <w:sz w:val="19"/>
        </w:rPr>
        <w:t>“</w:t>
      </w:r>
      <w:r>
        <w:rPr>
          <w:rFonts w:hint="eastAsia" w:ascii="宋体" w:hAnsi="宋体" w:eastAsia="宋体" w:cs="宋体"/>
          <w:sz w:val="19"/>
        </w:rPr>
        <w:t>个体工商户营业执照”</w:t>
      </w:r>
      <w:r>
        <w:rPr>
          <w:rFonts w:hint="eastAsia" w:ascii="宋体" w:hAnsi="宋体" w:eastAsia="宋体" w:cs="宋体"/>
          <w:spacing w:val="-5"/>
          <w:sz w:val="19"/>
        </w:rPr>
        <w:t>；如供应</w:t>
      </w:r>
      <w:r>
        <w:rPr>
          <w:rFonts w:hint="eastAsia" w:ascii="宋体" w:hAnsi="宋体" w:eastAsia="宋体" w:cs="宋体"/>
          <w:sz w:val="19"/>
        </w:rPr>
        <w:t>商是自然人，要提供有效的自然人身份证明。</w:t>
      </w:r>
    </w:p>
    <w:p>
      <w:pPr>
        <w:pStyle w:val="18"/>
        <w:numPr>
          <w:ilvl w:val="0"/>
          <w:numId w:val="82"/>
        </w:numPr>
        <w:tabs>
          <w:tab w:val="left" w:pos="1016"/>
        </w:tabs>
        <w:spacing w:before="0" w:after="0" w:line="379" w:lineRule="auto"/>
        <w:ind w:left="126" w:right="181" w:firstLine="384"/>
        <w:jc w:val="both"/>
        <w:rPr>
          <w:rFonts w:hint="eastAsia" w:ascii="宋体" w:hAnsi="宋体" w:eastAsia="宋体" w:cs="宋体"/>
          <w:sz w:val="19"/>
        </w:rPr>
      </w:pPr>
      <w:r>
        <w:rPr>
          <w:rFonts w:hint="eastAsia" w:ascii="宋体" w:hAnsi="宋体" w:eastAsia="宋体" w:cs="宋体"/>
          <w:sz w:val="19"/>
        </w:rPr>
        <w:t>这里所指</w:t>
      </w:r>
      <w:r>
        <w:rPr>
          <w:rFonts w:hint="eastAsia" w:ascii="宋体" w:hAnsi="宋体" w:eastAsia="宋体" w:cs="宋体"/>
          <w:spacing w:val="-4"/>
          <w:sz w:val="19"/>
        </w:rPr>
        <w:t>“</w:t>
      </w:r>
      <w:r>
        <w:rPr>
          <w:rFonts w:hint="eastAsia" w:ascii="宋体" w:hAnsi="宋体" w:eastAsia="宋体" w:cs="宋体"/>
          <w:sz w:val="19"/>
        </w:rPr>
        <w:t>其他组织</w:t>
      </w:r>
      <w:r>
        <w:rPr>
          <w:rFonts w:hint="eastAsia" w:ascii="宋体" w:hAnsi="宋体" w:eastAsia="宋体" w:cs="宋体"/>
          <w:spacing w:val="-4"/>
          <w:sz w:val="19"/>
        </w:rPr>
        <w:t>”</w:t>
      </w:r>
      <w:r>
        <w:rPr>
          <w:rFonts w:hint="eastAsia" w:ascii="宋体" w:hAnsi="宋体" w:eastAsia="宋体" w:cs="宋体"/>
          <w:spacing w:val="-1"/>
          <w:sz w:val="19"/>
        </w:rPr>
        <w:t>不包括法人的分支机构，由于法人分支机构不能独立承担民事责任，不能以分支机构的身份参</w:t>
      </w:r>
      <w:r>
        <w:rPr>
          <w:rFonts w:hint="eastAsia" w:ascii="宋体" w:hAnsi="宋体" w:eastAsia="宋体" w:cs="宋体"/>
          <w:sz w:val="19"/>
        </w:rPr>
        <w:t>加政府采购，只能以法人身份参加。</w:t>
      </w:r>
      <w:r>
        <w:rPr>
          <w:rFonts w:hint="eastAsia" w:ascii="宋体" w:hAnsi="宋体" w:eastAsia="宋体" w:cs="宋体"/>
          <w:spacing w:val="-4"/>
          <w:sz w:val="19"/>
        </w:rPr>
        <w:t>“</w:t>
      </w:r>
      <w:r>
        <w:rPr>
          <w:rFonts w:hint="eastAsia" w:ascii="宋体" w:hAnsi="宋体" w:eastAsia="宋体" w:cs="宋体"/>
          <w:sz w:val="19"/>
        </w:rPr>
        <w:t>但由于银行、保险、石油石化、电力、电信等行业具有其特殊性，如果能够提供其法人给予的相应授权证明材料，可以参加政府采购活动</w:t>
      </w:r>
      <w:r>
        <w:rPr>
          <w:rFonts w:hint="eastAsia" w:ascii="宋体" w:hAnsi="宋体" w:eastAsia="宋体" w:cs="宋体"/>
          <w:spacing w:val="-4"/>
          <w:sz w:val="19"/>
        </w:rPr>
        <w:t>”</w:t>
      </w:r>
      <w:r>
        <w:rPr>
          <w:rFonts w:hint="eastAsia" w:ascii="宋体" w:hAnsi="宋体" w:eastAsia="宋体" w:cs="宋体"/>
          <w:sz w:val="19"/>
        </w:rPr>
        <w:t>。</w:t>
      </w:r>
    </w:p>
    <w:p>
      <w:pPr>
        <w:pStyle w:val="18"/>
        <w:numPr>
          <w:ilvl w:val="1"/>
          <w:numId w:val="33"/>
        </w:numPr>
        <w:tabs>
          <w:tab w:val="left" w:pos="693"/>
        </w:tabs>
        <w:spacing w:before="0" w:after="0" w:line="242" w:lineRule="exact"/>
        <w:ind w:left="692" w:right="0" w:hanging="183"/>
        <w:jc w:val="left"/>
        <w:rPr>
          <w:rFonts w:hint="eastAsia" w:ascii="宋体" w:hAnsi="宋体" w:eastAsia="宋体" w:cs="宋体"/>
          <w:sz w:val="19"/>
        </w:rPr>
      </w:pPr>
      <w:r>
        <w:rPr>
          <w:rFonts w:hint="eastAsia" w:ascii="宋体" w:hAnsi="宋体" w:eastAsia="宋体" w:cs="宋体"/>
          <w:sz w:val="19"/>
        </w:rPr>
        <w:t>供应商应符合《中华人民共和国政府采购法》第二十二条规定的条件，提供标准格式的《资格承诺函》。</w:t>
      </w:r>
    </w:p>
    <w:p>
      <w:pPr>
        <w:pStyle w:val="18"/>
        <w:numPr>
          <w:ilvl w:val="1"/>
          <w:numId w:val="33"/>
        </w:numPr>
        <w:tabs>
          <w:tab w:val="left" w:pos="693"/>
        </w:tabs>
        <w:spacing w:before="137" w:after="0" w:line="240" w:lineRule="auto"/>
        <w:ind w:left="692" w:right="0" w:hanging="183"/>
        <w:jc w:val="left"/>
        <w:rPr>
          <w:rFonts w:hint="eastAsia" w:ascii="宋体" w:hAnsi="宋体" w:eastAsia="宋体" w:cs="宋体"/>
          <w:sz w:val="19"/>
        </w:rPr>
      </w:pPr>
      <w:r>
        <w:rPr>
          <w:rFonts w:hint="eastAsia" w:ascii="宋体" w:hAnsi="宋体" w:eastAsia="宋体" w:cs="宋体"/>
          <w:sz w:val="19"/>
        </w:rPr>
        <w:t>信用记录查询</w:t>
      </w:r>
    </w:p>
    <w:p>
      <w:pPr>
        <w:pStyle w:val="18"/>
        <w:numPr>
          <w:ilvl w:val="0"/>
          <w:numId w:val="83"/>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w w:val="110"/>
          <w:sz w:val="19"/>
        </w:rPr>
        <w:t>查询渠道：通过</w:t>
      </w:r>
      <w:r>
        <w:rPr>
          <w:rFonts w:hint="eastAsia" w:ascii="宋体" w:hAnsi="宋体" w:eastAsia="宋体" w:cs="宋体"/>
          <w:spacing w:val="-4"/>
          <w:w w:val="110"/>
          <w:sz w:val="19"/>
        </w:rPr>
        <w:t>“</w:t>
      </w:r>
      <w:r>
        <w:rPr>
          <w:rFonts w:hint="eastAsia" w:ascii="宋体" w:hAnsi="宋体" w:eastAsia="宋体" w:cs="宋体"/>
          <w:w w:val="110"/>
          <w:sz w:val="19"/>
        </w:rPr>
        <w:t>信用中国</w:t>
      </w:r>
      <w:r>
        <w:rPr>
          <w:rFonts w:hint="eastAsia" w:ascii="宋体" w:hAnsi="宋体" w:eastAsia="宋体" w:cs="宋体"/>
          <w:spacing w:val="-4"/>
          <w:w w:val="110"/>
          <w:sz w:val="19"/>
        </w:rPr>
        <w:t>”</w:t>
      </w:r>
      <w:r>
        <w:rPr>
          <w:rFonts w:hint="eastAsia" w:ascii="宋体" w:hAnsi="宋体" w:eastAsia="宋体" w:cs="宋体"/>
          <w:w w:val="110"/>
          <w:sz w:val="19"/>
        </w:rPr>
        <w:t>网站</w:t>
      </w:r>
      <w:r>
        <w:rPr>
          <w:rFonts w:hint="eastAsia" w:ascii="宋体" w:hAnsi="宋体" w:eastAsia="宋体" w:cs="宋体"/>
          <w:spacing w:val="-4"/>
          <w:w w:val="110"/>
          <w:sz w:val="19"/>
        </w:rPr>
        <w:t>(www.creditchina.gov.cn)</w:t>
      </w:r>
      <w:r>
        <w:rPr>
          <w:rFonts w:hint="eastAsia" w:ascii="宋体" w:hAnsi="宋体" w:eastAsia="宋体" w:cs="宋体"/>
          <w:w w:val="110"/>
          <w:sz w:val="19"/>
        </w:rPr>
        <w:t>和</w:t>
      </w:r>
      <w:r>
        <w:rPr>
          <w:rFonts w:hint="eastAsia" w:ascii="宋体" w:hAnsi="宋体" w:eastAsia="宋体" w:cs="宋体"/>
          <w:spacing w:val="-4"/>
          <w:w w:val="110"/>
          <w:sz w:val="19"/>
        </w:rPr>
        <w:t>“</w:t>
      </w:r>
      <w:r>
        <w:rPr>
          <w:rFonts w:hint="eastAsia" w:ascii="宋体" w:hAnsi="宋体" w:eastAsia="宋体" w:cs="宋体"/>
          <w:w w:val="110"/>
          <w:sz w:val="19"/>
        </w:rPr>
        <w:t>中国政府采购网”（</w:t>
      </w:r>
      <w:r>
        <w:rPr>
          <w:rFonts w:hint="eastAsia" w:ascii="宋体" w:hAnsi="宋体" w:eastAsia="宋体" w:cs="宋体"/>
        </w:rPr>
        <w:fldChar w:fldCharType="begin"/>
      </w:r>
      <w:r>
        <w:rPr>
          <w:rFonts w:hint="eastAsia" w:ascii="宋体" w:hAnsi="宋体" w:eastAsia="宋体" w:cs="宋体"/>
        </w:rPr>
        <w:instrText xml:space="preserve"> HYPERLINK "http://www.ccgp.gov.cn/" \h </w:instrText>
      </w:r>
      <w:r>
        <w:rPr>
          <w:rFonts w:hint="eastAsia" w:ascii="宋体" w:hAnsi="宋体" w:eastAsia="宋体" w:cs="宋体"/>
        </w:rPr>
        <w:fldChar w:fldCharType="separate"/>
      </w:r>
      <w:r>
        <w:rPr>
          <w:rFonts w:hint="eastAsia" w:ascii="宋体" w:hAnsi="宋体" w:eastAsia="宋体" w:cs="宋体"/>
          <w:w w:val="110"/>
          <w:sz w:val="19"/>
        </w:rPr>
        <w:t>www.ccgp.gov.cn</w:t>
      </w:r>
      <w:r>
        <w:rPr>
          <w:rFonts w:hint="eastAsia" w:ascii="宋体" w:hAnsi="宋体" w:eastAsia="宋体" w:cs="宋体"/>
          <w:w w:val="110"/>
          <w:sz w:val="19"/>
        </w:rPr>
        <w:fldChar w:fldCharType="end"/>
      </w:r>
      <w:r>
        <w:rPr>
          <w:rFonts w:hint="eastAsia" w:ascii="宋体" w:hAnsi="宋体" w:eastAsia="宋体" w:cs="宋体"/>
          <w:w w:val="110"/>
          <w:sz w:val="19"/>
        </w:rPr>
        <w:t>）进行查</w:t>
      </w:r>
    </w:p>
    <w:p>
      <w:pPr>
        <w:pStyle w:val="9"/>
        <w:spacing w:before="141"/>
        <w:ind w:left="126"/>
        <w:rPr>
          <w:rFonts w:hint="eastAsia" w:ascii="宋体" w:hAnsi="宋体" w:eastAsia="宋体" w:cs="宋体"/>
        </w:rPr>
      </w:pPr>
      <w:r>
        <w:rPr>
          <w:rFonts w:hint="eastAsia" w:ascii="宋体" w:hAnsi="宋体" w:eastAsia="宋体" w:cs="宋体"/>
        </w:rPr>
        <w:t>询；</w:t>
      </w:r>
    </w:p>
    <w:p>
      <w:pPr>
        <w:pStyle w:val="18"/>
        <w:numPr>
          <w:ilvl w:val="0"/>
          <w:numId w:val="83"/>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查询截止时点：本项目资格审查时查询；</w:t>
      </w:r>
    </w:p>
    <w:p>
      <w:pPr>
        <w:pStyle w:val="18"/>
        <w:numPr>
          <w:ilvl w:val="0"/>
          <w:numId w:val="83"/>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查询记录：对列入失信被执行人、重大税收违法案件当事人名单、政府采购严重违法失信行为记录名单、信用报告</w:t>
      </w:r>
    </w:p>
    <w:p>
      <w:pPr>
        <w:pStyle w:val="9"/>
        <w:spacing w:before="141"/>
        <w:ind w:left="126"/>
        <w:rPr>
          <w:rFonts w:hint="eastAsia" w:ascii="宋体" w:hAnsi="宋体" w:eastAsia="宋体" w:cs="宋体"/>
        </w:rPr>
      </w:pPr>
      <w:r>
        <w:rPr>
          <w:rFonts w:hint="eastAsia" w:ascii="宋体" w:hAnsi="宋体" w:eastAsia="宋体" w:cs="宋体"/>
        </w:rPr>
        <w:t>进行查询；</w:t>
      </w:r>
    </w:p>
    <w:p>
      <w:pPr>
        <w:pStyle w:val="18"/>
        <w:numPr>
          <w:ilvl w:val="1"/>
          <w:numId w:val="33"/>
        </w:numPr>
        <w:tabs>
          <w:tab w:val="left" w:pos="693"/>
        </w:tabs>
        <w:spacing w:before="140" w:after="0" w:line="379" w:lineRule="auto"/>
        <w:ind w:left="126" w:right="121" w:firstLine="384"/>
        <w:jc w:val="left"/>
        <w:rPr>
          <w:rFonts w:hint="eastAsia" w:ascii="宋体" w:hAnsi="宋体" w:eastAsia="宋体" w:cs="宋体"/>
          <w:sz w:val="19"/>
        </w:rPr>
      </w:pPr>
      <w:r>
        <w:rPr>
          <w:rFonts w:hint="eastAsia" w:ascii="宋体" w:hAnsi="宋体" w:eastAsia="宋体" w:cs="宋体"/>
          <w:spacing w:val="-1"/>
          <w:sz w:val="19"/>
        </w:rPr>
        <w:t>磋商小组应当按照查询渠道、查询时间节点、查询记录内容进行查询。对信用记录查询结果中显示供应商被列入失信被</w:t>
      </w:r>
      <w:r>
        <w:rPr>
          <w:rFonts w:hint="eastAsia" w:ascii="宋体" w:hAnsi="宋体" w:eastAsia="宋体" w:cs="宋体"/>
          <w:sz w:val="19"/>
        </w:rPr>
        <w:t>执行人、重大税收违法案件当事人名单、政府采购严重违法失信行为记录名单的供应商作无效投标处理并将截图存档。</w:t>
      </w:r>
    </w:p>
    <w:p>
      <w:pPr>
        <w:pStyle w:val="18"/>
        <w:numPr>
          <w:ilvl w:val="1"/>
          <w:numId w:val="33"/>
        </w:numPr>
        <w:tabs>
          <w:tab w:val="left" w:pos="693"/>
        </w:tabs>
        <w:spacing w:before="0" w:after="0" w:line="242" w:lineRule="exact"/>
        <w:ind w:left="692" w:right="0" w:hanging="183"/>
        <w:jc w:val="left"/>
        <w:rPr>
          <w:rFonts w:hint="eastAsia" w:ascii="宋体" w:hAnsi="宋体" w:eastAsia="宋体" w:cs="宋体"/>
          <w:sz w:val="19"/>
        </w:rPr>
      </w:pPr>
      <w:r>
        <w:rPr>
          <w:rFonts w:hint="eastAsia" w:ascii="宋体" w:hAnsi="宋体" w:eastAsia="宋体" w:cs="宋体"/>
          <w:sz w:val="19"/>
        </w:rPr>
        <w:t>按照磋商文件要求，成交人应当提交的资格、资信证明文件。</w:t>
      </w:r>
    </w:p>
    <w:p>
      <w:pPr>
        <w:spacing w:after="0" w:line="242" w:lineRule="exact"/>
        <w:jc w:val="left"/>
        <w:rPr>
          <w:rFonts w:hint="eastAsia" w:ascii="宋体" w:hAnsi="宋体" w:eastAsia="宋体" w:cs="宋体"/>
          <w:sz w:val="19"/>
        </w:rPr>
        <w:sectPr>
          <w:pgSz w:w="11900" w:h="16840"/>
          <w:pgMar w:top="900" w:right="560" w:bottom="200" w:left="540" w:header="0" w:footer="13" w:gutter="0"/>
          <w:cols w:space="720" w:num="1"/>
        </w:sectPr>
      </w:pPr>
    </w:p>
    <w:p>
      <w:pPr>
        <w:pStyle w:val="3"/>
        <w:rPr>
          <w:rFonts w:hint="eastAsia" w:ascii="宋体" w:hAnsi="宋体" w:eastAsia="宋体" w:cs="宋体"/>
        </w:rPr>
      </w:pPr>
      <w:r>
        <w:rPr>
          <w:rFonts w:hint="eastAsia" w:ascii="宋体" w:hAnsi="宋体" w:eastAsia="宋体" w:cs="宋体"/>
        </w:rPr>
        <w:t>第六章 评审</w:t>
      </w:r>
    </w:p>
    <w:p>
      <w:pPr>
        <w:pStyle w:val="9"/>
        <w:rPr>
          <w:rFonts w:hint="eastAsia" w:ascii="宋体" w:hAnsi="宋体" w:eastAsia="宋体" w:cs="宋体"/>
          <w:b/>
          <w:sz w:val="20"/>
        </w:rPr>
      </w:pPr>
    </w:p>
    <w:p>
      <w:pPr>
        <w:pStyle w:val="9"/>
        <w:spacing w:before="4"/>
        <w:rPr>
          <w:rFonts w:hint="eastAsia" w:ascii="宋体" w:hAnsi="宋体" w:eastAsia="宋体" w:cs="宋体"/>
          <w:b/>
          <w:sz w:val="21"/>
        </w:rPr>
      </w:pPr>
    </w:p>
    <w:p>
      <w:pPr>
        <w:pStyle w:val="4"/>
        <w:spacing w:before="76"/>
        <w:rPr>
          <w:rFonts w:hint="eastAsia" w:ascii="宋体" w:hAnsi="宋体" w:eastAsia="宋体" w:cs="宋体"/>
        </w:rPr>
      </w:pPr>
      <w:r>
        <w:rPr>
          <w:rFonts w:hint="eastAsia" w:ascii="宋体" w:hAnsi="宋体" w:eastAsia="宋体" w:cs="宋体"/>
        </w:rPr>
        <w:t>一、评审要求</w:t>
      </w:r>
    </w:p>
    <w:p>
      <w:pPr>
        <w:pStyle w:val="5"/>
        <w:numPr>
          <w:ilvl w:val="0"/>
          <w:numId w:val="84"/>
        </w:numPr>
        <w:tabs>
          <w:tab w:val="left" w:pos="333"/>
        </w:tabs>
        <w:spacing w:before="173" w:after="0" w:line="350" w:lineRule="exact"/>
        <w:ind w:left="332" w:right="0" w:hanging="207"/>
        <w:jc w:val="left"/>
        <w:rPr>
          <w:rFonts w:hint="eastAsia" w:ascii="宋体" w:hAnsi="宋体" w:eastAsia="宋体" w:cs="宋体"/>
        </w:rPr>
      </w:pPr>
      <w:r>
        <w:rPr>
          <w:rFonts w:hint="eastAsia" w:ascii="宋体" w:hAnsi="宋体" w:eastAsia="宋体" w:cs="宋体"/>
          <w:spacing w:val="8"/>
        </w:rPr>
        <w:t>评标方法</w:t>
      </w:r>
    </w:p>
    <w:p>
      <w:pPr>
        <w:pStyle w:val="9"/>
        <w:spacing w:before="11" w:line="225" w:lineRule="auto"/>
        <w:ind w:left="126" w:right="109"/>
        <w:rPr>
          <w:rFonts w:hint="eastAsia" w:ascii="宋体" w:hAnsi="宋体" w:eastAsia="宋体" w:cs="宋体"/>
        </w:rPr>
      </w:pPr>
      <w:r>
        <w:rPr>
          <w:rFonts w:hint="eastAsia" w:ascii="宋体" w:hAnsi="宋体" w:eastAsia="宋体" w:cs="宋体"/>
        </w:rPr>
        <w:t>综合评分法：是指响应文件满足磋商文件全部实质性要求，且按照评审因素的量化指标评审得分最高的投标人为中标候选人的评标方法。（最低报价不是中标的唯一依据。）</w:t>
      </w:r>
    </w:p>
    <w:p>
      <w:pPr>
        <w:pStyle w:val="5"/>
        <w:numPr>
          <w:ilvl w:val="0"/>
          <w:numId w:val="84"/>
        </w:numPr>
        <w:tabs>
          <w:tab w:val="left" w:pos="333"/>
        </w:tabs>
        <w:spacing w:before="118" w:after="0" w:line="240" w:lineRule="auto"/>
        <w:ind w:left="332" w:right="0" w:hanging="207"/>
        <w:jc w:val="left"/>
        <w:rPr>
          <w:rFonts w:hint="eastAsia" w:ascii="宋体" w:hAnsi="宋体" w:eastAsia="宋体" w:cs="宋体"/>
        </w:rPr>
      </w:pPr>
      <w:r>
        <w:rPr>
          <w:rFonts w:hint="eastAsia" w:ascii="宋体" w:hAnsi="宋体" w:eastAsia="宋体" w:cs="宋体"/>
          <w:spacing w:val="8"/>
        </w:rPr>
        <w:t>评标原则</w:t>
      </w:r>
    </w:p>
    <w:p>
      <w:pPr>
        <w:pStyle w:val="18"/>
        <w:numPr>
          <w:ilvl w:val="1"/>
          <w:numId w:val="84"/>
        </w:numPr>
        <w:tabs>
          <w:tab w:val="left" w:pos="814"/>
        </w:tabs>
        <w:spacing w:before="71"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评审活动遵循公平、公正、科学和择优的原则，以磋商文件和响应文件为评审的基本依据，并按照磋商文件规定的评</w:t>
      </w:r>
      <w:r>
        <w:rPr>
          <w:rFonts w:hint="eastAsia" w:ascii="宋体" w:hAnsi="宋体" w:eastAsia="宋体" w:cs="宋体"/>
          <w:sz w:val="19"/>
        </w:rPr>
        <w:t>审方法和评审标准进行评审。</w:t>
      </w:r>
    </w:p>
    <w:p>
      <w:pPr>
        <w:pStyle w:val="18"/>
        <w:numPr>
          <w:ilvl w:val="1"/>
          <w:numId w:val="84"/>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z w:val="19"/>
        </w:rPr>
        <w:t>具体评审事项由磋商小组负责，并按磋商文件的规定办法进行评审。</w:t>
      </w:r>
    </w:p>
    <w:p>
      <w:pPr>
        <w:pStyle w:val="9"/>
        <w:spacing w:before="7"/>
        <w:rPr>
          <w:rFonts w:hint="eastAsia" w:ascii="宋体" w:hAnsi="宋体" w:eastAsia="宋体" w:cs="宋体"/>
          <w:sz w:val="15"/>
        </w:rPr>
      </w:pPr>
    </w:p>
    <w:p>
      <w:pPr>
        <w:pStyle w:val="5"/>
        <w:numPr>
          <w:ilvl w:val="0"/>
          <w:numId w:val="84"/>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8"/>
        </w:rPr>
        <w:t>磋商小组</w:t>
      </w:r>
    </w:p>
    <w:p>
      <w:pPr>
        <w:pStyle w:val="18"/>
        <w:numPr>
          <w:ilvl w:val="1"/>
          <w:numId w:val="84"/>
        </w:numPr>
        <w:tabs>
          <w:tab w:val="left" w:pos="814"/>
        </w:tabs>
        <w:spacing w:before="7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磋商小组由采购人代表和评审专家共</w:t>
      </w:r>
      <w:r>
        <w:rPr>
          <w:rFonts w:hint="eastAsia" w:ascii="宋体" w:hAnsi="宋体" w:eastAsia="宋体" w:cs="宋体"/>
          <w:spacing w:val="-3"/>
          <w:sz w:val="19"/>
        </w:rPr>
        <w:t>3</w:t>
      </w:r>
      <w:r>
        <w:rPr>
          <w:rFonts w:hint="eastAsia" w:ascii="宋体" w:hAnsi="宋体" w:eastAsia="宋体" w:cs="宋体"/>
          <w:sz w:val="19"/>
        </w:rPr>
        <w:t>人以上单数组成，其中评审专家人数不得少于磋商小组成员总数的</w:t>
      </w:r>
      <w:r>
        <w:rPr>
          <w:rFonts w:hint="eastAsia" w:ascii="宋体" w:hAnsi="宋体" w:eastAsia="宋体" w:cs="宋体"/>
          <w:spacing w:val="-4"/>
          <w:sz w:val="19"/>
        </w:rPr>
        <w:t>2/3</w:t>
      </w:r>
      <w:r>
        <w:rPr>
          <w:rFonts w:hint="eastAsia" w:ascii="宋体" w:hAnsi="宋体" w:eastAsia="宋体" w:cs="宋体"/>
          <w:sz w:val="19"/>
        </w:rPr>
        <w:t>。</w:t>
      </w:r>
    </w:p>
    <w:p>
      <w:pPr>
        <w:pStyle w:val="18"/>
        <w:numPr>
          <w:ilvl w:val="1"/>
          <w:numId w:val="84"/>
        </w:numPr>
        <w:tabs>
          <w:tab w:val="left" w:pos="871"/>
        </w:tabs>
        <w:spacing w:before="141" w:after="0" w:line="240" w:lineRule="auto"/>
        <w:ind w:left="870" w:right="0" w:hanging="361"/>
        <w:jc w:val="left"/>
        <w:rPr>
          <w:rFonts w:hint="eastAsia" w:ascii="宋体" w:hAnsi="宋体" w:eastAsia="宋体" w:cs="宋体"/>
          <w:sz w:val="19"/>
        </w:rPr>
      </w:pPr>
      <w:r>
        <w:rPr>
          <w:rFonts w:hint="eastAsia" w:ascii="宋体" w:hAnsi="宋体" w:eastAsia="宋体" w:cs="宋体"/>
          <w:sz w:val="19"/>
        </w:rPr>
        <w:t>磋商小组成员有下列情形之一的，应当回避：</w:t>
      </w:r>
    </w:p>
    <w:p>
      <w:pPr>
        <w:pStyle w:val="18"/>
        <w:numPr>
          <w:ilvl w:val="0"/>
          <w:numId w:val="85"/>
        </w:numPr>
        <w:tabs>
          <w:tab w:val="left" w:pos="1016"/>
        </w:tabs>
        <w:spacing w:before="140" w:after="0" w:line="379" w:lineRule="auto"/>
        <w:ind w:left="126" w:right="193" w:firstLine="384"/>
        <w:jc w:val="left"/>
        <w:rPr>
          <w:rFonts w:hint="eastAsia" w:ascii="宋体" w:hAnsi="宋体" w:eastAsia="宋体" w:cs="宋体"/>
          <w:sz w:val="19"/>
        </w:rPr>
      </w:pPr>
      <w:r>
        <w:rPr>
          <w:rFonts w:hint="eastAsia" w:ascii="宋体" w:hAnsi="宋体" w:eastAsia="宋体" w:cs="宋体"/>
          <w:sz w:val="19"/>
        </w:rPr>
        <w:t>参加采购活动前三年内,与供应商存在劳动关系,或者担任过供应商的董事、监事,</w:t>
      </w:r>
      <w:r>
        <w:rPr>
          <w:rFonts w:hint="eastAsia" w:ascii="宋体" w:hAnsi="宋体" w:eastAsia="宋体" w:cs="宋体"/>
          <w:spacing w:val="-1"/>
          <w:sz w:val="19"/>
        </w:rPr>
        <w:t>或者是供应商的控股股东或实际控</w:t>
      </w:r>
      <w:r>
        <w:rPr>
          <w:rFonts w:hint="eastAsia" w:ascii="宋体" w:hAnsi="宋体" w:eastAsia="宋体" w:cs="宋体"/>
          <w:w w:val="105"/>
          <w:sz w:val="19"/>
        </w:rPr>
        <w:t>制人；</w:t>
      </w:r>
    </w:p>
    <w:p>
      <w:pPr>
        <w:pStyle w:val="18"/>
        <w:numPr>
          <w:ilvl w:val="0"/>
          <w:numId w:val="85"/>
        </w:numPr>
        <w:tabs>
          <w:tab w:val="left" w:pos="1016"/>
        </w:tabs>
        <w:spacing w:before="0" w:after="0" w:line="242" w:lineRule="exact"/>
        <w:ind w:left="1015" w:right="0" w:hanging="506"/>
        <w:jc w:val="left"/>
        <w:rPr>
          <w:rFonts w:hint="eastAsia" w:ascii="宋体" w:hAnsi="宋体" w:eastAsia="宋体" w:cs="宋体"/>
          <w:sz w:val="19"/>
        </w:rPr>
      </w:pPr>
      <w:r>
        <w:rPr>
          <w:rFonts w:hint="eastAsia" w:ascii="宋体" w:hAnsi="宋体" w:eastAsia="宋体" w:cs="宋体"/>
          <w:sz w:val="19"/>
        </w:rPr>
        <w:t>与供应商的法定代表人或者负责人有夫妻、直系血亲、三代以内旁系血亲或者近姻亲关系；</w:t>
      </w:r>
    </w:p>
    <w:p>
      <w:pPr>
        <w:pStyle w:val="18"/>
        <w:numPr>
          <w:ilvl w:val="0"/>
          <w:numId w:val="85"/>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与供应商有其他可能影响政府采购活动公平、公正进行的关系；</w:t>
      </w:r>
    </w:p>
    <w:p>
      <w:pPr>
        <w:pStyle w:val="18"/>
        <w:numPr>
          <w:ilvl w:val="1"/>
          <w:numId w:val="84"/>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磋商小组负责具体评标事务，并独立履行下列职责：</w:t>
      </w:r>
    </w:p>
    <w:p>
      <w:pPr>
        <w:pStyle w:val="18"/>
        <w:numPr>
          <w:ilvl w:val="0"/>
          <w:numId w:val="86"/>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审查、评价响应文件是否符合磋商文件的商务、技术等实质性要求；</w:t>
      </w:r>
    </w:p>
    <w:p>
      <w:pPr>
        <w:pStyle w:val="18"/>
        <w:numPr>
          <w:ilvl w:val="0"/>
          <w:numId w:val="86"/>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要求供应商对响应文件有关事项作出澄清或者说明，与供应商进行分别磋商；</w:t>
      </w:r>
    </w:p>
    <w:p>
      <w:pPr>
        <w:pStyle w:val="18"/>
        <w:numPr>
          <w:ilvl w:val="0"/>
          <w:numId w:val="86"/>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对响应文件进行比较和评价；</w:t>
      </w:r>
    </w:p>
    <w:p>
      <w:pPr>
        <w:pStyle w:val="18"/>
        <w:numPr>
          <w:ilvl w:val="0"/>
          <w:numId w:val="86"/>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确定成交候选人名单，以及根据采购人委托直接确定供应商；</w:t>
      </w:r>
    </w:p>
    <w:p>
      <w:pPr>
        <w:pStyle w:val="18"/>
        <w:numPr>
          <w:ilvl w:val="0"/>
          <w:numId w:val="86"/>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向采购人、采购代理机构或者有关部门报告评审中发现的违法行为；</w:t>
      </w:r>
    </w:p>
    <w:p>
      <w:pPr>
        <w:pStyle w:val="18"/>
        <w:numPr>
          <w:ilvl w:val="0"/>
          <w:numId w:val="86"/>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法律法规规定的其他职责。</w:t>
      </w:r>
    </w:p>
    <w:p>
      <w:pPr>
        <w:pStyle w:val="9"/>
        <w:spacing w:before="7"/>
        <w:rPr>
          <w:rFonts w:hint="eastAsia" w:ascii="宋体" w:hAnsi="宋体" w:eastAsia="宋体" w:cs="宋体"/>
          <w:sz w:val="15"/>
        </w:rPr>
      </w:pPr>
    </w:p>
    <w:p>
      <w:pPr>
        <w:pStyle w:val="5"/>
        <w:numPr>
          <w:ilvl w:val="0"/>
          <w:numId w:val="84"/>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6"/>
        </w:rPr>
        <w:t>澄清</w:t>
      </w:r>
    </w:p>
    <w:p>
      <w:pPr>
        <w:pStyle w:val="9"/>
        <w:spacing w:before="71" w:line="379" w:lineRule="auto"/>
        <w:ind w:left="126" w:right="109" w:firstLine="384"/>
        <w:jc w:val="both"/>
        <w:rPr>
          <w:rFonts w:hint="eastAsia" w:ascii="宋体" w:hAnsi="宋体" w:eastAsia="宋体" w:cs="宋体"/>
        </w:rPr>
      </w:pPr>
      <w:r>
        <w:rPr>
          <w:rFonts w:hint="eastAsia" w:ascii="宋体" w:hAnsi="宋体" w:eastAsia="宋体" w:cs="宋体"/>
        </w:rPr>
        <w:t>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供应商的澄清、说明或者更正应当采用书面形式，并加盖公章，或者由法定代表人或其授权的代表签字。供应商的澄清、说明或者更正不得超出响应文件的范围或者改变响应文件的实质性内容。</w:t>
      </w:r>
    </w:p>
    <w:p>
      <w:pPr>
        <w:pStyle w:val="18"/>
        <w:numPr>
          <w:ilvl w:val="1"/>
          <w:numId w:val="84"/>
        </w:numPr>
        <w:tabs>
          <w:tab w:val="left" w:pos="814"/>
        </w:tabs>
        <w:spacing w:before="0" w:after="0" w:line="241" w:lineRule="exact"/>
        <w:ind w:left="813" w:right="0" w:hanging="304"/>
        <w:jc w:val="left"/>
        <w:rPr>
          <w:rFonts w:hint="eastAsia" w:ascii="宋体" w:hAnsi="宋体" w:eastAsia="宋体" w:cs="宋体"/>
          <w:sz w:val="19"/>
        </w:rPr>
      </w:pPr>
      <w:r>
        <w:rPr>
          <w:rFonts w:hint="eastAsia" w:ascii="宋体" w:hAnsi="宋体" w:eastAsia="宋体" w:cs="宋体"/>
          <w:sz w:val="19"/>
        </w:rPr>
        <w:t>磋商小组不接受供应商主动提出的澄清、说明或更正。</w:t>
      </w:r>
    </w:p>
    <w:p>
      <w:pPr>
        <w:pStyle w:val="18"/>
        <w:numPr>
          <w:ilvl w:val="1"/>
          <w:numId w:val="84"/>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磋商小组对供应商提交的澄清、说明或更正有疑问的，可以要求供应商进一步澄清、说明或更正。</w:t>
      </w:r>
    </w:p>
    <w:p>
      <w:pPr>
        <w:pStyle w:val="9"/>
        <w:spacing w:before="7"/>
        <w:rPr>
          <w:rFonts w:hint="eastAsia" w:ascii="宋体" w:hAnsi="宋体" w:eastAsia="宋体" w:cs="宋体"/>
          <w:sz w:val="15"/>
        </w:rPr>
      </w:pPr>
    </w:p>
    <w:p>
      <w:pPr>
        <w:pStyle w:val="5"/>
        <w:numPr>
          <w:ilvl w:val="0"/>
          <w:numId w:val="84"/>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11"/>
        </w:rPr>
        <w:t>有下列情形之一的，视为供应商串通投标</w:t>
      </w:r>
    </w:p>
    <w:p>
      <w:pPr>
        <w:pStyle w:val="18"/>
        <w:numPr>
          <w:ilvl w:val="1"/>
          <w:numId w:val="84"/>
        </w:numPr>
        <w:tabs>
          <w:tab w:val="left" w:pos="814"/>
        </w:tabs>
        <w:spacing w:before="7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不同供应商的响应文件由同一单位或者个人编制；（不同供应商响应文件上传的项目内部识别码一致）；</w:t>
      </w:r>
    </w:p>
    <w:p>
      <w:pPr>
        <w:pStyle w:val="18"/>
        <w:numPr>
          <w:ilvl w:val="1"/>
          <w:numId w:val="84"/>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不同供应商委托同一单位或者个人办理投标事宜；</w:t>
      </w:r>
    </w:p>
    <w:p>
      <w:pPr>
        <w:pStyle w:val="18"/>
        <w:numPr>
          <w:ilvl w:val="1"/>
          <w:numId w:val="84"/>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不同供应商的响应文件载明的项目管理成员或者联系人员为同一人；</w:t>
      </w:r>
    </w:p>
    <w:p>
      <w:pPr>
        <w:pStyle w:val="18"/>
        <w:numPr>
          <w:ilvl w:val="1"/>
          <w:numId w:val="84"/>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不同供应商的响应文件异常一致或者投标报价呈规律性差异；</w:t>
      </w:r>
    </w:p>
    <w:p>
      <w:pPr>
        <w:pStyle w:val="18"/>
        <w:numPr>
          <w:ilvl w:val="1"/>
          <w:numId w:val="84"/>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不同供应商的响应文件相互混装；</w:t>
      </w:r>
    </w:p>
    <w:p>
      <w:pPr>
        <w:pStyle w:val="18"/>
        <w:numPr>
          <w:ilvl w:val="1"/>
          <w:numId w:val="84"/>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不同供应商的投标保证金为从同一单位或个人的账户转出；</w:t>
      </w:r>
    </w:p>
    <w:p>
      <w:pPr>
        <w:pStyle w:val="9"/>
        <w:spacing w:before="141"/>
        <w:ind w:left="510"/>
        <w:rPr>
          <w:rFonts w:hint="eastAsia" w:ascii="宋体" w:hAnsi="宋体" w:eastAsia="宋体" w:cs="宋体"/>
        </w:rPr>
      </w:pPr>
      <w:r>
        <w:rPr>
          <w:rFonts w:hint="eastAsia" w:ascii="宋体" w:hAnsi="宋体" w:eastAsia="宋体" w:cs="宋体"/>
        </w:rPr>
        <w:t>说明：在项目评审时被认定为串通投标的供应商不得参加该合同项下的采购活动</w:t>
      </w:r>
    </w:p>
    <w:p>
      <w:pPr>
        <w:spacing w:after="0"/>
        <w:rPr>
          <w:rFonts w:hint="eastAsia" w:ascii="宋体" w:hAnsi="宋体" w:eastAsia="宋体" w:cs="宋体"/>
        </w:rPr>
        <w:sectPr>
          <w:pgSz w:w="11900" w:h="16840"/>
          <w:pgMar w:top="900" w:right="560" w:bottom="280" w:left="540" w:header="0" w:footer="13" w:gutter="0"/>
          <w:cols w:space="720" w:num="1"/>
        </w:sectPr>
      </w:pPr>
    </w:p>
    <w:p>
      <w:pPr>
        <w:pStyle w:val="5"/>
        <w:numPr>
          <w:ilvl w:val="0"/>
          <w:numId w:val="84"/>
        </w:numPr>
        <w:tabs>
          <w:tab w:val="left" w:pos="333"/>
        </w:tabs>
        <w:spacing w:before="7" w:after="0" w:line="240" w:lineRule="auto"/>
        <w:ind w:left="332" w:right="0" w:hanging="207"/>
        <w:jc w:val="left"/>
        <w:rPr>
          <w:rFonts w:hint="eastAsia" w:ascii="宋体" w:hAnsi="宋体" w:eastAsia="宋体" w:cs="宋体"/>
        </w:rPr>
      </w:pPr>
      <w:r>
        <w:rPr>
          <w:rFonts w:hint="eastAsia" w:ascii="宋体" w:hAnsi="宋体" w:eastAsia="宋体" w:cs="宋体"/>
          <w:spacing w:val="11"/>
        </w:rPr>
        <w:t>有下列情形之一的，属于恶意串通投标</w:t>
      </w:r>
    </w:p>
    <w:p>
      <w:pPr>
        <w:pStyle w:val="18"/>
        <w:numPr>
          <w:ilvl w:val="1"/>
          <w:numId w:val="84"/>
        </w:numPr>
        <w:tabs>
          <w:tab w:val="left" w:pos="814"/>
        </w:tabs>
        <w:spacing w:before="7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供应商直接或者间接从采购人或者采购代理机构处获得其他供应商的相关情况并修改其响应文件或者响应文件；</w:t>
      </w:r>
    </w:p>
    <w:p>
      <w:pPr>
        <w:pStyle w:val="18"/>
        <w:numPr>
          <w:ilvl w:val="1"/>
          <w:numId w:val="84"/>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供应商按照采购人或者采购代理机构的授意撤换、修改响应文件或者响应文件；</w:t>
      </w:r>
    </w:p>
    <w:p>
      <w:pPr>
        <w:pStyle w:val="18"/>
        <w:numPr>
          <w:ilvl w:val="1"/>
          <w:numId w:val="84"/>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供应商之间协商报价、技术方案等响应文件或者响应文件的实质性内容；</w:t>
      </w:r>
    </w:p>
    <w:p>
      <w:pPr>
        <w:pStyle w:val="18"/>
        <w:numPr>
          <w:ilvl w:val="1"/>
          <w:numId w:val="84"/>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属于同一集团、协会、商会等组织成员的供应商按照该组织要求协同参加政府采购活动；</w:t>
      </w:r>
    </w:p>
    <w:p>
      <w:pPr>
        <w:pStyle w:val="18"/>
        <w:numPr>
          <w:ilvl w:val="1"/>
          <w:numId w:val="84"/>
        </w:numPr>
        <w:tabs>
          <w:tab w:val="left" w:pos="814"/>
        </w:tabs>
        <w:spacing w:before="140"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供应商之间事先约定由某一特定供应商成交、成交；</w:t>
      </w:r>
    </w:p>
    <w:p>
      <w:pPr>
        <w:pStyle w:val="18"/>
        <w:numPr>
          <w:ilvl w:val="1"/>
          <w:numId w:val="84"/>
        </w:numPr>
        <w:tabs>
          <w:tab w:val="left" w:pos="814"/>
        </w:tabs>
        <w:spacing w:before="14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供应商之间商定部分供应商放弃参加政府采购活动或者放弃成交、成交；</w:t>
      </w:r>
    </w:p>
    <w:p>
      <w:pPr>
        <w:pStyle w:val="18"/>
        <w:numPr>
          <w:ilvl w:val="1"/>
          <w:numId w:val="84"/>
        </w:numPr>
        <w:tabs>
          <w:tab w:val="left" w:pos="814"/>
        </w:tabs>
        <w:spacing w:before="141"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供应商与采购人或者采购代理机构之间、供应商相互之间，为谋求特定供应商成交、成交或者排斥其他供应商的其他</w:t>
      </w:r>
      <w:r>
        <w:rPr>
          <w:rFonts w:hint="eastAsia" w:ascii="宋体" w:hAnsi="宋体" w:eastAsia="宋体" w:cs="宋体"/>
          <w:sz w:val="19"/>
        </w:rPr>
        <w:t>串通行为。</w:t>
      </w:r>
    </w:p>
    <w:p>
      <w:pPr>
        <w:pStyle w:val="5"/>
        <w:numPr>
          <w:ilvl w:val="0"/>
          <w:numId w:val="84"/>
        </w:numPr>
        <w:tabs>
          <w:tab w:val="left" w:pos="333"/>
        </w:tabs>
        <w:spacing w:before="58" w:after="0" w:line="240" w:lineRule="auto"/>
        <w:ind w:left="332" w:right="0" w:hanging="207"/>
        <w:jc w:val="left"/>
        <w:rPr>
          <w:rFonts w:hint="eastAsia" w:ascii="宋体" w:hAnsi="宋体" w:eastAsia="宋体" w:cs="宋体"/>
        </w:rPr>
      </w:pPr>
      <w:r>
        <w:rPr>
          <w:rFonts w:hint="eastAsia" w:ascii="宋体" w:hAnsi="宋体" w:eastAsia="宋体" w:cs="宋体"/>
          <w:spacing w:val="10"/>
        </w:rPr>
        <w:t>投标无效的情形</w:t>
      </w:r>
    </w:p>
    <w:p>
      <w:pPr>
        <w:pStyle w:val="18"/>
        <w:numPr>
          <w:ilvl w:val="1"/>
          <w:numId w:val="84"/>
        </w:numPr>
        <w:tabs>
          <w:tab w:val="left" w:pos="814"/>
        </w:tabs>
        <w:spacing w:before="71" w:after="0" w:line="240" w:lineRule="auto"/>
        <w:ind w:left="813" w:right="0" w:hanging="304"/>
        <w:jc w:val="left"/>
        <w:rPr>
          <w:rFonts w:hint="eastAsia" w:ascii="宋体" w:hAnsi="宋体" w:eastAsia="宋体" w:cs="宋体"/>
          <w:sz w:val="19"/>
        </w:rPr>
      </w:pPr>
      <w:r>
        <w:rPr>
          <w:rFonts w:hint="eastAsia" w:ascii="宋体" w:hAnsi="宋体" w:eastAsia="宋体" w:cs="宋体"/>
          <w:sz w:val="19"/>
        </w:rPr>
        <w:t>详见资格性审查、符合性审查和磋商文件其他投标无效条款。</w:t>
      </w:r>
    </w:p>
    <w:p>
      <w:pPr>
        <w:pStyle w:val="9"/>
        <w:spacing w:before="7"/>
        <w:rPr>
          <w:rFonts w:hint="eastAsia" w:ascii="宋体" w:hAnsi="宋体" w:eastAsia="宋体" w:cs="宋体"/>
          <w:sz w:val="15"/>
        </w:rPr>
      </w:pPr>
    </w:p>
    <w:p>
      <w:pPr>
        <w:pStyle w:val="5"/>
        <w:numPr>
          <w:ilvl w:val="0"/>
          <w:numId w:val="84"/>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12"/>
        </w:rPr>
        <w:t>废标（终止）</w:t>
      </w:r>
      <w:r>
        <w:rPr>
          <w:rFonts w:hint="eastAsia" w:ascii="宋体" w:hAnsi="宋体" w:eastAsia="宋体" w:cs="宋体"/>
          <w:spacing w:val="7"/>
        </w:rPr>
        <w:t>的情形</w:t>
      </w:r>
    </w:p>
    <w:p>
      <w:pPr>
        <w:pStyle w:val="18"/>
        <w:numPr>
          <w:ilvl w:val="1"/>
          <w:numId w:val="84"/>
        </w:numPr>
        <w:tabs>
          <w:tab w:val="left" w:pos="814"/>
        </w:tabs>
        <w:spacing w:before="71"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出现下列情形之一的，采购人或者采购代理机构应当终止竞争性磋商采购活动，发布项目终止公告并说明原因，重新</w:t>
      </w:r>
      <w:r>
        <w:rPr>
          <w:rFonts w:hint="eastAsia" w:ascii="宋体" w:hAnsi="宋体" w:eastAsia="宋体" w:cs="宋体"/>
          <w:sz w:val="19"/>
        </w:rPr>
        <w:t>开展采购活动：</w:t>
      </w:r>
    </w:p>
    <w:p>
      <w:pPr>
        <w:pStyle w:val="18"/>
        <w:numPr>
          <w:ilvl w:val="0"/>
          <w:numId w:val="87"/>
        </w:numPr>
        <w:tabs>
          <w:tab w:val="left" w:pos="1016"/>
        </w:tabs>
        <w:spacing w:before="0" w:after="0" w:line="242" w:lineRule="exact"/>
        <w:ind w:left="1015" w:right="0" w:hanging="506"/>
        <w:jc w:val="left"/>
        <w:rPr>
          <w:rFonts w:hint="eastAsia" w:ascii="宋体" w:hAnsi="宋体" w:eastAsia="宋体" w:cs="宋体"/>
          <w:sz w:val="19"/>
        </w:rPr>
      </w:pPr>
      <w:r>
        <w:rPr>
          <w:rFonts w:hint="eastAsia" w:ascii="宋体" w:hAnsi="宋体" w:eastAsia="宋体" w:cs="宋体"/>
          <w:sz w:val="19"/>
        </w:rPr>
        <w:t>因情况变化，不再符合规定的竞争性磋商采购方式适用情形的；</w:t>
      </w:r>
    </w:p>
    <w:p>
      <w:pPr>
        <w:pStyle w:val="18"/>
        <w:numPr>
          <w:ilvl w:val="0"/>
          <w:numId w:val="87"/>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出现影响采购公正的违法、违规行为的；</w:t>
      </w:r>
    </w:p>
    <w:p>
      <w:pPr>
        <w:pStyle w:val="18"/>
        <w:numPr>
          <w:ilvl w:val="0"/>
          <w:numId w:val="87"/>
        </w:numPr>
        <w:tabs>
          <w:tab w:val="left" w:pos="1016"/>
        </w:tabs>
        <w:spacing w:before="140"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在采购过程中符合磋商要求的供应商或者报价未超过采购预算的供应商不足</w:t>
      </w:r>
      <w:r>
        <w:rPr>
          <w:rFonts w:hint="eastAsia" w:ascii="宋体" w:hAnsi="宋体" w:eastAsia="宋体" w:cs="宋体"/>
          <w:spacing w:val="-3"/>
          <w:w w:val="110"/>
          <w:sz w:val="19"/>
        </w:rPr>
        <w:t>3</w:t>
      </w:r>
      <w:r>
        <w:rPr>
          <w:rFonts w:hint="eastAsia" w:ascii="宋体" w:hAnsi="宋体" w:eastAsia="宋体" w:cs="宋体"/>
          <w:sz w:val="19"/>
        </w:rPr>
        <w:t>家的，但经财政部门批准的情形除</w:t>
      </w:r>
    </w:p>
    <w:p>
      <w:pPr>
        <w:pStyle w:val="9"/>
        <w:spacing w:before="141"/>
        <w:ind w:left="126"/>
        <w:rPr>
          <w:rFonts w:hint="eastAsia" w:ascii="宋体" w:hAnsi="宋体" w:eastAsia="宋体" w:cs="宋体"/>
        </w:rPr>
      </w:pPr>
      <w:r>
        <w:rPr>
          <w:rFonts w:hint="eastAsia" w:ascii="宋体" w:hAnsi="宋体" w:eastAsia="宋体" w:cs="宋体"/>
        </w:rPr>
        <w:t>外；</w:t>
      </w:r>
    </w:p>
    <w:p>
      <w:pPr>
        <w:pStyle w:val="18"/>
        <w:numPr>
          <w:ilvl w:val="0"/>
          <w:numId w:val="87"/>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法律、法规以及磋商文件规定其他情形。</w:t>
      </w:r>
    </w:p>
    <w:p>
      <w:pPr>
        <w:pStyle w:val="9"/>
        <w:spacing w:before="5"/>
        <w:rPr>
          <w:rFonts w:hint="eastAsia" w:ascii="宋体" w:hAnsi="宋体" w:eastAsia="宋体" w:cs="宋体"/>
          <w:sz w:val="13"/>
        </w:rPr>
      </w:pPr>
    </w:p>
    <w:p>
      <w:pPr>
        <w:pStyle w:val="5"/>
        <w:numPr>
          <w:ilvl w:val="0"/>
          <w:numId w:val="84"/>
        </w:numPr>
        <w:tabs>
          <w:tab w:val="left" w:pos="333"/>
        </w:tabs>
        <w:spacing w:before="28" w:after="0" w:line="240" w:lineRule="auto"/>
        <w:ind w:left="332" w:right="0" w:hanging="207"/>
        <w:jc w:val="left"/>
        <w:rPr>
          <w:rFonts w:hint="eastAsia" w:ascii="宋体" w:hAnsi="宋体" w:eastAsia="宋体" w:cs="宋体"/>
        </w:rPr>
      </w:pPr>
      <w:r>
        <w:rPr>
          <w:rFonts w:hint="eastAsia" w:ascii="宋体" w:hAnsi="宋体" w:eastAsia="宋体" w:cs="宋体"/>
          <w:spacing w:val="6"/>
        </w:rPr>
        <w:t>定标</w:t>
      </w:r>
    </w:p>
    <w:p>
      <w:pPr>
        <w:pStyle w:val="18"/>
        <w:numPr>
          <w:ilvl w:val="1"/>
          <w:numId w:val="84"/>
        </w:numPr>
        <w:tabs>
          <w:tab w:val="left" w:pos="814"/>
        </w:tabs>
        <w:spacing w:before="71"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磋商小组按照磋商文件确定的评审方法、步骤、标准，对响应文件进行评审。评审结束后，对供应商的评审名次进行</w:t>
      </w:r>
      <w:r>
        <w:rPr>
          <w:rFonts w:hint="eastAsia" w:ascii="宋体" w:hAnsi="宋体" w:eastAsia="宋体" w:cs="宋体"/>
          <w:sz w:val="19"/>
        </w:rPr>
        <w:t>排序，确定供应商或者推荐成交候选人。</w:t>
      </w:r>
    </w:p>
    <w:p>
      <w:pPr>
        <w:pStyle w:val="5"/>
        <w:numPr>
          <w:ilvl w:val="0"/>
          <w:numId w:val="84"/>
        </w:numPr>
        <w:tabs>
          <w:tab w:val="left" w:pos="465"/>
        </w:tabs>
        <w:spacing w:before="58" w:after="0" w:line="240" w:lineRule="auto"/>
        <w:ind w:left="464" w:right="0" w:hanging="339"/>
        <w:jc w:val="left"/>
        <w:rPr>
          <w:rFonts w:hint="eastAsia" w:ascii="宋体" w:hAnsi="宋体" w:eastAsia="宋体" w:cs="宋体"/>
        </w:rPr>
      </w:pPr>
      <w:r>
        <w:rPr>
          <w:rFonts w:hint="eastAsia" w:ascii="宋体" w:hAnsi="宋体" w:eastAsia="宋体" w:cs="宋体"/>
          <w:spacing w:val="10"/>
        </w:rPr>
        <w:t>其他说明事项</w:t>
      </w:r>
    </w:p>
    <w:p>
      <w:pPr>
        <w:pStyle w:val="9"/>
        <w:spacing w:before="70" w:line="379" w:lineRule="auto"/>
        <w:ind w:left="126" w:right="229" w:firstLine="384"/>
        <w:rPr>
          <w:rFonts w:hint="eastAsia" w:ascii="宋体" w:hAnsi="宋体" w:eastAsia="宋体" w:cs="宋体"/>
        </w:rPr>
      </w:pPr>
      <w:r>
        <w:rPr>
          <w:rFonts w:hint="eastAsia" w:ascii="宋体" w:hAnsi="宋体" w:eastAsia="宋体" w:cs="宋体"/>
        </w:rPr>
        <w:t>若出现供应商因在投标客户端中对应答点标记错误，导致评审专家无法进行正常查阅的，视为响应文件未实质响应(或未</w:t>
      </w:r>
      <w:r>
        <w:rPr>
          <w:rFonts w:hint="eastAsia" w:ascii="宋体" w:hAnsi="宋体" w:eastAsia="宋体" w:cs="宋体"/>
          <w:w w:val="110"/>
        </w:rPr>
        <w:t>响应)磋商文件该部分要求的，由供应商自行承担责任。</w:t>
      </w:r>
    </w:p>
    <w:p>
      <w:pPr>
        <w:pStyle w:val="4"/>
        <w:spacing w:before="169"/>
        <w:rPr>
          <w:rFonts w:hint="eastAsia" w:ascii="宋体" w:hAnsi="宋体" w:eastAsia="宋体" w:cs="宋体"/>
        </w:rPr>
      </w:pPr>
      <w:r>
        <w:rPr>
          <w:rFonts w:hint="eastAsia" w:ascii="宋体" w:hAnsi="宋体" w:eastAsia="宋体" w:cs="宋体"/>
        </w:rPr>
        <w:t>二、政府采购政策落实</w:t>
      </w:r>
    </w:p>
    <w:p>
      <w:pPr>
        <w:pStyle w:val="5"/>
        <w:numPr>
          <w:ilvl w:val="0"/>
          <w:numId w:val="88"/>
        </w:numPr>
        <w:tabs>
          <w:tab w:val="left" w:pos="333"/>
        </w:tabs>
        <w:spacing w:before="174" w:after="0" w:line="240" w:lineRule="auto"/>
        <w:ind w:left="332" w:right="0" w:hanging="207"/>
        <w:jc w:val="left"/>
        <w:rPr>
          <w:rFonts w:hint="eastAsia" w:ascii="宋体" w:hAnsi="宋体" w:eastAsia="宋体" w:cs="宋体"/>
        </w:rPr>
      </w:pPr>
      <w:r>
        <w:rPr>
          <w:rFonts w:hint="eastAsia" w:ascii="宋体" w:hAnsi="宋体" w:eastAsia="宋体" w:cs="宋体"/>
          <w:spacing w:val="10"/>
        </w:rPr>
        <w:t>支持中小企业发展要求</w:t>
      </w:r>
    </w:p>
    <w:p>
      <w:pPr>
        <w:pStyle w:val="18"/>
        <w:numPr>
          <w:ilvl w:val="1"/>
          <w:numId w:val="88"/>
        </w:numPr>
        <w:tabs>
          <w:tab w:val="left" w:pos="814"/>
        </w:tabs>
        <w:spacing w:before="70" w:after="0" w:line="379" w:lineRule="auto"/>
        <w:ind w:left="126" w:right="193" w:firstLine="384"/>
        <w:jc w:val="left"/>
        <w:rPr>
          <w:rFonts w:hint="eastAsia" w:ascii="宋体" w:hAnsi="宋体" w:eastAsia="宋体" w:cs="宋体"/>
          <w:sz w:val="19"/>
        </w:rPr>
      </w:pPr>
      <w:r>
        <w:rPr>
          <w:rFonts w:hint="eastAsia" w:ascii="宋体" w:hAnsi="宋体" w:eastAsia="宋体" w:cs="宋体"/>
          <w:spacing w:val="-1"/>
          <w:sz w:val="19"/>
        </w:rPr>
        <w:t>政府采购促进中小企业发展，在政府采购活动中，供应商提供的货物、工程或者服务符合下列情形的，享受中小企业</w:t>
      </w:r>
      <w:r>
        <w:rPr>
          <w:rFonts w:hint="eastAsia" w:ascii="宋体" w:hAnsi="宋体" w:eastAsia="宋体" w:cs="宋体"/>
          <w:sz w:val="19"/>
        </w:rPr>
        <w:t>扶持政策：</w:t>
      </w:r>
    </w:p>
    <w:p>
      <w:pPr>
        <w:pStyle w:val="18"/>
        <w:numPr>
          <w:ilvl w:val="0"/>
          <w:numId w:val="89"/>
        </w:numPr>
        <w:tabs>
          <w:tab w:val="left" w:pos="1016"/>
        </w:tabs>
        <w:spacing w:before="0" w:after="0" w:line="242" w:lineRule="exact"/>
        <w:ind w:left="1015" w:right="0" w:hanging="506"/>
        <w:jc w:val="left"/>
        <w:rPr>
          <w:rFonts w:hint="eastAsia" w:ascii="宋体" w:hAnsi="宋体" w:eastAsia="宋体" w:cs="宋体"/>
          <w:sz w:val="19"/>
        </w:rPr>
      </w:pPr>
      <w:r>
        <w:rPr>
          <w:rFonts w:hint="eastAsia" w:ascii="宋体" w:hAnsi="宋体" w:eastAsia="宋体" w:cs="宋体"/>
          <w:sz w:val="19"/>
        </w:rPr>
        <w:t>在货物采购项目中，货物由中小企业制造，即货物由中小企业生产且使用该中小企业商号或者注册商标；</w:t>
      </w:r>
    </w:p>
    <w:p>
      <w:pPr>
        <w:pStyle w:val="18"/>
        <w:numPr>
          <w:ilvl w:val="0"/>
          <w:numId w:val="89"/>
        </w:numPr>
        <w:tabs>
          <w:tab w:val="left" w:pos="1016"/>
        </w:tabs>
        <w:spacing w:before="141" w:after="0" w:line="240" w:lineRule="auto"/>
        <w:ind w:left="1015" w:right="0" w:hanging="506"/>
        <w:jc w:val="left"/>
        <w:rPr>
          <w:rFonts w:hint="eastAsia" w:ascii="宋体" w:hAnsi="宋体" w:eastAsia="宋体" w:cs="宋体"/>
          <w:sz w:val="19"/>
        </w:rPr>
      </w:pPr>
      <w:r>
        <w:rPr>
          <w:rFonts w:hint="eastAsia" w:ascii="宋体" w:hAnsi="宋体" w:eastAsia="宋体" w:cs="宋体"/>
          <w:sz w:val="19"/>
        </w:rPr>
        <w:t>在工程采购项目中，工程由中小企业承建，即工程施工单位为中小企业；</w:t>
      </w:r>
    </w:p>
    <w:p>
      <w:pPr>
        <w:pStyle w:val="18"/>
        <w:numPr>
          <w:ilvl w:val="0"/>
          <w:numId w:val="89"/>
        </w:numPr>
        <w:tabs>
          <w:tab w:val="left" w:pos="1016"/>
        </w:tabs>
        <w:spacing w:before="141"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在服务采购项目中，服务由中小企业承接，即提供服务的人员为中小企业依照《中华人民共和国劳动合同法》订立</w:t>
      </w:r>
      <w:r>
        <w:rPr>
          <w:rFonts w:hint="eastAsia" w:ascii="宋体" w:hAnsi="宋体" w:eastAsia="宋体" w:cs="宋体"/>
          <w:spacing w:val="-1"/>
          <w:sz w:val="19"/>
        </w:rPr>
        <w:t>劳动合同的从业人员。在货物采购项目中，供应商提供的货物既有中小企业制造货物，也有大型企业制造货物的，不享受中小企业扶持政策。以联合体形式参加政府采购活动，联合体各方均为中小企业的，联合体视同中小企业。其中，联合体各方均为</w:t>
      </w:r>
      <w:r>
        <w:rPr>
          <w:rFonts w:hint="eastAsia" w:ascii="宋体" w:hAnsi="宋体" w:eastAsia="宋体" w:cs="宋体"/>
          <w:sz w:val="19"/>
        </w:rPr>
        <w:t>小微企业的，联合体视同小微企业。</w:t>
      </w:r>
    </w:p>
    <w:p>
      <w:pPr>
        <w:pStyle w:val="18"/>
        <w:numPr>
          <w:ilvl w:val="1"/>
          <w:numId w:val="88"/>
        </w:numPr>
        <w:tabs>
          <w:tab w:val="left" w:pos="814"/>
        </w:tabs>
        <w:spacing w:before="0" w:after="0" w:line="379" w:lineRule="auto"/>
        <w:ind w:left="126" w:right="133" w:firstLine="384"/>
        <w:jc w:val="left"/>
        <w:rPr>
          <w:rFonts w:hint="eastAsia" w:ascii="宋体" w:hAnsi="宋体" w:eastAsia="宋体" w:cs="宋体"/>
          <w:sz w:val="19"/>
        </w:rPr>
      </w:pPr>
      <w:r>
        <w:rPr>
          <w:rFonts w:hint="eastAsia" w:ascii="宋体" w:hAnsi="宋体" w:eastAsia="宋体" w:cs="宋体"/>
          <w:sz w:val="19"/>
        </w:rPr>
        <w:t>中小企业，是指在中华人民共和国境内依法设立，依据国务院批准的中小企业划分标准（详见《关于印发中小企业划</w:t>
      </w:r>
      <w:r>
        <w:rPr>
          <w:rFonts w:hint="eastAsia" w:ascii="宋体" w:hAnsi="宋体" w:eastAsia="宋体" w:cs="宋体"/>
          <w:spacing w:val="-1"/>
          <w:sz w:val="19"/>
        </w:rPr>
        <w:t>型标准规定的通知》工信部联企业〔</w:t>
      </w:r>
      <w:r>
        <w:rPr>
          <w:rFonts w:hint="eastAsia" w:ascii="宋体" w:hAnsi="宋体" w:eastAsia="宋体" w:cs="宋体"/>
          <w:spacing w:val="-3"/>
          <w:sz w:val="19"/>
        </w:rPr>
        <w:t>2011</w:t>
      </w:r>
      <w:r>
        <w:rPr>
          <w:rFonts w:hint="eastAsia" w:ascii="宋体" w:hAnsi="宋体" w:eastAsia="宋体" w:cs="宋体"/>
          <w:spacing w:val="-1"/>
          <w:sz w:val="19"/>
        </w:rPr>
        <w:t>〕</w:t>
      </w:r>
      <w:r>
        <w:rPr>
          <w:rFonts w:hint="eastAsia" w:ascii="宋体" w:hAnsi="宋体" w:eastAsia="宋体" w:cs="宋体"/>
          <w:spacing w:val="-3"/>
          <w:sz w:val="19"/>
        </w:rPr>
        <w:t>300</w:t>
      </w:r>
      <w:r>
        <w:rPr>
          <w:rFonts w:hint="eastAsia" w:ascii="宋体" w:hAnsi="宋体" w:eastAsia="宋体" w:cs="宋体"/>
          <w:spacing w:val="-1"/>
          <w:sz w:val="19"/>
        </w:rPr>
        <w:t>号及《国家统计局关于印发〈统计上大中小微型企业划分办法</w:t>
      </w:r>
      <w:r>
        <w:rPr>
          <w:rFonts w:hint="eastAsia" w:ascii="宋体" w:hAnsi="宋体" w:eastAsia="宋体" w:cs="宋体"/>
          <w:sz w:val="19"/>
        </w:rPr>
        <w:t>（2017）〉的   通知》国统字〔</w:t>
      </w:r>
      <w:r>
        <w:rPr>
          <w:rFonts w:hint="eastAsia" w:ascii="宋体" w:hAnsi="宋体" w:eastAsia="宋体" w:cs="宋体"/>
          <w:spacing w:val="-3"/>
          <w:sz w:val="19"/>
        </w:rPr>
        <w:t>2017</w:t>
      </w:r>
      <w:r>
        <w:rPr>
          <w:rFonts w:hint="eastAsia" w:ascii="宋体" w:hAnsi="宋体" w:eastAsia="宋体" w:cs="宋体"/>
          <w:sz w:val="19"/>
        </w:rPr>
        <w:t>〕</w:t>
      </w:r>
      <w:r>
        <w:rPr>
          <w:rFonts w:hint="eastAsia" w:ascii="宋体" w:hAnsi="宋体" w:eastAsia="宋体" w:cs="宋体"/>
          <w:spacing w:val="-3"/>
          <w:sz w:val="19"/>
        </w:rPr>
        <w:t>213</w:t>
      </w:r>
      <w:r>
        <w:rPr>
          <w:rFonts w:hint="eastAsia" w:ascii="宋体" w:hAnsi="宋体" w:eastAsia="宋体" w:cs="宋体"/>
          <w:sz w:val="19"/>
        </w:rPr>
        <w:t xml:space="preserve">号）确定的中型企业、小型企业和微型企业，但与大企业的负责人为同一人，或者与大企业存在   </w:t>
      </w:r>
      <w:r>
        <w:rPr>
          <w:rFonts w:hint="eastAsia" w:ascii="宋体" w:hAnsi="宋体" w:eastAsia="宋体" w:cs="宋体"/>
          <w:w w:val="110"/>
          <w:sz w:val="19"/>
        </w:rPr>
        <w:t>直接控股、管理关系的除外。符合中小企业划分标准的个体工商户，在政府采购活动中视同中小企业。</w:t>
      </w:r>
    </w:p>
    <w:p>
      <w:pPr>
        <w:spacing w:after="0" w:line="379" w:lineRule="auto"/>
        <w:jc w:val="left"/>
        <w:rPr>
          <w:rFonts w:hint="eastAsia" w:ascii="宋体" w:hAnsi="宋体" w:eastAsia="宋体" w:cs="宋体"/>
          <w:sz w:val="19"/>
        </w:rPr>
        <w:sectPr>
          <w:pgSz w:w="11900" w:h="16840"/>
          <w:pgMar w:top="540" w:right="560" w:bottom="280" w:left="540" w:header="0" w:footer="13" w:gutter="0"/>
          <w:cols w:space="720" w:num="1"/>
        </w:sectPr>
      </w:pPr>
    </w:p>
    <w:p>
      <w:pPr>
        <w:pStyle w:val="18"/>
        <w:numPr>
          <w:ilvl w:val="1"/>
          <w:numId w:val="88"/>
        </w:numPr>
        <w:tabs>
          <w:tab w:val="left" w:pos="814"/>
        </w:tabs>
        <w:spacing w:before="72" w:after="0" w:line="379" w:lineRule="auto"/>
        <w:ind w:left="126" w:right="373" w:firstLine="384"/>
        <w:jc w:val="left"/>
        <w:rPr>
          <w:rFonts w:hint="eastAsia" w:ascii="宋体" w:hAnsi="宋体" w:eastAsia="宋体" w:cs="宋体"/>
          <w:sz w:val="19"/>
        </w:rPr>
      </w:pPr>
      <w:r>
        <w:rPr>
          <w:rFonts w:hint="eastAsia" w:ascii="宋体" w:hAnsi="宋体" w:eastAsia="宋体" w:cs="宋体"/>
          <w:sz w:val="19"/>
        </w:rPr>
        <w:t>根据《财政部 司法部关于政府采购支持监狱企业发展有关问题的通知》（财库〔</w:t>
      </w:r>
      <w:r>
        <w:rPr>
          <w:rFonts w:hint="eastAsia" w:ascii="宋体" w:hAnsi="宋体" w:eastAsia="宋体" w:cs="宋体"/>
          <w:spacing w:val="-3"/>
          <w:sz w:val="19"/>
        </w:rPr>
        <w:t>2014</w:t>
      </w:r>
      <w:r>
        <w:rPr>
          <w:rFonts w:hint="eastAsia" w:ascii="宋体" w:hAnsi="宋体" w:eastAsia="宋体" w:cs="宋体"/>
          <w:sz w:val="19"/>
        </w:rPr>
        <w:t>〕</w:t>
      </w:r>
      <w:r>
        <w:rPr>
          <w:rFonts w:hint="eastAsia" w:ascii="宋体" w:hAnsi="宋体" w:eastAsia="宋体" w:cs="宋体"/>
          <w:spacing w:val="-3"/>
          <w:sz w:val="19"/>
        </w:rPr>
        <w:t>68</w:t>
      </w:r>
      <w:r>
        <w:rPr>
          <w:rFonts w:hint="eastAsia" w:ascii="宋体" w:hAnsi="宋体" w:eastAsia="宋体" w:cs="宋体"/>
          <w:sz w:val="19"/>
        </w:rPr>
        <w:t>号），</w:t>
      </w:r>
      <w:r>
        <w:rPr>
          <w:rFonts w:hint="eastAsia" w:ascii="宋体" w:hAnsi="宋体" w:eastAsia="宋体" w:cs="宋体"/>
          <w:spacing w:val="-2"/>
          <w:sz w:val="19"/>
        </w:rPr>
        <w:t>监狱企业视同小</w:t>
      </w:r>
      <w:r>
        <w:rPr>
          <w:rFonts w:hint="eastAsia" w:ascii="宋体" w:hAnsi="宋体" w:eastAsia="宋体" w:cs="宋体"/>
          <w:w w:val="110"/>
          <w:sz w:val="19"/>
        </w:rPr>
        <w:t>型、微型企业。</w:t>
      </w:r>
    </w:p>
    <w:p>
      <w:pPr>
        <w:pStyle w:val="18"/>
        <w:numPr>
          <w:ilvl w:val="1"/>
          <w:numId w:val="88"/>
        </w:numPr>
        <w:tabs>
          <w:tab w:val="left" w:pos="814"/>
        </w:tabs>
        <w:spacing w:before="0" w:after="0" w:line="242" w:lineRule="exact"/>
        <w:ind w:left="813" w:right="0" w:hanging="304"/>
        <w:jc w:val="left"/>
        <w:rPr>
          <w:rFonts w:hint="eastAsia" w:ascii="宋体" w:hAnsi="宋体" w:eastAsia="宋体" w:cs="宋体"/>
          <w:sz w:val="19"/>
        </w:rPr>
      </w:pPr>
      <w:r>
        <w:rPr>
          <w:rFonts w:hint="eastAsia" w:ascii="宋体" w:hAnsi="宋体" w:eastAsia="宋体" w:cs="宋体"/>
          <w:spacing w:val="-4"/>
          <w:sz w:val="19"/>
        </w:rPr>
        <w:t>在政府采购活动中，满足《财政部 民政部 中国残疾人联合会关于促进残疾人就业政府采购政策的通知》</w:t>
      </w:r>
      <w:r>
        <w:rPr>
          <w:rFonts w:hint="eastAsia" w:ascii="宋体" w:hAnsi="宋体" w:eastAsia="宋体" w:cs="宋体"/>
          <w:sz w:val="19"/>
        </w:rPr>
        <w:t>（财库</w:t>
      </w:r>
    </w:p>
    <w:p>
      <w:pPr>
        <w:pStyle w:val="9"/>
        <w:spacing w:before="140"/>
        <w:ind w:left="126"/>
        <w:rPr>
          <w:rFonts w:hint="eastAsia" w:ascii="宋体" w:hAnsi="宋体" w:eastAsia="宋体" w:cs="宋体"/>
        </w:rPr>
      </w:pPr>
      <w:r>
        <w:rPr>
          <w:rFonts w:hint="eastAsia" w:ascii="宋体" w:hAnsi="宋体" w:eastAsia="宋体" w:cs="宋体"/>
          <w:w w:val="110"/>
        </w:rPr>
        <w:t>〔2017〕141 号）所列条件的残疾人福利性单位视同小型、微型企业。</w:t>
      </w:r>
    </w:p>
    <w:p>
      <w:pPr>
        <w:pStyle w:val="18"/>
        <w:numPr>
          <w:ilvl w:val="1"/>
          <w:numId w:val="88"/>
        </w:numPr>
        <w:tabs>
          <w:tab w:val="left" w:pos="814"/>
        </w:tabs>
        <w:spacing w:before="141"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中小企业供应商参加政府采购活动，应当出具标准格式的《中小企业声明函》（格式后附，不可修改）、监狱企业应当提供省级以上监狱管理局、戒毒管理局（含新疆生产建设兵团）</w:t>
      </w:r>
      <w:r>
        <w:rPr>
          <w:rFonts w:hint="eastAsia" w:ascii="宋体" w:hAnsi="宋体" w:eastAsia="宋体" w:cs="宋体"/>
          <w:spacing w:val="-1"/>
          <w:sz w:val="19"/>
        </w:rPr>
        <w:t>出具的属于监狱企业的证明文件、残疾人福利性单位应当提</w:t>
      </w:r>
      <w:r>
        <w:rPr>
          <w:rFonts w:hint="eastAsia" w:ascii="宋体" w:hAnsi="宋体" w:eastAsia="宋体" w:cs="宋体"/>
          <w:sz w:val="19"/>
        </w:rPr>
        <w:t>供《残疾人福利性单位声明函》（格式后附，不可修改），</w:t>
      </w:r>
      <w:r>
        <w:rPr>
          <w:rFonts w:hint="eastAsia" w:ascii="宋体" w:hAnsi="宋体" w:eastAsia="宋体" w:cs="宋体"/>
          <w:spacing w:val="-1"/>
          <w:sz w:val="19"/>
        </w:rPr>
        <w:t>否则不享受相关中小企业扶持政策。投标人提供的《中小企业声明</w:t>
      </w:r>
      <w:r>
        <w:rPr>
          <w:rFonts w:hint="eastAsia" w:ascii="宋体" w:hAnsi="宋体" w:eastAsia="宋体" w:cs="宋体"/>
          <w:sz w:val="19"/>
        </w:rPr>
        <w:t>函》未按标准格式填写盖章的、未按招标文件列明标的所属行业、不符合《关于印发中小企业划型标准规定的通知》（</w:t>
      </w:r>
      <w:r>
        <w:rPr>
          <w:rFonts w:hint="eastAsia" w:ascii="宋体" w:hAnsi="宋体" w:eastAsia="宋体" w:cs="宋体"/>
          <w:spacing w:val="-7"/>
          <w:sz w:val="19"/>
        </w:rPr>
        <w:t>工信部</w:t>
      </w:r>
      <w:r>
        <w:rPr>
          <w:rFonts w:hint="eastAsia" w:ascii="宋体" w:hAnsi="宋体" w:eastAsia="宋体" w:cs="宋体"/>
          <w:w w:val="105"/>
          <w:sz w:val="19"/>
        </w:rPr>
        <w:t>联企业</w:t>
      </w:r>
      <w:r>
        <w:rPr>
          <w:rFonts w:hint="eastAsia" w:ascii="宋体" w:hAnsi="宋体" w:eastAsia="宋体" w:cs="宋体"/>
          <w:spacing w:val="-3"/>
          <w:w w:val="105"/>
          <w:sz w:val="19"/>
        </w:rPr>
        <w:t>[2011]300</w:t>
      </w:r>
      <w:r>
        <w:rPr>
          <w:rFonts w:hint="eastAsia" w:ascii="宋体" w:hAnsi="宋体" w:eastAsia="宋体" w:cs="宋体"/>
          <w:w w:val="105"/>
          <w:sz w:val="19"/>
        </w:rPr>
        <w:t>号）和《关于印发＜政府采购促进中小企业发展管理办法＞的通知》</w:t>
      </w:r>
      <w:r>
        <w:rPr>
          <w:rFonts w:hint="eastAsia" w:ascii="宋体" w:hAnsi="宋体" w:eastAsia="宋体" w:cs="宋体"/>
          <w:spacing w:val="-3"/>
          <w:w w:val="105"/>
          <w:sz w:val="19"/>
        </w:rPr>
        <w:t>(</w:t>
      </w:r>
      <w:r>
        <w:rPr>
          <w:rFonts w:hint="eastAsia" w:ascii="宋体" w:hAnsi="宋体" w:eastAsia="宋体" w:cs="宋体"/>
          <w:w w:val="105"/>
          <w:sz w:val="19"/>
        </w:rPr>
        <w:t>财库﹝2020﹞46</w:t>
      </w:r>
      <w:r>
        <w:rPr>
          <w:rFonts w:hint="eastAsia" w:ascii="宋体" w:hAnsi="宋体" w:eastAsia="宋体" w:cs="宋体"/>
          <w:spacing w:val="-6"/>
          <w:w w:val="105"/>
          <w:sz w:val="19"/>
        </w:rPr>
        <w:t xml:space="preserve"> </w:t>
      </w:r>
      <w:r>
        <w:rPr>
          <w:rFonts w:hint="eastAsia" w:ascii="宋体" w:hAnsi="宋体" w:eastAsia="宋体" w:cs="宋体"/>
          <w:spacing w:val="-21"/>
          <w:w w:val="105"/>
          <w:sz w:val="19"/>
        </w:rPr>
        <w:t xml:space="preserve">号 </w:t>
      </w:r>
      <w:r>
        <w:rPr>
          <w:rFonts w:hint="eastAsia" w:ascii="宋体" w:hAnsi="宋体" w:eastAsia="宋体" w:cs="宋体"/>
          <w:spacing w:val="-3"/>
          <w:w w:val="105"/>
          <w:sz w:val="19"/>
        </w:rPr>
        <w:t>)</w:t>
      </w:r>
      <w:r>
        <w:rPr>
          <w:rFonts w:hint="eastAsia" w:ascii="宋体" w:hAnsi="宋体" w:eastAsia="宋体" w:cs="宋体"/>
          <w:w w:val="105"/>
          <w:sz w:val="19"/>
        </w:rPr>
        <w:t xml:space="preserve">相关规定的， </w:t>
      </w:r>
      <w:r>
        <w:rPr>
          <w:rFonts w:hint="eastAsia" w:ascii="宋体" w:hAnsi="宋体" w:eastAsia="宋体" w:cs="宋体"/>
          <w:spacing w:val="-1"/>
          <w:sz w:val="19"/>
        </w:rPr>
        <w:t>不享受中小企业扶持政策。任何单位和个人不得要求供应商提供《中小企业声明函》之外的中小企业身份证明文件。供应商提供《中小企业声明函》内容不实的，属于提供虚假材料谋取中标、成交，依照《中华人民共和国政府采购法》等国家有关规定</w:t>
      </w:r>
      <w:r>
        <w:rPr>
          <w:rFonts w:hint="eastAsia" w:ascii="宋体" w:hAnsi="宋体" w:eastAsia="宋体" w:cs="宋体"/>
          <w:w w:val="110"/>
          <w:sz w:val="19"/>
        </w:rPr>
        <w:t>追究相应责任。</w:t>
      </w:r>
    </w:p>
    <w:p>
      <w:pPr>
        <w:pStyle w:val="18"/>
        <w:numPr>
          <w:ilvl w:val="1"/>
          <w:numId w:val="88"/>
        </w:numPr>
        <w:tabs>
          <w:tab w:val="left" w:pos="814"/>
        </w:tabs>
        <w:spacing w:before="0" w:after="0" w:line="239" w:lineRule="exact"/>
        <w:ind w:left="813" w:right="0" w:hanging="304"/>
        <w:jc w:val="left"/>
        <w:rPr>
          <w:rFonts w:hint="eastAsia" w:ascii="宋体" w:hAnsi="宋体" w:eastAsia="宋体" w:cs="宋体"/>
          <w:sz w:val="19"/>
        </w:rPr>
      </w:pPr>
      <w:r>
        <w:rPr>
          <w:rFonts w:hint="eastAsia" w:ascii="宋体" w:hAnsi="宋体" w:eastAsia="宋体" w:cs="宋体"/>
          <w:sz w:val="19"/>
        </w:rPr>
        <w:t>实施预留采购份额扶持政策的相关要求：</w:t>
      </w:r>
    </w:p>
    <w:p>
      <w:pPr>
        <w:pStyle w:val="18"/>
        <w:numPr>
          <w:ilvl w:val="0"/>
          <w:numId w:val="90"/>
        </w:numPr>
        <w:tabs>
          <w:tab w:val="left" w:pos="1016"/>
        </w:tabs>
        <w:spacing w:before="141" w:after="0" w:line="379" w:lineRule="auto"/>
        <w:ind w:left="126" w:right="181" w:firstLine="384"/>
        <w:jc w:val="left"/>
        <w:rPr>
          <w:rFonts w:hint="eastAsia" w:ascii="宋体" w:hAnsi="宋体" w:eastAsia="宋体" w:cs="宋体"/>
          <w:sz w:val="19"/>
        </w:rPr>
      </w:pPr>
      <w:r>
        <w:rPr>
          <w:rFonts w:hint="eastAsia" w:ascii="宋体" w:hAnsi="宋体" w:eastAsia="宋体" w:cs="宋体"/>
          <w:spacing w:val="-1"/>
          <w:sz w:val="19"/>
        </w:rPr>
        <w:t>对于将采购项目整体或者设置采购包专门面向中小企业的采购项目，投标人应提供标准格式的《中小企业声明函》</w:t>
      </w:r>
      <w:r>
        <w:rPr>
          <w:rFonts w:hint="eastAsia" w:ascii="宋体" w:hAnsi="宋体" w:eastAsia="宋体" w:cs="宋体"/>
          <w:sz w:val="19"/>
        </w:rPr>
        <w:t>或监狱企业证明文件或《残疾人福利性单位声明函》。</w:t>
      </w:r>
    </w:p>
    <w:p>
      <w:pPr>
        <w:pStyle w:val="18"/>
        <w:numPr>
          <w:ilvl w:val="0"/>
          <w:numId w:val="90"/>
        </w:numPr>
        <w:tabs>
          <w:tab w:val="left" w:pos="1016"/>
        </w:tabs>
        <w:spacing w:before="0"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对于要求供应商以联合体形式参加采购活动，且联合体中中小企业承担的部分达到一定比例或者要求获得采购合同</w:t>
      </w:r>
      <w:r>
        <w:rPr>
          <w:rFonts w:hint="eastAsia" w:ascii="宋体" w:hAnsi="宋体" w:eastAsia="宋体" w:cs="宋体"/>
          <w:spacing w:val="-1"/>
          <w:sz w:val="19"/>
        </w:rPr>
        <w:t>的供应商将采购项目中的一定比例分包给一家或者多家中小企业的采购项目，投标人应提供《中小企业声明函》和联合协议或者分包意向协议。《中小企业声明函》填写联合体中的中小企业或签订分包意向协议的中小企业相关信息和中小企业在项目中所承担的具体内容，联合协议或者分包意向协议中明确中小企业合同金额达到的比例，且比例不得低于落实政府采购政策需满</w:t>
      </w:r>
      <w:r>
        <w:rPr>
          <w:rFonts w:hint="eastAsia" w:ascii="宋体" w:hAnsi="宋体" w:eastAsia="宋体" w:cs="宋体"/>
          <w:sz w:val="19"/>
        </w:rPr>
        <w:t>足的资格要求中的比例要求。组成联合体或者接受分包合同的中小企业与联合体内其他企业、分包企业之间不得存在直接控  股、管理关系。</w:t>
      </w:r>
    </w:p>
    <w:p>
      <w:pPr>
        <w:pStyle w:val="18"/>
        <w:numPr>
          <w:ilvl w:val="0"/>
          <w:numId w:val="90"/>
        </w:numPr>
        <w:tabs>
          <w:tab w:val="left" w:pos="1016"/>
        </w:tabs>
        <w:spacing w:before="0" w:after="0" w:line="240" w:lineRule="exact"/>
        <w:ind w:left="1015" w:right="0" w:hanging="506"/>
        <w:jc w:val="left"/>
        <w:rPr>
          <w:rFonts w:hint="eastAsia" w:ascii="宋体" w:hAnsi="宋体" w:eastAsia="宋体" w:cs="宋体"/>
          <w:sz w:val="19"/>
        </w:rPr>
      </w:pPr>
      <w:r>
        <w:rPr>
          <w:rFonts w:hint="eastAsia" w:ascii="宋体" w:hAnsi="宋体" w:eastAsia="宋体" w:cs="宋体"/>
          <w:sz w:val="19"/>
        </w:rPr>
        <w:t>对小微企业不再执行价格评审优惠。</w:t>
      </w:r>
    </w:p>
    <w:p>
      <w:pPr>
        <w:pStyle w:val="18"/>
        <w:numPr>
          <w:ilvl w:val="1"/>
          <w:numId w:val="88"/>
        </w:numPr>
        <w:tabs>
          <w:tab w:val="left" w:pos="814"/>
        </w:tabs>
        <w:spacing w:before="139" w:after="0" w:line="240" w:lineRule="auto"/>
        <w:ind w:left="813" w:right="0" w:hanging="304"/>
        <w:jc w:val="left"/>
        <w:rPr>
          <w:rFonts w:hint="eastAsia" w:ascii="宋体" w:hAnsi="宋体" w:eastAsia="宋体" w:cs="宋体"/>
          <w:sz w:val="19"/>
        </w:rPr>
      </w:pPr>
      <w:r>
        <w:rPr>
          <w:rFonts w:hint="eastAsia" w:ascii="宋体" w:hAnsi="宋体" w:eastAsia="宋体" w:cs="宋体"/>
          <w:sz w:val="19"/>
        </w:rPr>
        <w:t>实施价格评审优惠扶持政策的相关要求：</w:t>
      </w:r>
    </w:p>
    <w:p>
      <w:pPr>
        <w:pStyle w:val="18"/>
        <w:numPr>
          <w:ilvl w:val="0"/>
          <w:numId w:val="91"/>
        </w:numPr>
        <w:tabs>
          <w:tab w:val="left" w:pos="1016"/>
        </w:tabs>
        <w:spacing w:before="141"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对于未预留份额专门面向中小企业采购的采购项目，以及预留份额项目中的非预留部分采购包，按照《政府采购促进中小企业发展管理办法》的规定，对符合要求的小微企业报价给予相应的价格的扣除（具体扣除比例见表格），</w:t>
      </w:r>
      <w:r>
        <w:rPr>
          <w:rFonts w:hint="eastAsia" w:ascii="宋体" w:hAnsi="宋体" w:eastAsia="宋体" w:cs="宋体"/>
          <w:spacing w:val="-4"/>
          <w:sz w:val="19"/>
        </w:rPr>
        <w:t>用扣除后的</w:t>
      </w:r>
      <w:r>
        <w:rPr>
          <w:rFonts w:hint="eastAsia" w:ascii="宋体" w:hAnsi="宋体" w:eastAsia="宋体" w:cs="宋体"/>
          <w:sz w:val="19"/>
        </w:rPr>
        <w:t>价格参加评审。投标人应提供标准格式的《中小企业声明函》或监狱企业证明文件或《残疾人福利性单位声明函》。</w:t>
      </w:r>
    </w:p>
    <w:p>
      <w:pPr>
        <w:pStyle w:val="18"/>
        <w:numPr>
          <w:ilvl w:val="0"/>
          <w:numId w:val="91"/>
        </w:numPr>
        <w:tabs>
          <w:tab w:val="left" w:pos="1016"/>
        </w:tabs>
        <w:spacing w:before="0" w:after="0" w:line="379" w:lineRule="auto"/>
        <w:ind w:left="126" w:right="109" w:firstLine="384"/>
        <w:jc w:val="left"/>
        <w:rPr>
          <w:rFonts w:hint="eastAsia" w:ascii="宋体" w:hAnsi="宋体" w:eastAsia="宋体" w:cs="宋体"/>
          <w:sz w:val="19"/>
        </w:rPr>
      </w:pPr>
      <w:r>
        <w:rPr>
          <w:rFonts w:hint="eastAsia" w:ascii="宋体" w:hAnsi="宋体" w:eastAsia="宋体" w:cs="宋体"/>
          <w:sz w:val="19"/>
        </w:rPr>
        <w:t>接受大中型企业与小微企业组成联合体或者允许大中型企业向一家或者多家小微企业分包的采购项目，对于联合协议或者分包意向协议约定小微企业的合同份额占到合同总金额</w:t>
      </w:r>
      <w:r>
        <w:rPr>
          <w:rFonts w:hint="eastAsia" w:ascii="宋体" w:hAnsi="宋体" w:eastAsia="宋体" w:cs="宋体"/>
          <w:spacing w:val="-3"/>
          <w:w w:val="130"/>
          <w:sz w:val="19"/>
        </w:rPr>
        <w:t>30%</w:t>
      </w:r>
      <w:r>
        <w:rPr>
          <w:rFonts w:hint="eastAsia" w:ascii="宋体" w:hAnsi="宋体" w:eastAsia="宋体" w:cs="宋体"/>
          <w:sz w:val="19"/>
        </w:rPr>
        <w:t>以上的联合体或者大中型企业的报价给予相应的扣除（具  体扣除比例见表格），</w:t>
      </w:r>
      <w:r>
        <w:rPr>
          <w:rFonts w:hint="eastAsia" w:ascii="宋体" w:hAnsi="宋体" w:eastAsia="宋体" w:cs="宋体"/>
          <w:spacing w:val="-1"/>
          <w:sz w:val="19"/>
        </w:rPr>
        <w:t>用扣除后的价格参加评审。投标人应提供《中小企业声明函》和联合协议或者分包意向协议。《中小企业声明函》填写联合体中的小微企业或签订分包意向协议的小微企业相关信息和小微企业在项目中所承担的具体内容，在联合</w:t>
      </w:r>
      <w:r>
        <w:rPr>
          <w:rFonts w:hint="eastAsia" w:ascii="宋体" w:hAnsi="宋体" w:eastAsia="宋体" w:cs="宋体"/>
          <w:sz w:val="19"/>
        </w:rPr>
        <w:t>协议或者分包意向协议中明确小微企业合同金额达到的</w:t>
      </w:r>
      <w:r>
        <w:rPr>
          <w:rFonts w:hint="eastAsia" w:ascii="宋体" w:hAnsi="宋体" w:eastAsia="宋体" w:cs="宋体"/>
          <w:spacing w:val="-3"/>
          <w:w w:val="130"/>
          <w:sz w:val="19"/>
        </w:rPr>
        <w:t>30%</w:t>
      </w:r>
      <w:r>
        <w:rPr>
          <w:rFonts w:hint="eastAsia" w:ascii="宋体" w:hAnsi="宋体" w:eastAsia="宋体" w:cs="宋体"/>
          <w:sz w:val="19"/>
        </w:rPr>
        <w:t>。组成联合体或者接受分包的小微企业与联合体内其他企业、分  包企业之间存在直接控股、管理关系的，不享受价格扣除优惠政策。</w:t>
      </w:r>
    </w:p>
    <w:p>
      <w:pPr>
        <w:pStyle w:val="18"/>
        <w:numPr>
          <w:ilvl w:val="0"/>
          <w:numId w:val="91"/>
        </w:numPr>
        <w:tabs>
          <w:tab w:val="left" w:pos="1016"/>
        </w:tabs>
        <w:spacing w:before="0" w:after="53" w:line="379" w:lineRule="auto"/>
        <w:ind w:left="510" w:right="4790" w:firstLine="0"/>
        <w:jc w:val="left"/>
        <w:rPr>
          <w:rFonts w:hint="eastAsia" w:ascii="宋体" w:hAnsi="宋体" w:eastAsia="宋体" w:cs="宋体"/>
          <w:sz w:val="19"/>
        </w:rPr>
      </w:pPr>
      <w:r>
        <w:rPr>
          <w:rFonts w:hint="eastAsia" w:ascii="宋体" w:hAnsi="宋体" w:eastAsia="宋体" w:cs="宋体"/>
          <w:spacing w:val="-1"/>
          <w:sz w:val="19"/>
        </w:rPr>
        <w:t>价格扣除比例对小型企业和微型企业同等对待，不作区分。</w:t>
      </w:r>
      <w:r>
        <w:rPr>
          <w:rFonts w:hint="eastAsia" w:ascii="宋体" w:hAnsi="宋体" w:eastAsia="宋体" w:cs="宋体"/>
          <w:sz w:val="19"/>
        </w:rPr>
        <w:t>合同包1（教师教育实训楼心理实训室教学设备）</w:t>
      </w: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04"/>
        <w:gridCol w:w="936"/>
        <w:gridCol w:w="2604"/>
        <w:gridCol w:w="1404"/>
        <w:gridCol w:w="480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804" w:type="dxa"/>
            <w:shd w:val="clear" w:color="auto" w:fill="F4F4F4"/>
          </w:tcPr>
          <w:p>
            <w:pPr>
              <w:pStyle w:val="19"/>
              <w:spacing w:before="9"/>
              <w:rPr>
                <w:rFonts w:hint="eastAsia" w:ascii="宋体" w:hAnsi="宋体" w:eastAsia="宋体" w:cs="宋体"/>
                <w:sz w:val="19"/>
              </w:rPr>
            </w:pPr>
          </w:p>
          <w:p>
            <w:pPr>
              <w:pStyle w:val="19"/>
              <w:ind w:left="190"/>
              <w:rPr>
                <w:rFonts w:hint="eastAsia" w:ascii="宋体" w:hAnsi="宋体" w:eastAsia="宋体" w:cs="宋体"/>
                <w:b/>
                <w:sz w:val="19"/>
              </w:rPr>
            </w:pPr>
            <w:r>
              <w:rPr>
                <w:rFonts w:hint="eastAsia" w:ascii="宋体" w:hAnsi="宋体" w:eastAsia="宋体" w:cs="宋体"/>
                <w:b/>
                <w:sz w:val="19"/>
              </w:rPr>
              <w:t>序号</w:t>
            </w:r>
          </w:p>
        </w:tc>
        <w:tc>
          <w:tcPr>
            <w:tcW w:w="936" w:type="dxa"/>
            <w:shd w:val="clear" w:color="auto" w:fill="F4F4F4"/>
          </w:tcPr>
          <w:p>
            <w:pPr>
              <w:pStyle w:val="19"/>
              <w:spacing w:before="9"/>
              <w:rPr>
                <w:rFonts w:hint="eastAsia" w:ascii="宋体" w:hAnsi="宋体" w:eastAsia="宋体" w:cs="宋体"/>
                <w:sz w:val="19"/>
              </w:rPr>
            </w:pPr>
          </w:p>
          <w:p>
            <w:pPr>
              <w:pStyle w:val="19"/>
              <w:ind w:left="256"/>
              <w:rPr>
                <w:rFonts w:hint="eastAsia" w:ascii="宋体" w:hAnsi="宋体" w:eastAsia="宋体" w:cs="宋体"/>
                <w:b/>
                <w:sz w:val="19"/>
              </w:rPr>
            </w:pPr>
            <w:r>
              <w:rPr>
                <w:rFonts w:hint="eastAsia" w:ascii="宋体" w:hAnsi="宋体" w:eastAsia="宋体" w:cs="宋体"/>
                <w:b/>
                <w:sz w:val="19"/>
              </w:rPr>
              <w:t>情形</w:t>
            </w:r>
          </w:p>
        </w:tc>
        <w:tc>
          <w:tcPr>
            <w:tcW w:w="2604" w:type="dxa"/>
            <w:shd w:val="clear" w:color="auto" w:fill="F4F4F4"/>
          </w:tcPr>
          <w:p>
            <w:pPr>
              <w:pStyle w:val="19"/>
              <w:spacing w:before="9"/>
              <w:rPr>
                <w:rFonts w:hint="eastAsia" w:ascii="宋体" w:hAnsi="宋体" w:eastAsia="宋体" w:cs="宋体"/>
                <w:sz w:val="19"/>
              </w:rPr>
            </w:pPr>
          </w:p>
          <w:p>
            <w:pPr>
              <w:pStyle w:val="19"/>
              <w:ind w:left="889" w:right="897"/>
              <w:jc w:val="center"/>
              <w:rPr>
                <w:rFonts w:hint="eastAsia" w:ascii="宋体" w:hAnsi="宋体" w:eastAsia="宋体" w:cs="宋体"/>
                <w:b/>
                <w:sz w:val="19"/>
              </w:rPr>
            </w:pPr>
            <w:r>
              <w:rPr>
                <w:rFonts w:hint="eastAsia" w:ascii="宋体" w:hAnsi="宋体" w:eastAsia="宋体" w:cs="宋体"/>
                <w:b/>
                <w:sz w:val="19"/>
              </w:rPr>
              <w:t>适用对象</w:t>
            </w:r>
          </w:p>
        </w:tc>
        <w:tc>
          <w:tcPr>
            <w:tcW w:w="1404" w:type="dxa"/>
            <w:shd w:val="clear" w:color="auto" w:fill="F4F4F4"/>
          </w:tcPr>
          <w:p>
            <w:pPr>
              <w:pStyle w:val="19"/>
              <w:spacing w:before="60"/>
              <w:ind w:left="194" w:right="201"/>
              <w:jc w:val="center"/>
              <w:rPr>
                <w:rFonts w:hint="eastAsia" w:ascii="宋体" w:hAnsi="宋体" w:eastAsia="宋体" w:cs="宋体"/>
                <w:b/>
                <w:sz w:val="19"/>
              </w:rPr>
            </w:pPr>
            <w:r>
              <w:rPr>
                <w:rFonts w:hint="eastAsia" w:ascii="宋体" w:hAnsi="宋体" w:eastAsia="宋体" w:cs="宋体"/>
                <w:b/>
                <w:sz w:val="19"/>
              </w:rPr>
              <w:t>价格扣除比</w:t>
            </w:r>
          </w:p>
          <w:p>
            <w:pPr>
              <w:pStyle w:val="19"/>
              <w:spacing w:before="141"/>
              <w:ind w:right="7"/>
              <w:jc w:val="center"/>
              <w:rPr>
                <w:rFonts w:hint="eastAsia" w:ascii="宋体" w:hAnsi="宋体" w:eastAsia="宋体" w:cs="宋体"/>
                <w:b/>
                <w:sz w:val="19"/>
              </w:rPr>
            </w:pPr>
            <w:r>
              <w:rPr>
                <w:rFonts w:hint="eastAsia" w:ascii="宋体" w:hAnsi="宋体" w:eastAsia="宋体" w:cs="宋体"/>
                <w:b/>
                <w:w w:val="100"/>
                <w:sz w:val="19"/>
              </w:rPr>
              <w:t>例</w:t>
            </w:r>
          </w:p>
        </w:tc>
        <w:tc>
          <w:tcPr>
            <w:tcW w:w="4801" w:type="dxa"/>
            <w:shd w:val="clear" w:color="auto" w:fill="F4F4F4"/>
          </w:tcPr>
          <w:p>
            <w:pPr>
              <w:pStyle w:val="19"/>
              <w:spacing w:before="9"/>
              <w:rPr>
                <w:rFonts w:hint="eastAsia" w:ascii="宋体" w:hAnsi="宋体" w:eastAsia="宋体" w:cs="宋体"/>
                <w:sz w:val="19"/>
              </w:rPr>
            </w:pPr>
          </w:p>
          <w:p>
            <w:pPr>
              <w:pStyle w:val="19"/>
              <w:ind w:left="1988" w:right="1994"/>
              <w:jc w:val="center"/>
              <w:rPr>
                <w:rFonts w:hint="eastAsia" w:ascii="宋体" w:hAnsi="宋体" w:eastAsia="宋体" w:cs="宋体"/>
                <w:b/>
                <w:sz w:val="19"/>
              </w:rPr>
            </w:pPr>
            <w:r>
              <w:rPr>
                <w:rFonts w:hint="eastAsia" w:ascii="宋体" w:hAnsi="宋体" w:eastAsia="宋体" w:cs="宋体"/>
                <w:b/>
                <w:sz w:val="19"/>
              </w:rPr>
              <w:t>计算公式</w:t>
            </w:r>
          </w:p>
        </w:tc>
      </w:tr>
    </w:tbl>
    <w:p>
      <w:pPr>
        <w:spacing w:after="0"/>
        <w:jc w:val="center"/>
        <w:rPr>
          <w:rFonts w:hint="eastAsia" w:ascii="宋体" w:hAnsi="宋体" w:eastAsia="宋体" w:cs="宋体"/>
          <w:sz w:val="19"/>
        </w:rPr>
        <w:sectPr>
          <w:pgSz w:w="11900" w:h="16840"/>
          <w:pgMar w:top="560" w:right="560" w:bottom="280" w:left="540" w:header="0" w:footer="13" w:gutter="0"/>
          <w:cols w:space="720" w:num="1"/>
        </w:sectPr>
      </w:pPr>
    </w:p>
    <w:tbl>
      <w:tblPr>
        <w:tblStyle w:val="16"/>
        <w:tblW w:w="0" w:type="auto"/>
        <w:tblInd w:w="14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04"/>
        <w:gridCol w:w="936"/>
        <w:gridCol w:w="2604"/>
        <w:gridCol w:w="1404"/>
        <w:gridCol w:w="480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804" w:type="dxa"/>
            <w:shd w:val="clear" w:color="auto" w:fill="F4F4F4"/>
          </w:tcPr>
          <w:p>
            <w:pPr>
              <w:pStyle w:val="19"/>
              <w:spacing w:before="9"/>
              <w:rPr>
                <w:rFonts w:hint="eastAsia" w:ascii="宋体" w:hAnsi="宋体" w:eastAsia="宋体" w:cs="宋体"/>
                <w:sz w:val="19"/>
              </w:rPr>
            </w:pPr>
          </w:p>
          <w:p>
            <w:pPr>
              <w:pStyle w:val="19"/>
              <w:ind w:left="190"/>
              <w:rPr>
                <w:rFonts w:hint="eastAsia" w:ascii="宋体" w:hAnsi="宋体" w:eastAsia="宋体" w:cs="宋体"/>
                <w:b/>
                <w:sz w:val="19"/>
              </w:rPr>
            </w:pPr>
            <w:r>
              <w:rPr>
                <w:rFonts w:hint="eastAsia" w:ascii="宋体" w:hAnsi="宋体" w:eastAsia="宋体" w:cs="宋体"/>
                <w:b/>
                <w:sz w:val="19"/>
              </w:rPr>
              <w:t>序号</w:t>
            </w:r>
          </w:p>
        </w:tc>
        <w:tc>
          <w:tcPr>
            <w:tcW w:w="936" w:type="dxa"/>
            <w:shd w:val="clear" w:color="auto" w:fill="F4F4F4"/>
          </w:tcPr>
          <w:p>
            <w:pPr>
              <w:pStyle w:val="19"/>
              <w:spacing w:before="9"/>
              <w:rPr>
                <w:rFonts w:hint="eastAsia" w:ascii="宋体" w:hAnsi="宋体" w:eastAsia="宋体" w:cs="宋体"/>
                <w:sz w:val="19"/>
              </w:rPr>
            </w:pPr>
          </w:p>
          <w:p>
            <w:pPr>
              <w:pStyle w:val="19"/>
              <w:ind w:left="256"/>
              <w:rPr>
                <w:rFonts w:hint="eastAsia" w:ascii="宋体" w:hAnsi="宋体" w:eastAsia="宋体" w:cs="宋体"/>
                <w:b/>
                <w:sz w:val="19"/>
              </w:rPr>
            </w:pPr>
            <w:r>
              <w:rPr>
                <w:rFonts w:hint="eastAsia" w:ascii="宋体" w:hAnsi="宋体" w:eastAsia="宋体" w:cs="宋体"/>
                <w:b/>
                <w:sz w:val="19"/>
              </w:rPr>
              <w:t>情形</w:t>
            </w:r>
          </w:p>
        </w:tc>
        <w:tc>
          <w:tcPr>
            <w:tcW w:w="2604" w:type="dxa"/>
            <w:shd w:val="clear" w:color="auto" w:fill="F4F4F4"/>
          </w:tcPr>
          <w:p>
            <w:pPr>
              <w:pStyle w:val="19"/>
              <w:spacing w:before="9"/>
              <w:rPr>
                <w:rFonts w:hint="eastAsia" w:ascii="宋体" w:hAnsi="宋体" w:eastAsia="宋体" w:cs="宋体"/>
                <w:sz w:val="19"/>
              </w:rPr>
            </w:pPr>
          </w:p>
          <w:p>
            <w:pPr>
              <w:pStyle w:val="19"/>
              <w:ind w:left="889" w:right="897"/>
              <w:jc w:val="center"/>
              <w:rPr>
                <w:rFonts w:hint="eastAsia" w:ascii="宋体" w:hAnsi="宋体" w:eastAsia="宋体" w:cs="宋体"/>
                <w:b/>
                <w:sz w:val="19"/>
              </w:rPr>
            </w:pPr>
            <w:r>
              <w:rPr>
                <w:rFonts w:hint="eastAsia" w:ascii="宋体" w:hAnsi="宋体" w:eastAsia="宋体" w:cs="宋体"/>
                <w:b/>
                <w:sz w:val="19"/>
              </w:rPr>
              <w:t>适用对象</w:t>
            </w:r>
          </w:p>
        </w:tc>
        <w:tc>
          <w:tcPr>
            <w:tcW w:w="1404" w:type="dxa"/>
            <w:shd w:val="clear" w:color="auto" w:fill="F4F4F4"/>
          </w:tcPr>
          <w:p>
            <w:pPr>
              <w:pStyle w:val="19"/>
              <w:spacing w:before="60"/>
              <w:ind w:left="194" w:right="201"/>
              <w:jc w:val="center"/>
              <w:rPr>
                <w:rFonts w:hint="eastAsia" w:ascii="宋体" w:hAnsi="宋体" w:eastAsia="宋体" w:cs="宋体"/>
                <w:b/>
                <w:sz w:val="19"/>
              </w:rPr>
            </w:pPr>
            <w:r>
              <w:rPr>
                <w:rFonts w:hint="eastAsia" w:ascii="宋体" w:hAnsi="宋体" w:eastAsia="宋体" w:cs="宋体"/>
                <w:b/>
                <w:sz w:val="19"/>
              </w:rPr>
              <w:t>价格扣除比</w:t>
            </w:r>
          </w:p>
          <w:p>
            <w:pPr>
              <w:pStyle w:val="19"/>
              <w:spacing w:before="141"/>
              <w:ind w:right="7"/>
              <w:jc w:val="center"/>
              <w:rPr>
                <w:rFonts w:hint="eastAsia" w:ascii="宋体" w:hAnsi="宋体" w:eastAsia="宋体" w:cs="宋体"/>
                <w:b/>
                <w:sz w:val="19"/>
              </w:rPr>
            </w:pPr>
            <w:r>
              <w:rPr>
                <w:rFonts w:hint="eastAsia" w:ascii="宋体" w:hAnsi="宋体" w:eastAsia="宋体" w:cs="宋体"/>
                <w:b/>
                <w:w w:val="100"/>
                <w:sz w:val="19"/>
              </w:rPr>
              <w:t>例</w:t>
            </w:r>
          </w:p>
        </w:tc>
        <w:tc>
          <w:tcPr>
            <w:tcW w:w="4801" w:type="dxa"/>
            <w:shd w:val="clear" w:color="auto" w:fill="F4F4F4"/>
          </w:tcPr>
          <w:p>
            <w:pPr>
              <w:pStyle w:val="19"/>
              <w:spacing w:before="9"/>
              <w:rPr>
                <w:rFonts w:hint="eastAsia" w:ascii="宋体" w:hAnsi="宋体" w:eastAsia="宋体" w:cs="宋体"/>
                <w:sz w:val="19"/>
              </w:rPr>
            </w:pPr>
          </w:p>
          <w:p>
            <w:pPr>
              <w:pStyle w:val="19"/>
              <w:ind w:left="1988" w:right="1994"/>
              <w:jc w:val="center"/>
              <w:rPr>
                <w:rFonts w:hint="eastAsia" w:ascii="宋体" w:hAnsi="宋体" w:eastAsia="宋体" w:cs="宋体"/>
                <w:b/>
                <w:sz w:val="19"/>
              </w:rPr>
            </w:pPr>
            <w:r>
              <w:rPr>
                <w:rFonts w:hint="eastAsia" w:ascii="宋体" w:hAnsi="宋体" w:eastAsia="宋体" w:cs="宋体"/>
                <w:b/>
                <w:sz w:val="19"/>
              </w:rPr>
              <w:t>计算公式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85" w:hRule="atLeast"/>
        </w:trPr>
        <w:tc>
          <w:tcPr>
            <w:tcW w:w="804" w:type="dxa"/>
          </w:tcPr>
          <w:p>
            <w:pPr>
              <w:pStyle w:val="19"/>
              <w:rPr>
                <w:rFonts w:hint="eastAsia" w:ascii="宋体" w:hAnsi="宋体" w:eastAsia="宋体" w:cs="宋体"/>
                <w:sz w:val="22"/>
              </w:rPr>
            </w:pPr>
          </w:p>
          <w:p>
            <w:pPr>
              <w:pStyle w:val="19"/>
              <w:rPr>
                <w:rFonts w:hint="eastAsia" w:ascii="宋体" w:hAnsi="宋体" w:eastAsia="宋体" w:cs="宋体"/>
                <w:sz w:val="22"/>
              </w:rPr>
            </w:pPr>
          </w:p>
          <w:p>
            <w:pPr>
              <w:pStyle w:val="19"/>
              <w:rPr>
                <w:rFonts w:hint="eastAsia" w:ascii="宋体" w:hAnsi="宋体" w:eastAsia="宋体" w:cs="宋体"/>
                <w:sz w:val="22"/>
              </w:rPr>
            </w:pPr>
          </w:p>
          <w:p>
            <w:pPr>
              <w:pStyle w:val="19"/>
              <w:spacing w:before="8"/>
              <w:rPr>
                <w:rFonts w:hint="eastAsia" w:ascii="宋体" w:hAnsi="宋体" w:eastAsia="宋体" w:cs="宋体"/>
                <w:sz w:val="28"/>
              </w:rPr>
            </w:pPr>
          </w:p>
          <w:p>
            <w:pPr>
              <w:pStyle w:val="19"/>
              <w:ind w:left="100"/>
              <w:rPr>
                <w:rFonts w:hint="eastAsia" w:ascii="宋体" w:hAnsi="宋体" w:eastAsia="宋体" w:cs="宋体"/>
                <w:sz w:val="19"/>
              </w:rPr>
            </w:pPr>
            <w:r>
              <w:rPr>
                <w:rFonts w:hint="eastAsia" w:ascii="宋体" w:hAnsi="宋体" w:eastAsia="宋体" w:cs="宋体"/>
                <w:w w:val="128"/>
                <w:sz w:val="19"/>
              </w:rPr>
              <w:t>1</w:t>
            </w:r>
          </w:p>
        </w:tc>
        <w:tc>
          <w:tcPr>
            <w:tcW w:w="936" w:type="dxa"/>
          </w:tcPr>
          <w:p>
            <w:pPr>
              <w:pStyle w:val="19"/>
              <w:spacing w:before="60" w:line="379" w:lineRule="auto"/>
              <w:ind w:left="100" w:right="242"/>
              <w:jc w:val="both"/>
              <w:rPr>
                <w:rFonts w:hint="eastAsia" w:ascii="宋体" w:hAnsi="宋体" w:eastAsia="宋体" w:cs="宋体"/>
                <w:sz w:val="19"/>
              </w:rPr>
            </w:pPr>
            <w:r>
              <w:rPr>
                <w:rFonts w:hint="eastAsia" w:ascii="宋体" w:hAnsi="宋体" w:eastAsia="宋体" w:cs="宋体"/>
                <w:spacing w:val="-7"/>
                <w:sz w:val="19"/>
              </w:rPr>
              <w:t>小型、微型企业，监狱企业</w:t>
            </w:r>
          </w:p>
          <w:p>
            <w:pPr>
              <w:pStyle w:val="19"/>
              <w:spacing w:line="379" w:lineRule="auto"/>
              <w:ind w:left="100" w:right="242"/>
              <w:rPr>
                <w:rFonts w:hint="eastAsia" w:ascii="宋体" w:hAnsi="宋体" w:eastAsia="宋体" w:cs="宋体"/>
                <w:sz w:val="19"/>
              </w:rPr>
            </w:pPr>
            <w:r>
              <w:rPr>
                <w:rFonts w:hint="eastAsia" w:ascii="宋体" w:hAnsi="宋体" w:eastAsia="宋体" w:cs="宋体"/>
                <w:spacing w:val="-7"/>
                <w:sz w:val="19"/>
              </w:rPr>
              <w:t>，残疾人福利</w:t>
            </w:r>
          </w:p>
          <w:p>
            <w:pPr>
              <w:pStyle w:val="19"/>
              <w:spacing w:line="242" w:lineRule="exact"/>
              <w:ind w:left="100"/>
              <w:rPr>
                <w:rFonts w:hint="eastAsia" w:ascii="宋体" w:hAnsi="宋体" w:eastAsia="宋体" w:cs="宋体"/>
                <w:sz w:val="19"/>
              </w:rPr>
            </w:pPr>
            <w:r>
              <w:rPr>
                <w:rFonts w:hint="eastAsia" w:ascii="宋体" w:hAnsi="宋体" w:eastAsia="宋体" w:cs="宋体"/>
                <w:sz w:val="19"/>
              </w:rPr>
              <w:t>性单位</w:t>
            </w:r>
          </w:p>
        </w:tc>
        <w:tc>
          <w:tcPr>
            <w:tcW w:w="2604" w:type="dxa"/>
          </w:tcPr>
          <w:p>
            <w:pPr>
              <w:pStyle w:val="19"/>
              <w:rPr>
                <w:rFonts w:hint="eastAsia" w:ascii="宋体" w:hAnsi="宋体" w:eastAsia="宋体" w:cs="宋体"/>
                <w:sz w:val="18"/>
              </w:rPr>
            </w:pPr>
          </w:p>
          <w:p>
            <w:pPr>
              <w:pStyle w:val="19"/>
              <w:rPr>
                <w:rFonts w:hint="eastAsia" w:ascii="宋体" w:hAnsi="宋体" w:eastAsia="宋体" w:cs="宋体"/>
                <w:sz w:val="18"/>
              </w:rPr>
            </w:pPr>
          </w:p>
          <w:p>
            <w:pPr>
              <w:pStyle w:val="19"/>
              <w:rPr>
                <w:rFonts w:hint="eastAsia" w:ascii="宋体" w:hAnsi="宋体" w:eastAsia="宋体" w:cs="宋体"/>
                <w:sz w:val="18"/>
              </w:rPr>
            </w:pPr>
          </w:p>
          <w:p>
            <w:pPr>
              <w:pStyle w:val="19"/>
              <w:rPr>
                <w:rFonts w:hint="eastAsia" w:ascii="宋体" w:hAnsi="宋体" w:eastAsia="宋体" w:cs="宋体"/>
                <w:sz w:val="18"/>
              </w:rPr>
            </w:pPr>
          </w:p>
          <w:p>
            <w:pPr>
              <w:pStyle w:val="19"/>
              <w:spacing w:before="8"/>
              <w:rPr>
                <w:rFonts w:hint="eastAsia" w:ascii="宋体" w:hAnsi="宋体" w:eastAsia="宋体" w:cs="宋体"/>
                <w:sz w:val="22"/>
              </w:rPr>
            </w:pPr>
          </w:p>
          <w:p>
            <w:pPr>
              <w:pStyle w:val="19"/>
              <w:ind w:left="101"/>
              <w:rPr>
                <w:rFonts w:hint="eastAsia" w:ascii="宋体" w:hAnsi="宋体" w:eastAsia="宋体" w:cs="宋体"/>
                <w:sz w:val="19"/>
              </w:rPr>
            </w:pPr>
            <w:r>
              <w:rPr>
                <w:rFonts w:hint="eastAsia" w:ascii="宋体" w:hAnsi="宋体" w:eastAsia="宋体" w:cs="宋体"/>
                <w:sz w:val="19"/>
              </w:rPr>
              <w:t>非联合体</w:t>
            </w:r>
          </w:p>
        </w:tc>
        <w:tc>
          <w:tcPr>
            <w:tcW w:w="1404" w:type="dxa"/>
          </w:tcPr>
          <w:p>
            <w:pPr>
              <w:pStyle w:val="19"/>
              <w:rPr>
                <w:rFonts w:hint="eastAsia" w:ascii="宋体" w:hAnsi="宋体" w:eastAsia="宋体" w:cs="宋体"/>
                <w:sz w:val="22"/>
              </w:rPr>
            </w:pPr>
          </w:p>
          <w:p>
            <w:pPr>
              <w:pStyle w:val="19"/>
              <w:rPr>
                <w:rFonts w:hint="eastAsia" w:ascii="宋体" w:hAnsi="宋体" w:eastAsia="宋体" w:cs="宋体"/>
                <w:sz w:val="22"/>
              </w:rPr>
            </w:pPr>
          </w:p>
          <w:p>
            <w:pPr>
              <w:pStyle w:val="19"/>
              <w:rPr>
                <w:rFonts w:hint="eastAsia" w:ascii="宋体" w:hAnsi="宋体" w:eastAsia="宋体" w:cs="宋体"/>
                <w:sz w:val="22"/>
              </w:rPr>
            </w:pPr>
          </w:p>
          <w:p>
            <w:pPr>
              <w:pStyle w:val="19"/>
              <w:spacing w:before="8"/>
              <w:rPr>
                <w:rFonts w:hint="eastAsia" w:ascii="宋体" w:hAnsi="宋体" w:eastAsia="宋体" w:cs="宋体"/>
                <w:sz w:val="28"/>
              </w:rPr>
            </w:pPr>
          </w:p>
          <w:p>
            <w:pPr>
              <w:pStyle w:val="19"/>
              <w:ind w:left="101"/>
              <w:rPr>
                <w:rFonts w:hint="eastAsia" w:ascii="宋体" w:hAnsi="宋体" w:eastAsia="宋体" w:cs="宋体"/>
                <w:sz w:val="19"/>
              </w:rPr>
            </w:pPr>
            <w:r>
              <w:rPr>
                <w:rFonts w:hint="eastAsia" w:ascii="宋体" w:hAnsi="宋体" w:eastAsia="宋体" w:cs="宋体"/>
                <w:w w:val="150"/>
                <w:sz w:val="19"/>
              </w:rPr>
              <w:t>20%</w:t>
            </w:r>
          </w:p>
        </w:tc>
        <w:tc>
          <w:tcPr>
            <w:tcW w:w="4801" w:type="dxa"/>
          </w:tcPr>
          <w:p>
            <w:pPr>
              <w:pStyle w:val="19"/>
              <w:rPr>
                <w:rFonts w:hint="eastAsia" w:ascii="宋体" w:hAnsi="宋体" w:eastAsia="宋体" w:cs="宋体"/>
                <w:sz w:val="18"/>
              </w:rPr>
            </w:pPr>
          </w:p>
          <w:p>
            <w:pPr>
              <w:pStyle w:val="19"/>
              <w:spacing w:before="154" w:line="379" w:lineRule="auto"/>
              <w:ind w:left="102" w:right="204"/>
              <w:jc w:val="both"/>
              <w:rPr>
                <w:rFonts w:hint="eastAsia" w:ascii="宋体" w:hAnsi="宋体" w:eastAsia="宋体" w:cs="宋体"/>
                <w:sz w:val="19"/>
              </w:rPr>
            </w:pPr>
            <w:r>
              <w:rPr>
                <w:rFonts w:hint="eastAsia" w:ascii="宋体" w:hAnsi="宋体" w:eastAsia="宋体" w:cs="宋体"/>
                <w:sz w:val="19"/>
              </w:rPr>
              <w:t>货物由小微企业制造，即货物由小微企业生产且使用该小微企业商号或者注册商标时，给予价格扣除</w:t>
            </w:r>
            <w:r>
              <w:rPr>
                <w:rFonts w:hint="eastAsia" w:ascii="宋体" w:hAnsi="宋体" w:eastAsia="宋体" w:cs="宋体"/>
                <w:spacing w:val="-8"/>
                <w:sz w:val="19"/>
              </w:rPr>
              <w:t xml:space="preserve">C1， </w:t>
            </w:r>
            <w:r>
              <w:rPr>
                <w:rFonts w:hint="eastAsia" w:ascii="宋体" w:hAnsi="宋体" w:eastAsia="宋体" w:cs="宋体"/>
                <w:w w:val="101"/>
                <w:sz w:val="19"/>
              </w:rPr>
              <w:t>即：评标价</w:t>
            </w:r>
            <w:r>
              <w:rPr>
                <w:rFonts w:hint="eastAsia" w:ascii="宋体" w:hAnsi="宋体" w:eastAsia="宋体" w:cs="宋体"/>
                <w:spacing w:val="-5"/>
                <w:w w:val="169"/>
                <w:sz w:val="19"/>
              </w:rPr>
              <w:t>=</w:t>
            </w:r>
            <w:r>
              <w:rPr>
                <w:rFonts w:hint="eastAsia" w:ascii="宋体" w:hAnsi="宋体" w:eastAsia="宋体" w:cs="宋体"/>
                <w:w w:val="101"/>
                <w:sz w:val="19"/>
              </w:rPr>
              <w:t>投标报价</w:t>
            </w:r>
            <w:r>
              <w:rPr>
                <w:rFonts w:hint="eastAsia" w:ascii="宋体" w:hAnsi="宋体" w:eastAsia="宋体" w:cs="宋体"/>
                <w:spacing w:val="-5"/>
                <w:w w:val="84"/>
                <w:sz w:val="19"/>
              </w:rPr>
              <w:t>×</w:t>
            </w:r>
            <w:r>
              <w:rPr>
                <w:rFonts w:hint="eastAsia" w:ascii="宋体" w:hAnsi="宋体" w:eastAsia="宋体" w:cs="宋体"/>
                <w:w w:val="101"/>
                <w:sz w:val="19"/>
              </w:rPr>
              <w:t>（</w:t>
            </w:r>
            <w:r>
              <w:rPr>
                <w:rFonts w:hint="eastAsia" w:ascii="宋体" w:hAnsi="宋体" w:eastAsia="宋体" w:cs="宋体"/>
                <w:spacing w:val="-3"/>
                <w:w w:val="128"/>
                <w:sz w:val="19"/>
              </w:rPr>
              <w:t>1</w:t>
            </w:r>
            <w:r>
              <w:rPr>
                <w:rFonts w:hint="eastAsia" w:ascii="宋体" w:hAnsi="宋体" w:eastAsia="宋体" w:cs="宋体"/>
                <w:spacing w:val="2"/>
                <w:w w:val="72"/>
                <w:sz w:val="19"/>
              </w:rPr>
              <w:t>-</w:t>
            </w:r>
            <w:r>
              <w:rPr>
                <w:rFonts w:hint="eastAsia" w:ascii="宋体" w:hAnsi="宋体" w:eastAsia="宋体" w:cs="宋体"/>
                <w:spacing w:val="-3"/>
                <w:w w:val="106"/>
                <w:sz w:val="19"/>
              </w:rPr>
              <w:t>C</w:t>
            </w:r>
            <w:r>
              <w:rPr>
                <w:rFonts w:hint="eastAsia" w:ascii="宋体" w:hAnsi="宋体" w:eastAsia="宋体" w:cs="宋体"/>
                <w:spacing w:val="-3"/>
                <w:w w:val="128"/>
                <w:sz w:val="19"/>
              </w:rPr>
              <w:t>1</w:t>
            </w:r>
            <w:r>
              <w:rPr>
                <w:rFonts w:hint="eastAsia" w:ascii="宋体" w:hAnsi="宋体" w:eastAsia="宋体" w:cs="宋体"/>
                <w:w w:val="101"/>
                <w:sz w:val="19"/>
              </w:rPr>
              <w:t>）</w:t>
            </w:r>
            <w:r>
              <w:rPr>
                <w:rFonts w:hint="eastAsia" w:ascii="宋体" w:hAnsi="宋体" w:eastAsia="宋体" w:cs="宋体"/>
                <w:spacing w:val="-5"/>
                <w:w w:val="167"/>
                <w:sz w:val="19"/>
              </w:rPr>
              <w:t>;</w:t>
            </w:r>
            <w:r>
              <w:rPr>
                <w:rFonts w:hint="eastAsia" w:ascii="宋体" w:hAnsi="宋体" w:eastAsia="宋体" w:cs="宋体"/>
                <w:w w:val="101"/>
                <w:sz w:val="19"/>
              </w:rPr>
              <w:t>监狱企业与残疾人</w:t>
            </w:r>
            <w:r>
              <w:rPr>
                <w:rFonts w:hint="eastAsia" w:ascii="宋体" w:hAnsi="宋体" w:eastAsia="宋体" w:cs="宋体"/>
                <w:sz w:val="19"/>
              </w:rPr>
              <w:t>福利性单位视同小型、微型企业，享受同等价格扣除</w:t>
            </w:r>
          </w:p>
          <w:p>
            <w:pPr>
              <w:pStyle w:val="19"/>
              <w:spacing w:line="241" w:lineRule="exact"/>
              <w:ind w:left="102"/>
              <w:rPr>
                <w:rFonts w:hint="eastAsia" w:ascii="宋体" w:hAnsi="宋体" w:eastAsia="宋体" w:cs="宋体"/>
                <w:sz w:val="19"/>
              </w:rPr>
            </w:pPr>
            <w:r>
              <w:rPr>
                <w:rFonts w:hint="eastAsia" w:ascii="宋体" w:hAnsi="宋体" w:eastAsia="宋体" w:cs="宋体"/>
                <w:sz w:val="19"/>
              </w:rPr>
              <w:t>，当企业属性重复时，不重复价格扣除。</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0549" w:type="dxa"/>
            <w:gridSpan w:val="5"/>
          </w:tcPr>
          <w:p>
            <w:pPr>
              <w:pStyle w:val="19"/>
              <w:spacing w:before="60"/>
              <w:ind w:left="100"/>
              <w:rPr>
                <w:rFonts w:hint="eastAsia" w:ascii="宋体" w:hAnsi="宋体" w:eastAsia="宋体" w:cs="宋体"/>
                <w:sz w:val="19"/>
              </w:rPr>
            </w:pPr>
            <w:r>
              <w:rPr>
                <w:rFonts w:hint="eastAsia" w:ascii="宋体" w:hAnsi="宋体" w:eastAsia="宋体" w:cs="宋体"/>
                <w:sz w:val="19"/>
              </w:rPr>
              <w:t>注：（1）上述评标价仅用于计算价格评分，成交金额以实际投标价为准。 （2）组成联合体的大中型企业和其他自然人、</w:t>
            </w:r>
          </w:p>
          <w:p>
            <w:pPr>
              <w:pStyle w:val="19"/>
              <w:spacing w:before="141"/>
              <w:ind w:left="100"/>
              <w:rPr>
                <w:rFonts w:hint="eastAsia" w:ascii="宋体" w:hAnsi="宋体" w:eastAsia="宋体" w:cs="宋体"/>
                <w:sz w:val="19"/>
              </w:rPr>
            </w:pPr>
            <w:r>
              <w:rPr>
                <w:rFonts w:hint="eastAsia" w:ascii="宋体" w:hAnsi="宋体" w:eastAsia="宋体" w:cs="宋体"/>
                <w:sz w:val="19"/>
              </w:rPr>
              <w:t>法人或者其他组织，与小型、微型企业之间不得存在投资关系。</w:t>
            </w:r>
          </w:p>
        </w:tc>
      </w:tr>
    </w:tbl>
    <w:p>
      <w:pPr>
        <w:pStyle w:val="9"/>
        <w:rPr>
          <w:rFonts w:hint="eastAsia" w:ascii="宋体" w:hAnsi="宋体" w:eastAsia="宋体" w:cs="宋体"/>
          <w:sz w:val="20"/>
        </w:rPr>
      </w:pPr>
    </w:p>
    <w:p>
      <w:pPr>
        <w:pStyle w:val="9"/>
        <w:spacing w:before="4"/>
        <w:rPr>
          <w:rFonts w:hint="eastAsia" w:ascii="宋体" w:hAnsi="宋体" w:eastAsia="宋体" w:cs="宋体"/>
          <w:sz w:val="28"/>
        </w:rPr>
      </w:pPr>
    </w:p>
    <w:p>
      <w:pPr>
        <w:pStyle w:val="5"/>
        <w:numPr>
          <w:ilvl w:val="0"/>
          <w:numId w:val="88"/>
        </w:numPr>
        <w:tabs>
          <w:tab w:val="left" w:pos="333"/>
        </w:tabs>
        <w:spacing w:before="28" w:after="0" w:line="240" w:lineRule="auto"/>
        <w:ind w:left="332" w:right="0" w:hanging="207"/>
        <w:jc w:val="left"/>
        <w:rPr>
          <w:rFonts w:hint="eastAsia" w:ascii="宋体" w:hAnsi="宋体" w:eastAsia="宋体" w:cs="宋体"/>
        </w:rPr>
      </w:pPr>
      <w:r>
        <w:rPr>
          <w:rFonts w:hint="eastAsia" w:ascii="宋体" w:hAnsi="宋体" w:eastAsia="宋体" w:cs="宋体"/>
          <w:spacing w:val="10"/>
        </w:rPr>
        <w:t>节能、环保要求</w:t>
      </w:r>
    </w:p>
    <w:p>
      <w:pPr>
        <w:pStyle w:val="9"/>
        <w:spacing w:before="71" w:line="379" w:lineRule="auto"/>
        <w:ind w:left="126" w:right="109" w:firstLine="384"/>
        <w:jc w:val="both"/>
        <w:rPr>
          <w:rFonts w:hint="eastAsia" w:ascii="宋体" w:hAnsi="宋体" w:eastAsia="宋体" w:cs="宋体"/>
        </w:rPr>
      </w:pPr>
      <w:r>
        <w:rPr>
          <w:rFonts w:hint="eastAsia" w:ascii="宋体" w:hAnsi="宋体" w:eastAsia="宋体" w:cs="宋体"/>
        </w:rPr>
        <w:t>采购的产品属于品目清单范围的，将依据国家确定的认证机构出具的、处于有效期之内的节能产品、环境标志产品认证证书，对获得证书的产品实施政府优先采购或强制采购。货物或工程量清单施工材料中，所投设备属于《节能产品政府采购品目清单》中强制采购产品范围的（如台式计算机，便携式计算机，平板式微型计算机，激光打印机，针式打印机，液晶显示器， 制冷压缩机，空调机组，专用制冷、空调设备，镇流器，空调机，电热水器，普通照明用双端荧光灯，电视设备，视频设备， 便器，水嘴等为政府强制采购的产品），供应商应提供国家确定的认证机构出具的、处于有效期之内的节能产品认证证书，否</w:t>
      </w:r>
    </w:p>
    <w:p>
      <w:pPr>
        <w:pStyle w:val="9"/>
        <w:spacing w:line="241" w:lineRule="exact"/>
        <w:ind w:left="126"/>
        <w:rPr>
          <w:rFonts w:hint="eastAsia" w:ascii="宋体" w:hAnsi="宋体" w:eastAsia="宋体" w:cs="宋体"/>
        </w:rPr>
      </w:pPr>
      <w:r>
        <w:rPr>
          <w:rFonts w:hint="eastAsia" w:ascii="宋体" w:hAnsi="宋体" w:eastAsia="宋体" w:cs="宋体"/>
        </w:rPr>
        <w:t>则其响应文件无效。</w:t>
      </w:r>
    </w:p>
    <w:p>
      <w:pPr>
        <w:pStyle w:val="9"/>
        <w:spacing w:before="80" w:line="225" w:lineRule="auto"/>
        <w:ind w:left="126" w:right="193"/>
        <w:rPr>
          <w:rFonts w:hint="eastAsia" w:ascii="宋体" w:hAnsi="宋体" w:eastAsia="宋体" w:cs="宋体"/>
        </w:rPr>
      </w:pPr>
      <w:r>
        <w:rPr>
          <w:rFonts w:hint="eastAsia" w:ascii="宋体" w:hAnsi="宋体" w:eastAsia="宋体" w:cs="宋体"/>
        </w:rPr>
        <w:t>注：（1）上述评标价仅用于计算价格评分，成交金额以实际投标价为准。 （2）组成联合体的大中型企业和其他自然人、法</w:t>
      </w:r>
      <w:r>
        <w:rPr>
          <w:rFonts w:hint="eastAsia" w:ascii="宋体" w:hAnsi="宋体" w:eastAsia="宋体" w:cs="宋体"/>
          <w:w w:val="105"/>
        </w:rPr>
        <w:t>人或者其他组织，与小型、微型企业之间不得存在投资关系。</w:t>
      </w:r>
    </w:p>
    <w:p>
      <w:pPr>
        <w:pStyle w:val="9"/>
        <w:rPr>
          <w:rFonts w:hint="eastAsia" w:ascii="宋体" w:hAnsi="宋体" w:eastAsia="宋体" w:cs="宋体"/>
          <w:sz w:val="18"/>
        </w:rPr>
      </w:pPr>
    </w:p>
    <w:p>
      <w:pPr>
        <w:pStyle w:val="9"/>
        <w:spacing w:before="9"/>
        <w:rPr>
          <w:rFonts w:hint="eastAsia" w:ascii="宋体" w:hAnsi="宋体" w:eastAsia="宋体" w:cs="宋体"/>
          <w:sz w:val="13"/>
        </w:rPr>
      </w:pPr>
    </w:p>
    <w:p>
      <w:pPr>
        <w:pStyle w:val="5"/>
        <w:numPr>
          <w:ilvl w:val="0"/>
          <w:numId w:val="88"/>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10"/>
        </w:rPr>
        <w:t>价格扣除相关要求</w:t>
      </w:r>
    </w:p>
    <w:p>
      <w:pPr>
        <w:pStyle w:val="18"/>
        <w:numPr>
          <w:ilvl w:val="1"/>
          <w:numId w:val="88"/>
        </w:numPr>
        <w:tabs>
          <w:tab w:val="left" w:pos="430"/>
        </w:tabs>
        <w:spacing w:before="191" w:after="0" w:line="240" w:lineRule="auto"/>
        <w:ind w:left="429" w:right="0" w:hanging="304"/>
        <w:jc w:val="left"/>
        <w:rPr>
          <w:rFonts w:hint="eastAsia" w:ascii="宋体" w:hAnsi="宋体" w:eastAsia="宋体" w:cs="宋体"/>
          <w:sz w:val="19"/>
        </w:rPr>
      </w:pPr>
      <w:r>
        <w:rPr>
          <w:rFonts w:hint="eastAsia" w:ascii="宋体" w:hAnsi="宋体" w:eastAsia="宋体" w:cs="宋体"/>
          <w:sz w:val="19"/>
        </w:rPr>
        <w:t>所称小型和微型企业应当同时符合以下条件：</w:t>
      </w:r>
    </w:p>
    <w:p>
      <w:pPr>
        <w:pStyle w:val="18"/>
        <w:numPr>
          <w:ilvl w:val="0"/>
          <w:numId w:val="92"/>
        </w:numPr>
        <w:tabs>
          <w:tab w:val="left" w:pos="632"/>
        </w:tabs>
        <w:spacing w:before="176" w:after="0" w:line="240" w:lineRule="auto"/>
        <w:ind w:left="631" w:right="0" w:hanging="506"/>
        <w:jc w:val="left"/>
        <w:rPr>
          <w:rFonts w:hint="eastAsia" w:ascii="宋体" w:hAnsi="宋体" w:eastAsia="宋体" w:cs="宋体"/>
          <w:sz w:val="19"/>
        </w:rPr>
      </w:pPr>
      <w:r>
        <w:rPr>
          <w:rFonts w:hint="eastAsia" w:ascii="宋体" w:hAnsi="宋体" w:eastAsia="宋体" w:cs="宋体"/>
          <w:sz w:val="19"/>
        </w:rPr>
        <w:t>符合中小企业划分标准；</w:t>
      </w:r>
    </w:p>
    <w:p>
      <w:pPr>
        <w:pStyle w:val="18"/>
        <w:numPr>
          <w:ilvl w:val="0"/>
          <w:numId w:val="92"/>
        </w:numPr>
        <w:tabs>
          <w:tab w:val="left" w:pos="632"/>
        </w:tabs>
        <w:spacing w:before="189" w:after="0" w:line="225" w:lineRule="auto"/>
        <w:ind w:left="126" w:right="181" w:firstLine="0"/>
        <w:jc w:val="left"/>
        <w:rPr>
          <w:rFonts w:hint="eastAsia" w:ascii="宋体" w:hAnsi="宋体" w:eastAsia="宋体" w:cs="宋体"/>
          <w:sz w:val="19"/>
        </w:rPr>
      </w:pPr>
      <w:r>
        <w:rPr>
          <w:rFonts w:hint="eastAsia" w:ascii="宋体" w:hAnsi="宋体" w:eastAsia="宋体" w:cs="宋体"/>
          <w:spacing w:val="-1"/>
          <w:sz w:val="19"/>
        </w:rPr>
        <w:t>提供本企业制造的货物、承担的工程或者服务，或者提供其他中小企业制造的货物。本项所称货物不包括使用大型企业</w:t>
      </w:r>
      <w:r>
        <w:rPr>
          <w:rFonts w:hint="eastAsia" w:ascii="宋体" w:hAnsi="宋体" w:eastAsia="宋体" w:cs="宋体"/>
          <w:sz w:val="19"/>
        </w:rPr>
        <w:t>注册商标的货物。</w:t>
      </w:r>
    </w:p>
    <w:p>
      <w:pPr>
        <w:pStyle w:val="9"/>
        <w:spacing w:before="12"/>
        <w:rPr>
          <w:rFonts w:hint="eastAsia" w:ascii="宋体" w:hAnsi="宋体" w:eastAsia="宋体" w:cs="宋体"/>
          <w:sz w:val="13"/>
        </w:rPr>
      </w:pPr>
    </w:p>
    <w:p>
      <w:pPr>
        <w:pStyle w:val="18"/>
        <w:numPr>
          <w:ilvl w:val="0"/>
          <w:numId w:val="92"/>
        </w:numPr>
        <w:tabs>
          <w:tab w:val="left" w:pos="632"/>
        </w:tabs>
        <w:spacing w:before="0" w:after="0" w:line="240" w:lineRule="auto"/>
        <w:ind w:left="631" w:right="0" w:hanging="506"/>
        <w:jc w:val="left"/>
        <w:rPr>
          <w:rFonts w:hint="eastAsia" w:ascii="宋体" w:hAnsi="宋体" w:eastAsia="宋体" w:cs="宋体"/>
          <w:sz w:val="19"/>
        </w:rPr>
      </w:pPr>
      <w:r>
        <w:rPr>
          <w:rFonts w:hint="eastAsia" w:ascii="宋体" w:hAnsi="宋体" w:eastAsia="宋体" w:cs="宋体"/>
          <w:sz w:val="19"/>
        </w:rPr>
        <w:t>中小企业划分标准，是指国务院有关部门根据企业从业人员、营业收入、资产总额等指标制定的中小企业划型标准。</w:t>
      </w:r>
    </w:p>
    <w:p>
      <w:pPr>
        <w:pStyle w:val="18"/>
        <w:numPr>
          <w:ilvl w:val="0"/>
          <w:numId w:val="92"/>
        </w:numPr>
        <w:tabs>
          <w:tab w:val="left" w:pos="632"/>
        </w:tabs>
        <w:spacing w:before="188" w:after="0" w:line="225" w:lineRule="auto"/>
        <w:ind w:left="126" w:right="181" w:firstLine="0"/>
        <w:jc w:val="left"/>
        <w:rPr>
          <w:rFonts w:hint="eastAsia" w:ascii="宋体" w:hAnsi="宋体" w:eastAsia="宋体" w:cs="宋体"/>
          <w:sz w:val="19"/>
        </w:rPr>
      </w:pPr>
      <w:r>
        <w:rPr>
          <w:rFonts w:hint="eastAsia" w:ascii="宋体" w:hAnsi="宋体" w:eastAsia="宋体" w:cs="宋体"/>
          <w:spacing w:val="-1"/>
          <w:sz w:val="19"/>
        </w:rPr>
        <w:t>小型、微型企业提供中型企业制造的货物的，视同为中型企业。符合中小企业划分标准的个体工商户，在政府采购活动</w:t>
      </w:r>
      <w:r>
        <w:rPr>
          <w:rFonts w:hint="eastAsia" w:ascii="宋体" w:hAnsi="宋体" w:eastAsia="宋体" w:cs="宋体"/>
          <w:sz w:val="19"/>
        </w:rPr>
        <w:t>中视同中小企业。</w:t>
      </w:r>
    </w:p>
    <w:p>
      <w:pPr>
        <w:pStyle w:val="9"/>
        <w:spacing w:before="11"/>
        <w:rPr>
          <w:rFonts w:hint="eastAsia" w:ascii="宋体" w:hAnsi="宋体" w:eastAsia="宋体" w:cs="宋体"/>
          <w:sz w:val="14"/>
        </w:rPr>
      </w:pPr>
    </w:p>
    <w:p>
      <w:pPr>
        <w:pStyle w:val="18"/>
        <w:numPr>
          <w:ilvl w:val="1"/>
          <w:numId w:val="88"/>
        </w:numPr>
        <w:tabs>
          <w:tab w:val="left" w:pos="430"/>
        </w:tabs>
        <w:spacing w:before="0" w:after="0" w:line="225" w:lineRule="auto"/>
        <w:ind w:left="126" w:right="193" w:firstLine="0"/>
        <w:jc w:val="left"/>
        <w:rPr>
          <w:rFonts w:hint="eastAsia" w:ascii="宋体" w:hAnsi="宋体" w:eastAsia="宋体" w:cs="宋体"/>
          <w:sz w:val="19"/>
        </w:rPr>
      </w:pPr>
      <w:r>
        <w:rPr>
          <w:rFonts w:hint="eastAsia" w:ascii="宋体" w:hAnsi="宋体" w:eastAsia="宋体" w:cs="宋体"/>
          <w:spacing w:val="-1"/>
          <w:sz w:val="19"/>
        </w:rPr>
        <w:t>在政府采购活动中，供应商提供的货物、工程或者服务符合下列情形的，享受《政府采购促进中小企业发展管理办法》规</w:t>
      </w:r>
      <w:r>
        <w:rPr>
          <w:rFonts w:hint="eastAsia" w:ascii="宋体" w:hAnsi="宋体" w:eastAsia="宋体" w:cs="宋体"/>
          <w:sz w:val="19"/>
        </w:rPr>
        <w:t>定的中小企业扶持政策：</w:t>
      </w:r>
    </w:p>
    <w:p>
      <w:pPr>
        <w:pStyle w:val="9"/>
        <w:rPr>
          <w:rFonts w:hint="eastAsia" w:ascii="宋体" w:hAnsi="宋体" w:eastAsia="宋体" w:cs="宋体"/>
          <w:sz w:val="14"/>
        </w:rPr>
      </w:pPr>
    </w:p>
    <w:p>
      <w:pPr>
        <w:pStyle w:val="18"/>
        <w:numPr>
          <w:ilvl w:val="0"/>
          <w:numId w:val="93"/>
        </w:numPr>
        <w:tabs>
          <w:tab w:val="left" w:pos="632"/>
        </w:tabs>
        <w:spacing w:before="0" w:after="0" w:line="240" w:lineRule="auto"/>
        <w:ind w:left="631" w:right="0" w:hanging="506"/>
        <w:jc w:val="left"/>
        <w:rPr>
          <w:rFonts w:hint="eastAsia" w:ascii="宋体" w:hAnsi="宋体" w:eastAsia="宋体" w:cs="宋体"/>
          <w:sz w:val="19"/>
        </w:rPr>
      </w:pPr>
      <w:r>
        <w:rPr>
          <w:rFonts w:hint="eastAsia" w:ascii="宋体" w:hAnsi="宋体" w:eastAsia="宋体" w:cs="宋体"/>
          <w:sz w:val="19"/>
        </w:rPr>
        <w:t>在货物采购项目中，货物由中小企业制造，即货物由中小企业生产且使用该中小企业商号或者注册商标；</w:t>
      </w:r>
    </w:p>
    <w:p>
      <w:pPr>
        <w:pStyle w:val="18"/>
        <w:numPr>
          <w:ilvl w:val="0"/>
          <w:numId w:val="93"/>
        </w:numPr>
        <w:tabs>
          <w:tab w:val="left" w:pos="632"/>
        </w:tabs>
        <w:spacing w:before="177" w:after="0" w:line="240" w:lineRule="auto"/>
        <w:ind w:left="631" w:right="0" w:hanging="506"/>
        <w:jc w:val="left"/>
        <w:rPr>
          <w:rFonts w:hint="eastAsia" w:ascii="宋体" w:hAnsi="宋体" w:eastAsia="宋体" w:cs="宋体"/>
          <w:sz w:val="19"/>
        </w:rPr>
      </w:pPr>
      <w:r>
        <w:rPr>
          <w:rFonts w:hint="eastAsia" w:ascii="宋体" w:hAnsi="宋体" w:eastAsia="宋体" w:cs="宋体"/>
          <w:sz w:val="19"/>
        </w:rPr>
        <w:t>在工程采购项目中，工程由中小企业承建，即工程施工单位为中小企业；</w:t>
      </w:r>
    </w:p>
    <w:p>
      <w:pPr>
        <w:pStyle w:val="18"/>
        <w:numPr>
          <w:ilvl w:val="0"/>
          <w:numId w:val="93"/>
        </w:numPr>
        <w:tabs>
          <w:tab w:val="left" w:pos="632"/>
        </w:tabs>
        <w:spacing w:before="188" w:after="0" w:line="225" w:lineRule="auto"/>
        <w:ind w:left="126" w:right="181" w:firstLine="0"/>
        <w:jc w:val="left"/>
        <w:rPr>
          <w:rFonts w:hint="eastAsia" w:ascii="宋体" w:hAnsi="宋体" w:eastAsia="宋体" w:cs="宋体"/>
          <w:sz w:val="19"/>
        </w:rPr>
      </w:pPr>
      <w:r>
        <w:rPr>
          <w:rFonts w:hint="eastAsia" w:ascii="宋体" w:hAnsi="宋体" w:eastAsia="宋体" w:cs="宋体"/>
          <w:spacing w:val="-1"/>
          <w:sz w:val="19"/>
        </w:rPr>
        <w:t>在服务采购项目中，服务由中小企业承接，即提供服务的人员为中小企业依照《中华人民共和国劳动合同法》订立劳动</w:t>
      </w:r>
      <w:r>
        <w:rPr>
          <w:rFonts w:hint="eastAsia" w:ascii="宋体" w:hAnsi="宋体" w:eastAsia="宋体" w:cs="宋体"/>
          <w:sz w:val="19"/>
        </w:rPr>
        <w:t>合同的从业人员。</w:t>
      </w:r>
    </w:p>
    <w:p>
      <w:pPr>
        <w:pStyle w:val="9"/>
        <w:spacing w:before="11"/>
        <w:rPr>
          <w:rFonts w:hint="eastAsia" w:ascii="宋体" w:hAnsi="宋体" w:eastAsia="宋体" w:cs="宋体"/>
          <w:sz w:val="14"/>
        </w:rPr>
      </w:pPr>
    </w:p>
    <w:p>
      <w:pPr>
        <w:pStyle w:val="9"/>
        <w:spacing w:line="225" w:lineRule="auto"/>
        <w:ind w:left="126" w:right="109"/>
        <w:rPr>
          <w:rFonts w:hint="eastAsia" w:ascii="宋体" w:hAnsi="宋体" w:eastAsia="宋体" w:cs="宋体"/>
        </w:rPr>
      </w:pPr>
      <w:r>
        <w:rPr>
          <w:rFonts w:hint="eastAsia" w:ascii="宋体" w:hAnsi="宋体" w:eastAsia="宋体" w:cs="宋体"/>
        </w:rPr>
        <w:t>在货物采购项目中，供应商提供的货物既有中小企业制造货物，也有大型企业制造货物的，不享受《政府采购促进中小企业发展管理办法》规定的中小企业扶持政策。</w:t>
      </w:r>
    </w:p>
    <w:p>
      <w:pPr>
        <w:pStyle w:val="9"/>
        <w:spacing w:before="11"/>
        <w:rPr>
          <w:rFonts w:hint="eastAsia" w:ascii="宋体" w:hAnsi="宋体" w:eastAsia="宋体" w:cs="宋体"/>
          <w:sz w:val="14"/>
        </w:rPr>
      </w:pPr>
    </w:p>
    <w:p>
      <w:pPr>
        <w:pStyle w:val="9"/>
        <w:spacing w:line="225" w:lineRule="auto"/>
        <w:ind w:left="126" w:right="109"/>
        <w:rPr>
          <w:rFonts w:hint="eastAsia" w:ascii="宋体" w:hAnsi="宋体" w:eastAsia="宋体" w:cs="宋体"/>
        </w:rPr>
      </w:pPr>
      <w:r>
        <w:rPr>
          <w:rFonts w:hint="eastAsia" w:ascii="宋体" w:hAnsi="宋体" w:eastAsia="宋体" w:cs="宋体"/>
        </w:rPr>
        <w:t>以联合体形式参加政府采购活动，联合体各方均为中小企业的，联合体视同中小企业。其中，联合体各方均为小微企业的，联合体视同小微企业。</w:t>
      </w:r>
    </w:p>
    <w:p>
      <w:pPr>
        <w:pStyle w:val="9"/>
        <w:spacing w:before="11"/>
        <w:rPr>
          <w:rFonts w:hint="eastAsia" w:ascii="宋体" w:hAnsi="宋体" w:eastAsia="宋体" w:cs="宋体"/>
          <w:sz w:val="14"/>
        </w:rPr>
      </w:pPr>
    </w:p>
    <w:p>
      <w:pPr>
        <w:pStyle w:val="18"/>
        <w:numPr>
          <w:ilvl w:val="1"/>
          <w:numId w:val="88"/>
        </w:numPr>
        <w:tabs>
          <w:tab w:val="left" w:pos="430"/>
        </w:tabs>
        <w:spacing w:before="0" w:after="0" w:line="225" w:lineRule="auto"/>
        <w:ind w:left="126" w:right="193" w:firstLine="0"/>
        <w:jc w:val="left"/>
        <w:rPr>
          <w:rFonts w:hint="eastAsia" w:ascii="宋体" w:hAnsi="宋体" w:eastAsia="宋体" w:cs="宋体"/>
          <w:sz w:val="19"/>
        </w:rPr>
      </w:pPr>
      <w:r>
        <w:rPr>
          <w:rFonts w:hint="eastAsia" w:ascii="宋体" w:hAnsi="宋体" w:eastAsia="宋体" w:cs="宋体"/>
          <w:sz w:val="19"/>
        </w:rPr>
        <w:t>供应商属于小微企业的应填写《中小企业声明函》；监狱企业须供应商提供由监狱管理局、戒毒管理局（</w:t>
      </w:r>
      <w:r>
        <w:rPr>
          <w:rFonts w:hint="eastAsia" w:ascii="宋体" w:hAnsi="宋体" w:eastAsia="宋体" w:cs="宋体"/>
          <w:spacing w:val="-3"/>
          <w:sz w:val="19"/>
        </w:rPr>
        <w:t>含新疆生产建设</w:t>
      </w:r>
      <w:r>
        <w:rPr>
          <w:rFonts w:hint="eastAsia" w:ascii="宋体" w:hAnsi="宋体" w:eastAsia="宋体" w:cs="宋体"/>
          <w:sz w:val="19"/>
        </w:rPr>
        <w:t>兵团）出具的属于监狱企业的证明文件；残疾人福利性单位应填写《残疾人福利性单位声明函》，否则不认定价格扣除。</w:t>
      </w:r>
    </w:p>
    <w:p>
      <w:pPr>
        <w:spacing w:after="0" w:line="225" w:lineRule="auto"/>
        <w:jc w:val="left"/>
        <w:rPr>
          <w:rFonts w:hint="eastAsia" w:ascii="宋体" w:hAnsi="宋体" w:eastAsia="宋体" w:cs="宋体"/>
          <w:sz w:val="19"/>
        </w:rPr>
        <w:sectPr>
          <w:pgSz w:w="11900" w:h="16840"/>
          <w:pgMar w:top="560" w:right="560" w:bottom="280" w:left="540" w:header="0" w:footer="13" w:gutter="0"/>
          <w:cols w:space="720" w:num="1"/>
        </w:sectPr>
      </w:pPr>
    </w:p>
    <w:p>
      <w:pPr>
        <w:pStyle w:val="9"/>
        <w:spacing w:before="60" w:line="236" w:lineRule="exact"/>
        <w:ind w:left="126"/>
        <w:rPr>
          <w:rFonts w:hint="eastAsia" w:ascii="宋体" w:hAnsi="宋体" w:eastAsia="宋体" w:cs="宋体"/>
        </w:rPr>
      </w:pPr>
      <w:r>
        <w:rPr>
          <w:rFonts w:hint="eastAsia" w:ascii="宋体" w:hAnsi="宋体" w:eastAsia="宋体" w:cs="宋体"/>
        </w:rPr>
        <w:t>说明：供应商应当认真填写声明函，若有虚假将追究其责任。供应商可通过“国家企业信用信息公示系</w:t>
      </w:r>
    </w:p>
    <w:p>
      <w:pPr>
        <w:pStyle w:val="9"/>
        <w:spacing w:before="3" w:line="225" w:lineRule="auto"/>
        <w:ind w:left="126" w:right="229"/>
        <w:rPr>
          <w:rFonts w:hint="eastAsia" w:ascii="宋体" w:hAnsi="宋体" w:eastAsia="宋体" w:cs="宋体"/>
        </w:rPr>
      </w:pPr>
      <w:r>
        <w:rPr>
          <w:rFonts w:hint="eastAsia" w:ascii="宋体" w:hAnsi="宋体" w:eastAsia="宋体" w:cs="宋体"/>
          <w:w w:val="101"/>
        </w:rPr>
        <w:t>统</w:t>
      </w:r>
      <w:r>
        <w:rPr>
          <w:rFonts w:hint="eastAsia" w:ascii="宋体" w:hAnsi="宋体" w:eastAsia="宋体" w:cs="宋体"/>
          <w:spacing w:val="-4"/>
          <w:w w:val="104"/>
        </w:rPr>
        <w:t>”</w:t>
      </w:r>
      <w:r>
        <w:rPr>
          <w:rFonts w:hint="eastAsia" w:ascii="宋体" w:hAnsi="宋体" w:eastAsia="宋体" w:cs="宋体"/>
          <w:w w:val="101"/>
        </w:rPr>
        <w:t>（</w:t>
      </w:r>
      <w:r>
        <w:rPr>
          <w:rFonts w:hint="eastAsia" w:ascii="宋体" w:hAnsi="宋体" w:eastAsia="宋体" w:cs="宋体"/>
        </w:rPr>
        <w:fldChar w:fldCharType="begin"/>
      </w:r>
      <w:r>
        <w:rPr>
          <w:rFonts w:hint="eastAsia" w:ascii="宋体" w:hAnsi="宋体" w:eastAsia="宋体" w:cs="宋体"/>
        </w:rPr>
        <w:instrText xml:space="preserve"> HYPERLINK "http://www.gsxt.gov.cn/index.html" \h </w:instrText>
      </w:r>
      <w:r>
        <w:rPr>
          <w:rFonts w:hint="eastAsia" w:ascii="宋体" w:hAnsi="宋体" w:eastAsia="宋体" w:cs="宋体"/>
        </w:rPr>
        <w:fldChar w:fldCharType="separate"/>
      </w:r>
      <w:r>
        <w:rPr>
          <w:rFonts w:hint="eastAsia" w:ascii="宋体" w:hAnsi="宋体" w:eastAsia="宋体" w:cs="宋体"/>
          <w:spacing w:val="-2"/>
          <w:w w:val="128"/>
        </w:rPr>
        <w:t>h</w:t>
      </w:r>
      <w:r>
        <w:rPr>
          <w:rFonts w:hint="eastAsia" w:ascii="宋体" w:hAnsi="宋体" w:eastAsia="宋体" w:cs="宋体"/>
          <w:spacing w:val="-4"/>
          <w:w w:val="112"/>
        </w:rPr>
        <w:t>tt</w:t>
      </w:r>
      <w:r>
        <w:rPr>
          <w:rFonts w:hint="eastAsia" w:ascii="宋体" w:hAnsi="宋体" w:eastAsia="宋体" w:cs="宋体"/>
          <w:spacing w:val="-2"/>
          <w:w w:val="129"/>
        </w:rPr>
        <w:t>p</w:t>
      </w:r>
      <w:r>
        <w:rPr>
          <w:rFonts w:hint="eastAsia" w:ascii="宋体" w:hAnsi="宋体" w:eastAsia="宋体" w:cs="宋体"/>
          <w:spacing w:val="-5"/>
          <w:w w:val="167"/>
        </w:rPr>
        <w:t>:</w:t>
      </w:r>
      <w:r>
        <w:rPr>
          <w:rFonts w:hint="eastAsia" w:ascii="宋体" w:hAnsi="宋体" w:eastAsia="宋体" w:cs="宋体"/>
          <w:spacing w:val="-5"/>
          <w:w w:val="68"/>
        </w:rPr>
        <w:t>//</w:t>
      </w:r>
      <w:r>
        <w:rPr>
          <w:rFonts w:hint="eastAsia" w:ascii="宋体" w:hAnsi="宋体" w:eastAsia="宋体" w:cs="宋体"/>
          <w:spacing w:val="-2"/>
          <w:w w:val="127"/>
        </w:rPr>
        <w:t>www</w:t>
      </w:r>
      <w:r>
        <w:rPr>
          <w:rFonts w:hint="eastAsia" w:ascii="宋体" w:hAnsi="宋体" w:eastAsia="宋体" w:cs="宋体"/>
          <w:spacing w:val="-2"/>
          <w:w w:val="158"/>
        </w:rPr>
        <w:t>.</w:t>
      </w:r>
      <w:r>
        <w:rPr>
          <w:rFonts w:hint="eastAsia" w:ascii="宋体" w:hAnsi="宋体" w:eastAsia="宋体" w:cs="宋体"/>
          <w:spacing w:val="-2"/>
          <w:w w:val="139"/>
        </w:rPr>
        <w:t>g</w:t>
      </w:r>
      <w:r>
        <w:rPr>
          <w:rFonts w:hint="eastAsia" w:ascii="宋体" w:hAnsi="宋体" w:eastAsia="宋体" w:cs="宋体"/>
          <w:spacing w:val="7"/>
          <w:w w:val="114"/>
        </w:rPr>
        <w:t>s</w:t>
      </w:r>
      <w:r>
        <w:rPr>
          <w:rFonts w:hint="eastAsia" w:ascii="宋体" w:hAnsi="宋体" w:eastAsia="宋体" w:cs="宋体"/>
          <w:spacing w:val="6"/>
          <w:w w:val="129"/>
        </w:rPr>
        <w:t>x</w:t>
      </w:r>
      <w:r>
        <w:rPr>
          <w:rFonts w:hint="eastAsia" w:ascii="宋体" w:hAnsi="宋体" w:eastAsia="宋体" w:cs="宋体"/>
          <w:spacing w:val="-4"/>
          <w:w w:val="112"/>
        </w:rPr>
        <w:t>t</w:t>
      </w:r>
      <w:r>
        <w:rPr>
          <w:rFonts w:hint="eastAsia" w:ascii="宋体" w:hAnsi="宋体" w:eastAsia="宋体" w:cs="宋体"/>
          <w:spacing w:val="-2"/>
          <w:w w:val="158"/>
        </w:rPr>
        <w:t>.</w:t>
      </w:r>
      <w:r>
        <w:rPr>
          <w:rFonts w:hint="eastAsia" w:ascii="宋体" w:hAnsi="宋体" w:eastAsia="宋体" w:cs="宋体"/>
          <w:spacing w:val="-2"/>
          <w:w w:val="139"/>
        </w:rPr>
        <w:t>g</w:t>
      </w:r>
      <w:r>
        <w:rPr>
          <w:rFonts w:hint="eastAsia" w:ascii="宋体" w:hAnsi="宋体" w:eastAsia="宋体" w:cs="宋体"/>
          <w:spacing w:val="2"/>
          <w:w w:val="121"/>
        </w:rPr>
        <w:t>o</w:t>
      </w:r>
      <w:r>
        <w:rPr>
          <w:rFonts w:hint="eastAsia" w:ascii="宋体" w:hAnsi="宋体" w:eastAsia="宋体" w:cs="宋体"/>
          <w:spacing w:val="-6"/>
          <w:w w:val="125"/>
        </w:rPr>
        <w:t>v</w:t>
      </w:r>
      <w:r>
        <w:rPr>
          <w:rFonts w:hint="eastAsia" w:ascii="宋体" w:hAnsi="宋体" w:eastAsia="宋体" w:cs="宋体"/>
          <w:spacing w:val="-2"/>
          <w:w w:val="158"/>
        </w:rPr>
        <w:t>.</w:t>
      </w:r>
      <w:r>
        <w:rPr>
          <w:rFonts w:hint="eastAsia" w:ascii="宋体" w:hAnsi="宋体" w:eastAsia="宋体" w:cs="宋体"/>
          <w:spacing w:val="2"/>
          <w:w w:val="111"/>
        </w:rPr>
        <w:t>c</w:t>
      </w:r>
      <w:r>
        <w:rPr>
          <w:rFonts w:hint="eastAsia" w:ascii="宋体" w:hAnsi="宋体" w:eastAsia="宋体" w:cs="宋体"/>
          <w:spacing w:val="-2"/>
          <w:w w:val="128"/>
        </w:rPr>
        <w:t>n</w:t>
      </w:r>
      <w:r>
        <w:rPr>
          <w:rFonts w:hint="eastAsia" w:ascii="宋体" w:hAnsi="宋体" w:eastAsia="宋体" w:cs="宋体"/>
          <w:spacing w:val="-5"/>
          <w:w w:val="68"/>
        </w:rPr>
        <w:t>/</w:t>
      </w:r>
      <w:r>
        <w:rPr>
          <w:rFonts w:hint="eastAsia" w:ascii="宋体" w:hAnsi="宋体" w:eastAsia="宋体" w:cs="宋体"/>
          <w:spacing w:val="-18"/>
          <w:w w:val="133"/>
        </w:rPr>
        <w:t>i</w:t>
      </w:r>
      <w:r>
        <w:rPr>
          <w:rFonts w:hint="eastAsia" w:ascii="宋体" w:hAnsi="宋体" w:eastAsia="宋体" w:cs="宋体"/>
          <w:spacing w:val="-2"/>
          <w:w w:val="128"/>
        </w:rPr>
        <w:t>n</w:t>
      </w:r>
      <w:r>
        <w:rPr>
          <w:rFonts w:hint="eastAsia" w:ascii="宋体" w:hAnsi="宋体" w:eastAsia="宋体" w:cs="宋体"/>
          <w:spacing w:val="-2"/>
          <w:w w:val="129"/>
        </w:rPr>
        <w:t>d</w:t>
      </w:r>
      <w:r>
        <w:rPr>
          <w:rFonts w:hint="eastAsia" w:ascii="宋体" w:hAnsi="宋体" w:eastAsia="宋体" w:cs="宋体"/>
          <w:spacing w:val="-11"/>
          <w:w w:val="124"/>
        </w:rPr>
        <w:t>e</w:t>
      </w:r>
      <w:r>
        <w:rPr>
          <w:rFonts w:hint="eastAsia" w:ascii="宋体" w:hAnsi="宋体" w:eastAsia="宋体" w:cs="宋体"/>
          <w:spacing w:val="6"/>
          <w:w w:val="129"/>
        </w:rPr>
        <w:t>x</w:t>
      </w:r>
      <w:r>
        <w:rPr>
          <w:rFonts w:hint="eastAsia" w:ascii="宋体" w:hAnsi="宋体" w:eastAsia="宋体" w:cs="宋体"/>
          <w:spacing w:val="-2"/>
          <w:w w:val="158"/>
        </w:rPr>
        <w:t>.</w:t>
      </w:r>
      <w:r>
        <w:rPr>
          <w:rFonts w:hint="eastAsia" w:ascii="宋体" w:hAnsi="宋体" w:eastAsia="宋体" w:cs="宋体"/>
          <w:spacing w:val="-2"/>
          <w:w w:val="128"/>
        </w:rPr>
        <w:t>h</w:t>
      </w:r>
      <w:r>
        <w:rPr>
          <w:rFonts w:hint="eastAsia" w:ascii="宋体" w:hAnsi="宋体" w:eastAsia="宋体" w:cs="宋体"/>
          <w:spacing w:val="-4"/>
          <w:w w:val="112"/>
        </w:rPr>
        <w:t>t</w:t>
      </w:r>
      <w:r>
        <w:rPr>
          <w:rFonts w:hint="eastAsia" w:ascii="宋体" w:hAnsi="宋体" w:eastAsia="宋体" w:cs="宋体"/>
          <w:spacing w:val="-8"/>
          <w:w w:val="134"/>
        </w:rPr>
        <w:t>m</w:t>
      </w:r>
      <w:r>
        <w:rPr>
          <w:rFonts w:hint="eastAsia" w:ascii="宋体" w:hAnsi="宋体" w:eastAsia="宋体" w:cs="宋体"/>
          <w:spacing w:val="-18"/>
          <w:w w:val="133"/>
        </w:rPr>
        <w:t>l</w:t>
      </w:r>
      <w:r>
        <w:rPr>
          <w:rFonts w:hint="eastAsia" w:ascii="宋体" w:hAnsi="宋体" w:eastAsia="宋体" w:cs="宋体"/>
          <w:spacing w:val="-18"/>
          <w:w w:val="133"/>
        </w:rPr>
        <w:fldChar w:fldCharType="end"/>
      </w:r>
      <w:r>
        <w:rPr>
          <w:rFonts w:hint="eastAsia" w:ascii="宋体" w:hAnsi="宋体" w:eastAsia="宋体" w:cs="宋体"/>
          <w:w w:val="101"/>
        </w:rPr>
        <w:t>），点击</w:t>
      </w:r>
      <w:r>
        <w:rPr>
          <w:rFonts w:hint="eastAsia" w:ascii="宋体" w:hAnsi="宋体" w:eastAsia="宋体" w:cs="宋体"/>
          <w:spacing w:val="-4"/>
          <w:w w:val="104"/>
        </w:rPr>
        <w:t>“</w:t>
      </w:r>
      <w:r>
        <w:rPr>
          <w:rFonts w:hint="eastAsia" w:ascii="宋体" w:hAnsi="宋体" w:eastAsia="宋体" w:cs="宋体"/>
          <w:w w:val="101"/>
        </w:rPr>
        <w:t>小微企业名录</w:t>
      </w:r>
      <w:r>
        <w:rPr>
          <w:rFonts w:hint="eastAsia" w:ascii="宋体" w:hAnsi="宋体" w:eastAsia="宋体" w:cs="宋体"/>
          <w:spacing w:val="-4"/>
          <w:w w:val="104"/>
        </w:rPr>
        <w:t>”</w:t>
      </w:r>
      <w:r>
        <w:rPr>
          <w:rFonts w:hint="eastAsia" w:ascii="宋体" w:hAnsi="宋体" w:eastAsia="宋体" w:cs="宋体"/>
          <w:w w:val="101"/>
        </w:rPr>
        <w:t>（</w:t>
      </w:r>
      <w:r>
        <w:rPr>
          <w:rFonts w:hint="eastAsia" w:ascii="宋体" w:hAnsi="宋体" w:eastAsia="宋体" w:cs="宋体"/>
        </w:rPr>
        <w:fldChar w:fldCharType="begin"/>
      </w:r>
      <w:r>
        <w:rPr>
          <w:rFonts w:hint="eastAsia" w:ascii="宋体" w:hAnsi="宋体" w:eastAsia="宋体" w:cs="宋体"/>
        </w:rPr>
        <w:instrText xml:space="preserve"> HYPERLINK "http://xwqy.gsxt.gov.cn/" \h </w:instrText>
      </w:r>
      <w:r>
        <w:rPr>
          <w:rFonts w:hint="eastAsia" w:ascii="宋体" w:hAnsi="宋体" w:eastAsia="宋体" w:cs="宋体"/>
        </w:rPr>
        <w:fldChar w:fldCharType="separate"/>
      </w:r>
      <w:r>
        <w:rPr>
          <w:rFonts w:hint="eastAsia" w:ascii="宋体" w:hAnsi="宋体" w:eastAsia="宋体" w:cs="宋体"/>
          <w:spacing w:val="-2"/>
          <w:w w:val="128"/>
        </w:rPr>
        <w:t>h</w:t>
      </w:r>
      <w:r>
        <w:rPr>
          <w:rFonts w:hint="eastAsia" w:ascii="宋体" w:hAnsi="宋体" w:eastAsia="宋体" w:cs="宋体"/>
          <w:spacing w:val="-4"/>
          <w:w w:val="112"/>
        </w:rPr>
        <w:t>tt</w:t>
      </w:r>
      <w:r>
        <w:rPr>
          <w:rFonts w:hint="eastAsia" w:ascii="宋体" w:hAnsi="宋体" w:eastAsia="宋体" w:cs="宋体"/>
          <w:spacing w:val="-2"/>
          <w:w w:val="129"/>
        </w:rPr>
        <w:t>p</w:t>
      </w:r>
      <w:r>
        <w:rPr>
          <w:rFonts w:hint="eastAsia" w:ascii="宋体" w:hAnsi="宋体" w:eastAsia="宋体" w:cs="宋体"/>
          <w:spacing w:val="-5"/>
          <w:w w:val="167"/>
        </w:rPr>
        <w:t>:</w:t>
      </w:r>
      <w:r>
        <w:rPr>
          <w:rFonts w:hint="eastAsia" w:ascii="宋体" w:hAnsi="宋体" w:eastAsia="宋体" w:cs="宋体"/>
          <w:spacing w:val="-5"/>
          <w:w w:val="68"/>
        </w:rPr>
        <w:t>//</w:t>
      </w:r>
      <w:r>
        <w:rPr>
          <w:rFonts w:hint="eastAsia" w:ascii="宋体" w:hAnsi="宋体" w:eastAsia="宋体" w:cs="宋体"/>
          <w:spacing w:val="6"/>
          <w:w w:val="129"/>
        </w:rPr>
        <w:t>x</w:t>
      </w:r>
      <w:r>
        <w:rPr>
          <w:rFonts w:hint="eastAsia" w:ascii="宋体" w:hAnsi="宋体" w:eastAsia="宋体" w:cs="宋体"/>
          <w:spacing w:val="-2"/>
          <w:w w:val="127"/>
        </w:rPr>
        <w:t>w</w:t>
      </w:r>
      <w:r>
        <w:rPr>
          <w:rFonts w:hint="eastAsia" w:ascii="宋体" w:hAnsi="宋体" w:eastAsia="宋体" w:cs="宋体"/>
          <w:spacing w:val="-2"/>
          <w:w w:val="129"/>
        </w:rPr>
        <w:t>q</w:t>
      </w:r>
      <w:r>
        <w:rPr>
          <w:rFonts w:hint="eastAsia" w:ascii="宋体" w:hAnsi="宋体" w:eastAsia="宋体" w:cs="宋体"/>
          <w:spacing w:val="-6"/>
          <w:w w:val="125"/>
        </w:rPr>
        <w:t>y</w:t>
      </w:r>
      <w:r>
        <w:rPr>
          <w:rFonts w:hint="eastAsia" w:ascii="宋体" w:hAnsi="宋体" w:eastAsia="宋体" w:cs="宋体"/>
          <w:spacing w:val="-2"/>
          <w:w w:val="158"/>
        </w:rPr>
        <w:t>.</w:t>
      </w:r>
      <w:r>
        <w:rPr>
          <w:rFonts w:hint="eastAsia" w:ascii="宋体" w:hAnsi="宋体" w:eastAsia="宋体" w:cs="宋体"/>
          <w:spacing w:val="-2"/>
          <w:w w:val="139"/>
        </w:rPr>
        <w:t>g</w:t>
      </w:r>
      <w:r>
        <w:rPr>
          <w:rFonts w:hint="eastAsia" w:ascii="宋体" w:hAnsi="宋体" w:eastAsia="宋体" w:cs="宋体"/>
          <w:spacing w:val="7"/>
          <w:w w:val="114"/>
        </w:rPr>
        <w:t>s</w:t>
      </w:r>
      <w:r>
        <w:rPr>
          <w:rFonts w:hint="eastAsia" w:ascii="宋体" w:hAnsi="宋体" w:eastAsia="宋体" w:cs="宋体"/>
          <w:spacing w:val="6"/>
          <w:w w:val="129"/>
        </w:rPr>
        <w:t>x</w:t>
      </w:r>
      <w:r>
        <w:rPr>
          <w:rFonts w:hint="eastAsia" w:ascii="宋体" w:hAnsi="宋体" w:eastAsia="宋体" w:cs="宋体"/>
          <w:spacing w:val="-4"/>
          <w:w w:val="112"/>
        </w:rPr>
        <w:t>t</w:t>
      </w:r>
      <w:r>
        <w:rPr>
          <w:rFonts w:hint="eastAsia" w:ascii="宋体" w:hAnsi="宋体" w:eastAsia="宋体" w:cs="宋体"/>
          <w:spacing w:val="-2"/>
          <w:w w:val="158"/>
        </w:rPr>
        <w:t>.</w:t>
      </w:r>
      <w:r>
        <w:rPr>
          <w:rFonts w:hint="eastAsia" w:ascii="宋体" w:hAnsi="宋体" w:eastAsia="宋体" w:cs="宋体"/>
          <w:spacing w:val="-2"/>
          <w:w w:val="139"/>
        </w:rPr>
        <w:t>g</w:t>
      </w:r>
      <w:r>
        <w:rPr>
          <w:rFonts w:hint="eastAsia" w:ascii="宋体" w:hAnsi="宋体" w:eastAsia="宋体" w:cs="宋体"/>
          <w:spacing w:val="2"/>
          <w:w w:val="121"/>
        </w:rPr>
        <w:t>o</w:t>
      </w:r>
      <w:r>
        <w:rPr>
          <w:rFonts w:hint="eastAsia" w:ascii="宋体" w:hAnsi="宋体" w:eastAsia="宋体" w:cs="宋体"/>
          <w:spacing w:val="-6"/>
          <w:w w:val="125"/>
        </w:rPr>
        <w:t>v</w:t>
      </w:r>
      <w:r>
        <w:rPr>
          <w:rFonts w:hint="eastAsia" w:ascii="宋体" w:hAnsi="宋体" w:eastAsia="宋体" w:cs="宋体"/>
          <w:spacing w:val="-2"/>
          <w:w w:val="158"/>
        </w:rPr>
        <w:t>.</w:t>
      </w:r>
      <w:r>
        <w:rPr>
          <w:rFonts w:hint="eastAsia" w:ascii="宋体" w:hAnsi="宋体" w:eastAsia="宋体" w:cs="宋体"/>
          <w:spacing w:val="2"/>
          <w:w w:val="111"/>
        </w:rPr>
        <w:t>c</w:t>
      </w:r>
      <w:r>
        <w:rPr>
          <w:rFonts w:hint="eastAsia" w:ascii="宋体" w:hAnsi="宋体" w:eastAsia="宋体" w:cs="宋体"/>
          <w:spacing w:val="-2"/>
          <w:w w:val="128"/>
        </w:rPr>
        <w:t>n</w:t>
      </w:r>
      <w:r>
        <w:rPr>
          <w:rFonts w:hint="eastAsia" w:ascii="宋体" w:hAnsi="宋体" w:eastAsia="宋体" w:cs="宋体"/>
          <w:spacing w:val="-5"/>
          <w:w w:val="68"/>
        </w:rPr>
        <w:t>/</w:t>
      </w:r>
      <w:r>
        <w:rPr>
          <w:rFonts w:hint="eastAsia" w:ascii="宋体" w:hAnsi="宋体" w:eastAsia="宋体" w:cs="宋体"/>
          <w:spacing w:val="-5"/>
          <w:w w:val="68"/>
        </w:rPr>
        <w:fldChar w:fldCharType="end"/>
      </w:r>
      <w:r>
        <w:rPr>
          <w:rFonts w:hint="eastAsia" w:ascii="宋体" w:hAnsi="宋体" w:eastAsia="宋体" w:cs="宋体"/>
          <w:w w:val="101"/>
        </w:rPr>
        <w:t>）对供应商和核心设备制</w:t>
      </w:r>
      <w:r>
        <w:rPr>
          <w:rFonts w:hint="eastAsia" w:ascii="宋体" w:hAnsi="宋体" w:eastAsia="宋体" w:cs="宋体"/>
          <w:w w:val="105"/>
        </w:rPr>
        <w:t>造商进行搜索、查询，自行核实是否属于小微企业。</w:t>
      </w:r>
    </w:p>
    <w:p>
      <w:pPr>
        <w:pStyle w:val="9"/>
        <w:spacing w:before="11"/>
        <w:rPr>
          <w:rFonts w:hint="eastAsia" w:ascii="宋体" w:hAnsi="宋体" w:eastAsia="宋体" w:cs="宋体"/>
          <w:sz w:val="14"/>
        </w:rPr>
      </w:pPr>
    </w:p>
    <w:p>
      <w:pPr>
        <w:pStyle w:val="18"/>
        <w:numPr>
          <w:ilvl w:val="1"/>
          <w:numId w:val="88"/>
        </w:numPr>
        <w:tabs>
          <w:tab w:val="left" w:pos="430"/>
        </w:tabs>
        <w:spacing w:before="1" w:after="0" w:line="225" w:lineRule="auto"/>
        <w:ind w:left="126" w:right="193" w:firstLine="0"/>
        <w:jc w:val="left"/>
        <w:rPr>
          <w:rFonts w:hint="eastAsia" w:ascii="宋体" w:hAnsi="宋体" w:eastAsia="宋体" w:cs="宋体"/>
          <w:sz w:val="19"/>
        </w:rPr>
      </w:pPr>
      <w:r>
        <w:rPr>
          <w:rFonts w:hint="eastAsia" w:ascii="宋体" w:hAnsi="宋体" w:eastAsia="宋体" w:cs="宋体"/>
          <w:sz w:val="19"/>
        </w:rPr>
        <w:t>提供供应商的《中小企业声明函》、《残疾人福利性单位声明函》（格式后附，不可修改），</w:t>
      </w:r>
      <w:r>
        <w:rPr>
          <w:rFonts w:hint="eastAsia" w:ascii="宋体" w:hAnsi="宋体" w:eastAsia="宋体" w:cs="宋体"/>
          <w:spacing w:val="-2"/>
          <w:sz w:val="19"/>
        </w:rPr>
        <w:t>未提供、未盖章或填写内容</w:t>
      </w:r>
      <w:r>
        <w:rPr>
          <w:rFonts w:hint="eastAsia" w:ascii="宋体" w:hAnsi="宋体" w:eastAsia="宋体" w:cs="宋体"/>
          <w:sz w:val="19"/>
        </w:rPr>
        <w:t>与相关材料不符的不予价格扣除。</w:t>
      </w:r>
    </w:p>
    <w:p>
      <w:pPr>
        <w:pStyle w:val="9"/>
        <w:spacing w:before="12"/>
        <w:rPr>
          <w:rFonts w:hint="eastAsia" w:ascii="宋体" w:hAnsi="宋体" w:eastAsia="宋体" w:cs="宋体"/>
          <w:sz w:val="13"/>
        </w:rPr>
      </w:pPr>
    </w:p>
    <w:p>
      <w:pPr>
        <w:pStyle w:val="9"/>
        <w:ind w:left="126"/>
        <w:rPr>
          <w:rFonts w:hint="eastAsia" w:ascii="宋体" w:hAnsi="宋体" w:eastAsia="宋体" w:cs="宋体"/>
        </w:rPr>
      </w:pPr>
      <w:r>
        <w:rPr>
          <w:rFonts w:hint="eastAsia" w:ascii="宋体" w:hAnsi="宋体" w:eastAsia="宋体" w:cs="宋体"/>
          <w:spacing w:val="2"/>
          <w:w w:val="72"/>
        </w:rPr>
        <w:t>--</w:t>
      </w:r>
      <w:r>
        <w:rPr>
          <w:rFonts w:hint="eastAsia" w:ascii="宋体" w:hAnsi="宋体" w:eastAsia="宋体" w:cs="宋体"/>
          <w:w w:val="169"/>
        </w:rPr>
        <w:t>&gt;</w:t>
      </w:r>
    </w:p>
    <w:p>
      <w:pPr>
        <w:spacing w:before="197"/>
        <w:ind w:left="120" w:right="0" w:firstLine="0"/>
        <w:jc w:val="left"/>
        <w:rPr>
          <w:rFonts w:hint="eastAsia" w:ascii="宋体" w:hAnsi="宋体" w:eastAsia="宋体" w:cs="宋体"/>
          <w:b/>
          <w:sz w:val="23"/>
        </w:rPr>
      </w:pPr>
      <w:r>
        <w:rPr>
          <w:rFonts w:hint="eastAsia" w:ascii="宋体" w:hAnsi="宋体" w:eastAsia="宋体" w:cs="宋体"/>
          <w:b/>
          <w:sz w:val="23"/>
        </w:rPr>
        <w:t>三、评审程序</w:t>
      </w:r>
    </w:p>
    <w:p>
      <w:pPr>
        <w:pStyle w:val="5"/>
        <w:numPr>
          <w:ilvl w:val="0"/>
          <w:numId w:val="94"/>
        </w:numPr>
        <w:tabs>
          <w:tab w:val="left" w:pos="333"/>
        </w:tabs>
        <w:spacing w:before="165" w:after="0" w:line="240" w:lineRule="auto"/>
        <w:ind w:left="332" w:right="0" w:hanging="207"/>
        <w:jc w:val="left"/>
        <w:rPr>
          <w:rFonts w:hint="eastAsia" w:ascii="宋体" w:hAnsi="宋体" w:eastAsia="宋体" w:cs="宋体"/>
        </w:rPr>
      </w:pPr>
      <w:r>
        <w:rPr>
          <w:rFonts w:hint="eastAsia" w:ascii="宋体" w:hAnsi="宋体" w:eastAsia="宋体" w:cs="宋体"/>
          <w:spacing w:val="10"/>
        </w:rPr>
        <w:t>资格性审查和符合性审查</w:t>
      </w:r>
    </w:p>
    <w:p>
      <w:pPr>
        <w:pStyle w:val="9"/>
        <w:spacing w:before="9"/>
        <w:rPr>
          <w:rFonts w:hint="eastAsia" w:ascii="宋体" w:hAnsi="宋体" w:eastAsia="宋体" w:cs="宋体"/>
          <w:b/>
          <w:sz w:val="15"/>
        </w:rPr>
      </w:pPr>
    </w:p>
    <w:p>
      <w:pPr>
        <w:pStyle w:val="18"/>
        <w:numPr>
          <w:ilvl w:val="1"/>
          <w:numId w:val="94"/>
        </w:numPr>
        <w:tabs>
          <w:tab w:val="left" w:pos="430"/>
        </w:tabs>
        <w:spacing w:before="0" w:after="0" w:line="225" w:lineRule="auto"/>
        <w:ind w:left="126" w:right="193" w:firstLine="0"/>
        <w:jc w:val="left"/>
        <w:rPr>
          <w:rFonts w:hint="eastAsia" w:ascii="宋体" w:hAnsi="宋体" w:eastAsia="宋体" w:cs="宋体"/>
          <w:sz w:val="19"/>
        </w:rPr>
      </w:pPr>
      <w:r>
        <w:rPr>
          <w:rFonts w:hint="eastAsia" w:ascii="宋体" w:hAnsi="宋体" w:eastAsia="宋体" w:cs="宋体"/>
          <w:spacing w:val="-1"/>
          <w:sz w:val="19"/>
        </w:rPr>
        <w:t>资格性审查。依据法律法规和磋商文件的规定，对响应文件中的资格证明文件等进行审查，以确定投标供应商是否具备投</w:t>
      </w:r>
      <w:r>
        <w:rPr>
          <w:rFonts w:hint="eastAsia" w:ascii="宋体" w:hAnsi="宋体" w:eastAsia="宋体" w:cs="宋体"/>
          <w:sz w:val="19"/>
        </w:rPr>
        <w:t>标资格。</w:t>
      </w:r>
      <w:r>
        <w:rPr>
          <w:rFonts w:hint="eastAsia" w:ascii="宋体" w:hAnsi="宋体" w:eastAsia="宋体" w:cs="宋体"/>
          <w:spacing w:val="-6"/>
          <w:sz w:val="19"/>
        </w:rPr>
        <w:t>（</w:t>
      </w:r>
      <w:r>
        <w:rPr>
          <w:rFonts w:hint="eastAsia" w:ascii="宋体" w:hAnsi="宋体" w:eastAsia="宋体" w:cs="宋体"/>
          <w:b/>
          <w:spacing w:val="12"/>
          <w:sz w:val="19"/>
        </w:rPr>
        <w:t>详见后附表一资格性审查表</w:t>
      </w:r>
      <w:r>
        <w:rPr>
          <w:rFonts w:hint="eastAsia" w:ascii="宋体" w:hAnsi="宋体" w:eastAsia="宋体" w:cs="宋体"/>
          <w:sz w:val="19"/>
        </w:rPr>
        <w:t>）</w:t>
      </w:r>
    </w:p>
    <w:p>
      <w:pPr>
        <w:pStyle w:val="9"/>
        <w:spacing w:before="11"/>
        <w:rPr>
          <w:rFonts w:hint="eastAsia" w:ascii="宋体" w:hAnsi="宋体" w:eastAsia="宋体" w:cs="宋体"/>
          <w:sz w:val="14"/>
        </w:rPr>
      </w:pPr>
    </w:p>
    <w:p>
      <w:pPr>
        <w:pStyle w:val="18"/>
        <w:numPr>
          <w:ilvl w:val="1"/>
          <w:numId w:val="94"/>
        </w:numPr>
        <w:tabs>
          <w:tab w:val="left" w:pos="430"/>
        </w:tabs>
        <w:spacing w:before="1" w:after="0" w:line="225" w:lineRule="auto"/>
        <w:ind w:left="126" w:right="193" w:firstLine="0"/>
        <w:jc w:val="left"/>
        <w:rPr>
          <w:rFonts w:hint="eastAsia" w:ascii="宋体" w:hAnsi="宋体" w:eastAsia="宋体" w:cs="宋体"/>
          <w:sz w:val="19"/>
        </w:rPr>
      </w:pPr>
      <w:r>
        <w:rPr>
          <w:rFonts w:hint="eastAsia" w:ascii="宋体" w:hAnsi="宋体" w:eastAsia="宋体" w:cs="宋体"/>
          <w:spacing w:val="-1"/>
          <w:sz w:val="19"/>
        </w:rPr>
        <w:t>符合性审查。依据磋商文件的规定，从响应文件的有效性、完整性和对磋商文件的响应程度进行审查，以确定是否对磋商</w:t>
      </w:r>
      <w:r>
        <w:rPr>
          <w:rFonts w:hint="eastAsia" w:ascii="宋体" w:hAnsi="宋体" w:eastAsia="宋体" w:cs="宋体"/>
          <w:sz w:val="19"/>
        </w:rPr>
        <w:t>文件的实质性要求作出响应。</w:t>
      </w:r>
      <w:r>
        <w:rPr>
          <w:rFonts w:hint="eastAsia" w:ascii="宋体" w:hAnsi="宋体" w:eastAsia="宋体" w:cs="宋体"/>
          <w:spacing w:val="-6"/>
          <w:sz w:val="19"/>
        </w:rPr>
        <w:t>（</w:t>
      </w:r>
      <w:r>
        <w:rPr>
          <w:rFonts w:hint="eastAsia" w:ascii="宋体" w:hAnsi="宋体" w:eastAsia="宋体" w:cs="宋体"/>
          <w:b/>
          <w:spacing w:val="12"/>
          <w:sz w:val="19"/>
        </w:rPr>
        <w:t>详见后附表二符合性审查表</w:t>
      </w:r>
      <w:r>
        <w:rPr>
          <w:rFonts w:hint="eastAsia" w:ascii="宋体" w:hAnsi="宋体" w:eastAsia="宋体" w:cs="宋体"/>
          <w:sz w:val="19"/>
        </w:rPr>
        <w:t>）</w:t>
      </w:r>
    </w:p>
    <w:p>
      <w:pPr>
        <w:pStyle w:val="9"/>
        <w:spacing w:before="11"/>
        <w:rPr>
          <w:rFonts w:hint="eastAsia" w:ascii="宋体" w:hAnsi="宋体" w:eastAsia="宋体" w:cs="宋体"/>
          <w:sz w:val="14"/>
        </w:rPr>
      </w:pPr>
    </w:p>
    <w:p>
      <w:pPr>
        <w:pStyle w:val="18"/>
        <w:numPr>
          <w:ilvl w:val="1"/>
          <w:numId w:val="94"/>
        </w:numPr>
        <w:tabs>
          <w:tab w:val="left" w:pos="430"/>
        </w:tabs>
        <w:spacing w:before="0" w:after="0" w:line="225" w:lineRule="auto"/>
        <w:ind w:left="126" w:right="193" w:firstLine="0"/>
        <w:jc w:val="left"/>
        <w:rPr>
          <w:rFonts w:hint="eastAsia" w:ascii="宋体" w:hAnsi="宋体" w:eastAsia="宋体" w:cs="宋体"/>
          <w:sz w:val="19"/>
        </w:rPr>
      </w:pPr>
      <w:r>
        <w:rPr>
          <w:rFonts w:hint="eastAsia" w:ascii="宋体" w:hAnsi="宋体" w:eastAsia="宋体" w:cs="宋体"/>
          <w:spacing w:val="-1"/>
          <w:sz w:val="19"/>
        </w:rPr>
        <w:t>资格性审查和符合性审查中凡有其中任意一项未通过的，评审结果为未通过，未通过资格性审查、符合性审查的投标单位</w:t>
      </w:r>
      <w:r>
        <w:rPr>
          <w:rFonts w:hint="eastAsia" w:ascii="宋体" w:hAnsi="宋体" w:eastAsia="宋体" w:cs="宋体"/>
          <w:sz w:val="19"/>
        </w:rPr>
        <w:t>按无效投标处理。</w:t>
      </w:r>
    </w:p>
    <w:p>
      <w:pPr>
        <w:pStyle w:val="9"/>
        <w:spacing w:before="11"/>
        <w:rPr>
          <w:rFonts w:hint="eastAsia" w:ascii="宋体" w:hAnsi="宋体" w:eastAsia="宋体" w:cs="宋体"/>
          <w:sz w:val="13"/>
        </w:rPr>
      </w:pPr>
    </w:p>
    <w:p>
      <w:pPr>
        <w:pStyle w:val="5"/>
        <w:numPr>
          <w:ilvl w:val="0"/>
          <w:numId w:val="94"/>
        </w:numPr>
        <w:tabs>
          <w:tab w:val="left" w:pos="333"/>
        </w:tabs>
        <w:spacing w:before="1" w:after="0" w:line="240" w:lineRule="auto"/>
        <w:ind w:left="332" w:right="0" w:hanging="207"/>
        <w:jc w:val="left"/>
        <w:rPr>
          <w:rFonts w:hint="eastAsia" w:ascii="宋体" w:hAnsi="宋体" w:eastAsia="宋体" w:cs="宋体"/>
        </w:rPr>
      </w:pPr>
      <w:r>
        <w:rPr>
          <w:rFonts w:hint="eastAsia" w:ascii="宋体" w:hAnsi="宋体" w:eastAsia="宋体" w:cs="宋体"/>
          <w:spacing w:val="6"/>
        </w:rPr>
        <w:t>磋商</w:t>
      </w:r>
    </w:p>
    <w:p>
      <w:pPr>
        <w:pStyle w:val="18"/>
        <w:numPr>
          <w:ilvl w:val="0"/>
          <w:numId w:val="95"/>
        </w:numPr>
        <w:tabs>
          <w:tab w:val="left" w:pos="632"/>
        </w:tabs>
        <w:spacing w:before="190" w:after="0" w:line="240" w:lineRule="auto"/>
        <w:ind w:left="631" w:right="0" w:hanging="506"/>
        <w:jc w:val="left"/>
        <w:rPr>
          <w:rFonts w:hint="eastAsia" w:ascii="宋体" w:hAnsi="宋体" w:eastAsia="宋体" w:cs="宋体"/>
          <w:sz w:val="19"/>
        </w:rPr>
      </w:pPr>
      <w:r>
        <w:rPr>
          <w:rFonts w:hint="eastAsia" w:ascii="宋体" w:hAnsi="宋体" w:eastAsia="宋体" w:cs="宋体"/>
          <w:sz w:val="19"/>
        </w:rPr>
        <w:t>磋商小组所有成员应当集中与单一供应商分别进行磋商，并给予所有参加磋商的供应商平等的磋商机会。</w:t>
      </w:r>
    </w:p>
    <w:p>
      <w:pPr>
        <w:pStyle w:val="18"/>
        <w:numPr>
          <w:ilvl w:val="0"/>
          <w:numId w:val="95"/>
        </w:numPr>
        <w:tabs>
          <w:tab w:val="left" w:pos="632"/>
        </w:tabs>
        <w:spacing w:before="188" w:after="0" w:line="225" w:lineRule="auto"/>
        <w:ind w:left="126" w:right="181" w:firstLine="0"/>
        <w:jc w:val="left"/>
        <w:rPr>
          <w:rFonts w:hint="eastAsia" w:ascii="宋体" w:hAnsi="宋体" w:eastAsia="宋体" w:cs="宋体"/>
          <w:sz w:val="19"/>
        </w:rPr>
      </w:pPr>
      <w:r>
        <w:rPr>
          <w:rFonts w:hint="eastAsia" w:ascii="宋体" w:hAnsi="宋体" w:eastAsia="宋体" w:cs="宋体"/>
          <w:spacing w:val="-1"/>
          <w:sz w:val="19"/>
        </w:rPr>
        <w:t>在磋商过程中，磋商小组可以根据磋商文件和磋商情况实质性变动采购需求中的技术、服务要求以及合同草案条款，但</w:t>
      </w:r>
      <w:r>
        <w:rPr>
          <w:rFonts w:hint="eastAsia" w:ascii="宋体" w:hAnsi="宋体" w:eastAsia="宋体" w:cs="宋体"/>
          <w:sz w:val="19"/>
        </w:rPr>
        <w:t>不得变动磋商文件中的其他内容。实质性变动的内容，须经采购人代表确认。</w:t>
      </w:r>
    </w:p>
    <w:p>
      <w:pPr>
        <w:pStyle w:val="9"/>
        <w:rPr>
          <w:rFonts w:hint="eastAsia" w:ascii="宋体" w:hAnsi="宋体" w:eastAsia="宋体" w:cs="宋体"/>
          <w:sz w:val="14"/>
        </w:rPr>
      </w:pPr>
    </w:p>
    <w:p>
      <w:pPr>
        <w:pStyle w:val="9"/>
        <w:ind w:left="126"/>
        <w:rPr>
          <w:rFonts w:hint="eastAsia" w:ascii="宋体" w:hAnsi="宋体" w:eastAsia="宋体" w:cs="宋体"/>
        </w:rPr>
      </w:pPr>
      <w:r>
        <w:rPr>
          <w:rFonts w:hint="eastAsia" w:ascii="宋体" w:hAnsi="宋体" w:eastAsia="宋体" w:cs="宋体"/>
        </w:rPr>
        <w:t>对磋商文件作出的实质性变动是磋商文件的有效组成部分，磋商小组应当及时、同时通知所有参加磋商的供应商。</w:t>
      </w:r>
    </w:p>
    <w:p>
      <w:pPr>
        <w:pStyle w:val="9"/>
        <w:spacing w:before="9"/>
        <w:rPr>
          <w:rFonts w:hint="eastAsia" w:ascii="宋体" w:hAnsi="宋体" w:eastAsia="宋体" w:cs="宋体"/>
          <w:sz w:val="14"/>
        </w:rPr>
      </w:pPr>
    </w:p>
    <w:p>
      <w:pPr>
        <w:pStyle w:val="9"/>
        <w:spacing w:line="225" w:lineRule="auto"/>
        <w:ind w:left="126" w:right="109"/>
        <w:rPr>
          <w:rFonts w:hint="eastAsia" w:ascii="宋体" w:hAnsi="宋体" w:eastAsia="宋体" w:cs="宋体"/>
        </w:rPr>
      </w:pPr>
      <w:r>
        <w:rPr>
          <w:rFonts w:hint="eastAsia" w:ascii="宋体" w:hAnsi="宋体" w:eastAsia="宋体" w:cs="宋体"/>
        </w:rPr>
        <w:t>供应商应当按照磋商文件的变动情况和磋商小组的要求进行最终报价或重新提交响应文件，并由其法定代表人或授权代表签字或者加盖公章。由授权代表签字的，应当附法定代表人授权书。供应商为自然人的，应当由本人签字并附身份证明。</w:t>
      </w:r>
    </w:p>
    <w:p>
      <w:pPr>
        <w:pStyle w:val="9"/>
        <w:spacing w:before="11"/>
        <w:rPr>
          <w:rFonts w:hint="eastAsia" w:ascii="宋体" w:hAnsi="宋体" w:eastAsia="宋体" w:cs="宋体"/>
          <w:sz w:val="13"/>
        </w:rPr>
      </w:pPr>
    </w:p>
    <w:p>
      <w:pPr>
        <w:pStyle w:val="5"/>
        <w:numPr>
          <w:ilvl w:val="0"/>
          <w:numId w:val="94"/>
        </w:numPr>
        <w:tabs>
          <w:tab w:val="left" w:pos="333"/>
        </w:tabs>
        <w:spacing w:before="1" w:after="0" w:line="240" w:lineRule="auto"/>
        <w:ind w:left="332" w:right="0" w:hanging="207"/>
        <w:jc w:val="left"/>
        <w:rPr>
          <w:rFonts w:hint="eastAsia" w:ascii="宋体" w:hAnsi="宋体" w:eastAsia="宋体" w:cs="宋体"/>
        </w:rPr>
      </w:pPr>
      <w:r>
        <w:rPr>
          <w:rFonts w:hint="eastAsia" w:ascii="宋体" w:hAnsi="宋体" w:eastAsia="宋体" w:cs="宋体"/>
          <w:spacing w:val="8"/>
        </w:rPr>
        <w:t>最后报价</w:t>
      </w:r>
    </w:p>
    <w:p>
      <w:pPr>
        <w:pStyle w:val="9"/>
        <w:spacing w:before="9"/>
        <w:rPr>
          <w:rFonts w:hint="eastAsia" w:ascii="宋体" w:hAnsi="宋体" w:eastAsia="宋体" w:cs="宋体"/>
          <w:b/>
          <w:sz w:val="15"/>
        </w:rPr>
      </w:pPr>
    </w:p>
    <w:p>
      <w:pPr>
        <w:pStyle w:val="18"/>
        <w:numPr>
          <w:ilvl w:val="1"/>
          <w:numId w:val="94"/>
        </w:numPr>
        <w:tabs>
          <w:tab w:val="left" w:pos="430"/>
        </w:tabs>
        <w:spacing w:before="0" w:after="0" w:line="225" w:lineRule="auto"/>
        <w:ind w:left="126" w:right="193" w:firstLine="0"/>
        <w:jc w:val="left"/>
        <w:rPr>
          <w:rFonts w:hint="eastAsia" w:ascii="宋体" w:hAnsi="宋体" w:eastAsia="宋体" w:cs="宋体"/>
          <w:sz w:val="19"/>
        </w:rPr>
      </w:pPr>
      <w:r>
        <w:rPr>
          <w:rFonts w:hint="eastAsia" w:ascii="宋体" w:hAnsi="宋体" w:eastAsia="宋体" w:cs="宋体"/>
          <w:spacing w:val="-1"/>
          <w:sz w:val="19"/>
        </w:rPr>
        <w:t>磋商结束后，磋商小组应当要求所有实质性响应的供应商在规定时间内提交最后报价。最后报价是供应商响应文件的有效</w:t>
      </w:r>
      <w:r>
        <w:rPr>
          <w:rFonts w:hint="eastAsia" w:ascii="宋体" w:hAnsi="宋体" w:eastAsia="宋体" w:cs="宋体"/>
          <w:sz w:val="19"/>
        </w:rPr>
        <w:t>组成部分。如实质性响应供应商未按规定要求和时间递交最后报价，将以该供应商提交的初始报价作为其最后报价。</w:t>
      </w:r>
    </w:p>
    <w:p>
      <w:pPr>
        <w:pStyle w:val="9"/>
        <w:rPr>
          <w:rFonts w:hint="eastAsia" w:ascii="宋体" w:hAnsi="宋体" w:eastAsia="宋体" w:cs="宋体"/>
          <w:sz w:val="14"/>
        </w:rPr>
      </w:pPr>
    </w:p>
    <w:p>
      <w:pPr>
        <w:pStyle w:val="18"/>
        <w:numPr>
          <w:ilvl w:val="1"/>
          <w:numId w:val="94"/>
        </w:numPr>
        <w:tabs>
          <w:tab w:val="left" w:pos="430"/>
        </w:tabs>
        <w:spacing w:before="0" w:after="0" w:line="240" w:lineRule="auto"/>
        <w:ind w:left="429" w:right="0" w:hanging="304"/>
        <w:jc w:val="left"/>
        <w:rPr>
          <w:rFonts w:hint="eastAsia" w:ascii="宋体" w:hAnsi="宋体" w:eastAsia="宋体" w:cs="宋体"/>
          <w:sz w:val="19"/>
        </w:rPr>
      </w:pPr>
      <w:r>
        <w:rPr>
          <w:rFonts w:hint="eastAsia" w:ascii="宋体" w:hAnsi="宋体" w:eastAsia="宋体" w:cs="宋体"/>
          <w:sz w:val="19"/>
        </w:rPr>
        <w:t>最后报价逾时不交的（超过最后报价时限要求的）、最后报价未携带有效CA锁的将视为供应商自动放弃最后报价。</w:t>
      </w:r>
    </w:p>
    <w:p>
      <w:pPr>
        <w:pStyle w:val="18"/>
        <w:numPr>
          <w:ilvl w:val="1"/>
          <w:numId w:val="94"/>
        </w:numPr>
        <w:tabs>
          <w:tab w:val="left" w:pos="430"/>
        </w:tabs>
        <w:spacing w:before="177" w:after="0" w:line="240" w:lineRule="auto"/>
        <w:ind w:left="429" w:right="0" w:hanging="304"/>
        <w:jc w:val="left"/>
        <w:rPr>
          <w:rFonts w:hint="eastAsia" w:ascii="宋体" w:hAnsi="宋体" w:eastAsia="宋体" w:cs="宋体"/>
          <w:sz w:val="19"/>
        </w:rPr>
      </w:pPr>
      <w:r>
        <w:rPr>
          <w:rFonts w:hint="eastAsia" w:ascii="宋体" w:hAnsi="宋体" w:eastAsia="宋体" w:cs="宋体"/>
          <w:sz w:val="19"/>
        </w:rPr>
        <w:t>已提交响应文件的供应商，在提交最后报价之前，可以根据磋商情况退出磋商。</w:t>
      </w:r>
    </w:p>
    <w:p>
      <w:pPr>
        <w:pStyle w:val="9"/>
        <w:spacing w:before="188" w:line="225" w:lineRule="auto"/>
        <w:ind w:left="126" w:right="109"/>
        <w:rPr>
          <w:rFonts w:hint="eastAsia" w:ascii="宋体" w:hAnsi="宋体" w:eastAsia="宋体" w:cs="宋体"/>
        </w:rPr>
      </w:pPr>
      <w:r>
        <w:rPr>
          <w:rFonts w:hint="eastAsia" w:ascii="宋体" w:hAnsi="宋体" w:eastAsia="宋体" w:cs="宋体"/>
        </w:rPr>
        <w:t>注：最后报价应当按照本项目采购文件的相关要求，在最后报价现场对总报价和分项报价进行明确，请各供应商在参加谈判前对可能变动的报价进行准备、计算。</w:t>
      </w:r>
    </w:p>
    <w:p>
      <w:pPr>
        <w:pStyle w:val="9"/>
        <w:spacing w:before="12"/>
        <w:rPr>
          <w:rFonts w:hint="eastAsia" w:ascii="宋体" w:hAnsi="宋体" w:eastAsia="宋体" w:cs="宋体"/>
          <w:sz w:val="13"/>
        </w:rPr>
      </w:pPr>
    </w:p>
    <w:p>
      <w:pPr>
        <w:pStyle w:val="5"/>
        <w:numPr>
          <w:ilvl w:val="0"/>
          <w:numId w:val="94"/>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10"/>
        </w:rPr>
        <w:t>政府采购政策功能落实</w:t>
      </w:r>
    </w:p>
    <w:p>
      <w:pPr>
        <w:pStyle w:val="9"/>
        <w:spacing w:before="9"/>
        <w:rPr>
          <w:rFonts w:hint="eastAsia" w:ascii="宋体" w:hAnsi="宋体" w:eastAsia="宋体" w:cs="宋体"/>
          <w:b/>
          <w:sz w:val="15"/>
        </w:rPr>
      </w:pPr>
    </w:p>
    <w:p>
      <w:pPr>
        <w:pStyle w:val="9"/>
        <w:spacing w:before="1" w:line="225" w:lineRule="auto"/>
        <w:ind w:left="126" w:right="109"/>
        <w:rPr>
          <w:rFonts w:hint="eastAsia" w:ascii="宋体" w:hAnsi="宋体" w:eastAsia="宋体" w:cs="宋体"/>
        </w:rPr>
      </w:pPr>
      <w:r>
        <w:rPr>
          <w:rFonts w:hint="eastAsia" w:ascii="宋体" w:hAnsi="宋体" w:eastAsia="宋体" w:cs="宋体"/>
        </w:rPr>
        <w:t>对于未预留份额专门面向中小企业采购的采购项目，以及预留份额项目中的非预留部分采购包，实施价格评审优惠扶持政策的相关要求。</w:t>
      </w:r>
    </w:p>
    <w:p>
      <w:pPr>
        <w:pStyle w:val="9"/>
        <w:spacing w:before="11"/>
        <w:rPr>
          <w:rFonts w:hint="eastAsia" w:ascii="宋体" w:hAnsi="宋体" w:eastAsia="宋体" w:cs="宋体"/>
          <w:sz w:val="13"/>
        </w:rPr>
      </w:pPr>
    </w:p>
    <w:p>
      <w:pPr>
        <w:pStyle w:val="5"/>
        <w:numPr>
          <w:ilvl w:val="0"/>
          <w:numId w:val="94"/>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12"/>
        </w:rPr>
        <w:t>综合评分（详见后附表三详细表</w:t>
      </w:r>
      <w:r>
        <w:rPr>
          <w:rFonts w:hint="eastAsia" w:ascii="宋体" w:hAnsi="宋体" w:eastAsia="宋体" w:cs="宋体"/>
        </w:rPr>
        <w:t>）</w:t>
      </w:r>
    </w:p>
    <w:p>
      <w:pPr>
        <w:pStyle w:val="9"/>
        <w:spacing w:before="191"/>
        <w:ind w:left="126"/>
        <w:rPr>
          <w:rFonts w:hint="eastAsia" w:ascii="宋体" w:hAnsi="宋体" w:eastAsia="宋体" w:cs="宋体"/>
        </w:rPr>
      </w:pPr>
      <w:r>
        <w:rPr>
          <w:rFonts w:hint="eastAsia" w:ascii="宋体" w:hAnsi="宋体" w:eastAsia="宋体" w:cs="宋体"/>
        </w:rPr>
        <w:t>由磋商小组采用综合评分法对提交最后报价的供应商的响应文件和最后报价进行综合评分（得分四舍五入保留两位小数）。</w:t>
      </w:r>
    </w:p>
    <w:p>
      <w:pPr>
        <w:pStyle w:val="9"/>
        <w:spacing w:before="9"/>
        <w:rPr>
          <w:rFonts w:hint="eastAsia" w:ascii="宋体" w:hAnsi="宋体" w:eastAsia="宋体" w:cs="宋体"/>
          <w:sz w:val="13"/>
        </w:rPr>
      </w:pPr>
    </w:p>
    <w:p>
      <w:pPr>
        <w:pStyle w:val="5"/>
        <w:numPr>
          <w:ilvl w:val="0"/>
          <w:numId w:val="94"/>
        </w:numPr>
        <w:tabs>
          <w:tab w:val="left" w:pos="333"/>
        </w:tabs>
        <w:spacing w:before="0" w:after="0" w:line="240" w:lineRule="auto"/>
        <w:ind w:left="332" w:right="0" w:hanging="207"/>
        <w:jc w:val="left"/>
        <w:rPr>
          <w:rFonts w:hint="eastAsia" w:ascii="宋体" w:hAnsi="宋体" w:eastAsia="宋体" w:cs="宋体"/>
        </w:rPr>
      </w:pPr>
      <w:r>
        <w:rPr>
          <w:rFonts w:hint="eastAsia" w:ascii="宋体" w:hAnsi="宋体" w:eastAsia="宋体" w:cs="宋体"/>
          <w:spacing w:val="9"/>
        </w:rPr>
        <w:t>汇总、排序</w:t>
      </w:r>
    </w:p>
    <w:p>
      <w:pPr>
        <w:pStyle w:val="9"/>
        <w:spacing w:before="10"/>
        <w:rPr>
          <w:rFonts w:hint="eastAsia" w:ascii="宋体" w:hAnsi="宋体" w:eastAsia="宋体" w:cs="宋体"/>
          <w:b/>
          <w:sz w:val="15"/>
        </w:rPr>
      </w:pPr>
    </w:p>
    <w:p>
      <w:pPr>
        <w:pStyle w:val="18"/>
        <w:numPr>
          <w:ilvl w:val="1"/>
          <w:numId w:val="94"/>
        </w:numPr>
        <w:tabs>
          <w:tab w:val="left" w:pos="430"/>
        </w:tabs>
        <w:spacing w:before="0" w:after="0" w:line="225" w:lineRule="auto"/>
        <w:ind w:left="126" w:right="193" w:firstLine="0"/>
        <w:jc w:val="left"/>
        <w:rPr>
          <w:rFonts w:hint="eastAsia" w:ascii="宋体" w:hAnsi="宋体" w:eastAsia="宋体" w:cs="宋体"/>
          <w:sz w:val="19"/>
        </w:rPr>
      </w:pPr>
      <w:r>
        <w:rPr>
          <w:rFonts w:hint="eastAsia" w:ascii="宋体" w:hAnsi="宋体" w:eastAsia="宋体" w:cs="宋体"/>
          <w:spacing w:val="-1"/>
          <w:sz w:val="19"/>
        </w:rPr>
        <w:t>评审结果按评审后总得分由高到低顺序排列。评审得分相同的，按照最后报价由低到高的顺序推荐。评审得分且最后报价</w:t>
      </w:r>
      <w:r>
        <w:rPr>
          <w:rFonts w:hint="eastAsia" w:ascii="宋体" w:hAnsi="宋体" w:eastAsia="宋体" w:cs="宋体"/>
          <w:sz w:val="19"/>
        </w:rPr>
        <w:t>相同的，按照技术指标优劣顺序推荐，以上均相同的由采购人确定。</w:t>
      </w:r>
    </w:p>
    <w:p>
      <w:pPr>
        <w:pStyle w:val="9"/>
        <w:spacing w:before="9"/>
        <w:rPr>
          <w:rFonts w:hint="eastAsia" w:ascii="宋体" w:hAnsi="宋体" w:eastAsia="宋体" w:cs="宋体"/>
          <w:sz w:val="18"/>
        </w:rPr>
      </w:pPr>
    </w:p>
    <w:p>
      <w:pPr>
        <w:pStyle w:val="5"/>
        <w:rPr>
          <w:rFonts w:hint="eastAsia" w:ascii="宋体" w:hAnsi="宋体" w:eastAsia="宋体" w:cs="宋体"/>
        </w:rPr>
      </w:pPr>
      <w:r>
        <w:rPr>
          <w:rFonts w:hint="eastAsia" w:ascii="宋体" w:hAnsi="宋体" w:eastAsia="宋体" w:cs="宋体"/>
        </w:rPr>
        <w:t>表一资格性审查表</w:t>
      </w:r>
    </w:p>
    <w:p>
      <w:pPr>
        <w:pStyle w:val="9"/>
        <w:spacing w:before="6"/>
        <w:rPr>
          <w:rFonts w:hint="eastAsia" w:ascii="宋体" w:hAnsi="宋体" w:eastAsia="宋体" w:cs="宋体"/>
          <w:b/>
          <w:sz w:val="18"/>
        </w:rPr>
      </w:pPr>
    </w:p>
    <w:p>
      <w:pPr>
        <w:pStyle w:val="9"/>
        <w:ind w:left="126"/>
        <w:rPr>
          <w:rFonts w:hint="eastAsia" w:ascii="宋体" w:hAnsi="宋体" w:eastAsia="宋体" w:cs="宋体"/>
        </w:rPr>
      </w:pPr>
      <w:r>
        <w:rPr>
          <w:rFonts w:hint="eastAsia" w:ascii="宋体" w:hAnsi="宋体" w:eastAsia="宋体" w:cs="宋体"/>
        </w:rPr>
        <w:t>合同包1（教师教育实训楼心理实训室教学设备）</w:t>
      </w:r>
    </w:p>
    <w:p>
      <w:pPr>
        <w:pStyle w:val="9"/>
        <w:spacing w:before="12"/>
        <w:rPr>
          <w:rFonts w:hint="eastAsia" w:ascii="宋体" w:hAnsi="宋体" w:eastAsia="宋体" w:cs="宋体"/>
          <w:sz w:val="15"/>
        </w:rPr>
      </w:pPr>
    </w:p>
    <w:tbl>
      <w:tblPr>
        <w:tblStyle w:val="16"/>
        <w:tblW w:w="0" w:type="auto"/>
        <w:tblInd w:w="156" w:type="dxa"/>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Layout w:type="fixed"/>
        <w:tblCellMar>
          <w:top w:w="0" w:type="dxa"/>
          <w:left w:w="0" w:type="dxa"/>
          <w:bottom w:w="0" w:type="dxa"/>
          <w:right w:w="0" w:type="dxa"/>
        </w:tblCellMar>
      </w:tblPr>
      <w:tblGrid>
        <w:gridCol w:w="3043"/>
        <w:gridCol w:w="7508"/>
      </w:tblGrid>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PrEx>
        <w:trPr>
          <w:trHeight w:val="480" w:hRule="atLeast"/>
        </w:trPr>
        <w:tc>
          <w:tcPr>
            <w:tcW w:w="3043" w:type="dxa"/>
            <w:tcBorders>
              <w:bottom w:val="single" w:color="7F7F7F" w:sz="6" w:space="0"/>
            </w:tcBorders>
          </w:tcPr>
          <w:p>
            <w:pPr>
              <w:pStyle w:val="19"/>
              <w:spacing w:before="11" w:line="228" w:lineRule="exact"/>
              <w:ind w:left="37" w:right="77"/>
              <w:rPr>
                <w:rFonts w:hint="eastAsia" w:ascii="宋体" w:hAnsi="宋体" w:eastAsia="宋体" w:cs="宋体"/>
                <w:sz w:val="19"/>
              </w:rPr>
            </w:pPr>
            <w:r>
              <w:rPr>
                <w:rFonts w:hint="eastAsia" w:ascii="宋体" w:hAnsi="宋体" w:eastAsia="宋体" w:cs="宋体"/>
                <w:sz w:val="19"/>
              </w:rPr>
              <w:t>（一）符合《中华人民共和国政府采购法》第二十二条规定的条件。</w:t>
            </w:r>
          </w:p>
        </w:tc>
        <w:tc>
          <w:tcPr>
            <w:tcW w:w="7508" w:type="dxa"/>
            <w:tcBorders>
              <w:bottom w:val="single" w:color="7F7F7F" w:sz="6" w:space="0"/>
              <w:right w:val="double" w:color="7F7F7F" w:sz="2" w:space="0"/>
            </w:tcBorders>
          </w:tcPr>
          <w:p>
            <w:pPr>
              <w:pStyle w:val="19"/>
              <w:spacing w:before="111"/>
              <w:ind w:left="19"/>
              <w:rPr>
                <w:rFonts w:hint="eastAsia" w:ascii="宋体" w:hAnsi="宋体" w:eastAsia="宋体" w:cs="宋体"/>
                <w:sz w:val="19"/>
              </w:rPr>
            </w:pPr>
            <w:r>
              <w:rPr>
                <w:rFonts w:hint="eastAsia" w:ascii="宋体" w:hAnsi="宋体" w:eastAsia="宋体" w:cs="宋体"/>
                <w:sz w:val="19"/>
              </w:rPr>
              <w:t>提供《黑龙江省政府采购供应商承诺函》承诺人（供应商或自然人CA签章）</w:t>
            </w:r>
          </w:p>
        </w:tc>
      </w:tr>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598" w:hRule="atLeast"/>
        </w:trPr>
        <w:tc>
          <w:tcPr>
            <w:tcW w:w="10551" w:type="dxa"/>
            <w:gridSpan w:val="2"/>
            <w:tcBorders>
              <w:top w:val="single" w:color="7F7F7F" w:sz="6" w:space="0"/>
              <w:left w:val="single" w:color="7F7F7F" w:sz="6" w:space="0"/>
              <w:bottom w:val="nil"/>
              <w:right w:val="single" w:color="2B2B2B" w:sz="6" w:space="0"/>
            </w:tcBorders>
          </w:tcPr>
          <w:p>
            <w:pPr>
              <w:pStyle w:val="19"/>
              <w:rPr>
                <w:rFonts w:hint="eastAsia" w:ascii="宋体" w:hAnsi="宋体" w:eastAsia="宋体" w:cs="宋体"/>
                <w:sz w:val="18"/>
              </w:rPr>
            </w:pPr>
          </w:p>
        </w:tc>
      </w:tr>
    </w:tbl>
    <w:p>
      <w:pPr>
        <w:spacing w:after="0"/>
        <w:rPr>
          <w:rFonts w:hint="eastAsia" w:ascii="宋体" w:hAnsi="宋体" w:eastAsia="宋体" w:cs="宋体"/>
          <w:sz w:val="18"/>
        </w:rPr>
        <w:sectPr>
          <w:pgSz w:w="11900" w:h="16840"/>
          <w:pgMar w:top="500" w:right="560" w:bottom="280" w:left="540" w:header="0" w:footer="13" w:gutter="0"/>
          <w:cols w:space="720" w:num="1"/>
        </w:sectPr>
      </w:pPr>
    </w:p>
    <w:tbl>
      <w:tblPr>
        <w:tblStyle w:val="16"/>
        <w:tblW w:w="0" w:type="auto"/>
        <w:tblInd w:w="174" w:type="dxa"/>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Layout w:type="fixed"/>
        <w:tblCellMar>
          <w:top w:w="0" w:type="dxa"/>
          <w:left w:w="0" w:type="dxa"/>
          <w:bottom w:w="0" w:type="dxa"/>
          <w:right w:w="0" w:type="dxa"/>
        </w:tblCellMar>
      </w:tblPr>
      <w:tblGrid>
        <w:gridCol w:w="3025"/>
        <w:gridCol w:w="7490"/>
      </w:tblGrid>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2532" w:hRule="atLeast"/>
        </w:trPr>
        <w:tc>
          <w:tcPr>
            <w:tcW w:w="3025" w:type="dxa"/>
            <w:tcBorders>
              <w:left w:val="double" w:color="2B2B2B" w:sz="2" w:space="0"/>
              <w:bottom w:val="double" w:color="2B2B2B" w:sz="2" w:space="0"/>
              <w:right w:val="double" w:color="2B2B2B" w:sz="2" w:space="0"/>
            </w:tcBorders>
          </w:tcPr>
          <w:p>
            <w:pPr>
              <w:pStyle w:val="19"/>
              <w:spacing w:before="8" w:line="228" w:lineRule="exact"/>
              <w:ind w:left="19" w:right="77"/>
              <w:rPr>
                <w:rFonts w:hint="eastAsia" w:ascii="宋体" w:hAnsi="宋体" w:eastAsia="宋体" w:cs="宋体"/>
                <w:sz w:val="19"/>
              </w:rPr>
            </w:pPr>
            <w:r>
              <w:rPr>
                <w:rFonts w:hint="eastAsia" w:ascii="宋体" w:hAnsi="宋体" w:eastAsia="宋体" w:cs="宋体"/>
                <w:sz w:val="19"/>
              </w:rPr>
              <w:t>（二）</w:t>
            </w:r>
            <w:r>
              <w:rPr>
                <w:rFonts w:hint="eastAsia" w:ascii="宋体" w:hAnsi="宋体" w:eastAsia="宋体" w:cs="宋体"/>
                <w:spacing w:val="-2"/>
                <w:sz w:val="19"/>
              </w:rPr>
              <w:t>承诺通过合法渠道，可查证不存在违反《中华人民共和国政府</w:t>
            </w:r>
            <w:r>
              <w:rPr>
                <w:rFonts w:hint="eastAsia" w:ascii="宋体" w:hAnsi="宋体" w:eastAsia="宋体" w:cs="宋体"/>
                <w:sz w:val="19"/>
              </w:rPr>
              <w:t>采购法实施条例》第十八条</w:t>
            </w:r>
            <w:r>
              <w:rPr>
                <w:rFonts w:hint="eastAsia" w:ascii="宋体" w:hAnsi="宋体" w:eastAsia="宋体" w:cs="宋体"/>
                <w:spacing w:val="-4"/>
                <w:sz w:val="19"/>
              </w:rPr>
              <w:t>“</w:t>
            </w:r>
            <w:r>
              <w:rPr>
                <w:rFonts w:hint="eastAsia" w:ascii="宋体" w:hAnsi="宋体" w:eastAsia="宋体" w:cs="宋体"/>
                <w:sz w:val="19"/>
              </w:rPr>
              <w:t xml:space="preserve">单位负责人为同一人或者存在直接控 </w:t>
            </w:r>
            <w:r>
              <w:rPr>
                <w:rFonts w:hint="eastAsia" w:ascii="宋体" w:hAnsi="宋体" w:eastAsia="宋体" w:cs="宋体"/>
                <w:spacing w:val="-2"/>
                <w:sz w:val="19"/>
              </w:rPr>
              <w:t>股、管理关系的不同供应商，不得</w:t>
            </w:r>
            <w:r>
              <w:rPr>
                <w:rFonts w:hint="eastAsia" w:ascii="宋体" w:hAnsi="宋体" w:eastAsia="宋体" w:cs="宋体"/>
                <w:sz w:val="19"/>
              </w:rPr>
              <w:t xml:space="preserve">参加同一合同项下的政府采购活 </w:t>
            </w:r>
            <w:r>
              <w:rPr>
                <w:rFonts w:hint="eastAsia" w:ascii="宋体" w:hAnsi="宋体" w:eastAsia="宋体" w:cs="宋体"/>
                <w:spacing w:val="-2"/>
                <w:sz w:val="19"/>
              </w:rPr>
              <w:t>动。除单一来源采购项目外，为采购项目提供整体设计、规范编制或者项目管理、监理、检测等服务的供应商，不得再参加该采购项目的</w:t>
            </w:r>
            <w:r>
              <w:rPr>
                <w:rFonts w:hint="eastAsia" w:ascii="宋体" w:hAnsi="宋体" w:eastAsia="宋体" w:cs="宋体"/>
                <w:sz w:val="19"/>
              </w:rPr>
              <w:t>其他采购活动。</w:t>
            </w:r>
            <w:r>
              <w:rPr>
                <w:rFonts w:hint="eastAsia" w:ascii="宋体" w:hAnsi="宋体" w:eastAsia="宋体" w:cs="宋体"/>
                <w:spacing w:val="-4"/>
                <w:sz w:val="19"/>
              </w:rPr>
              <w:t>”</w:t>
            </w:r>
            <w:r>
              <w:rPr>
                <w:rFonts w:hint="eastAsia" w:ascii="宋体" w:hAnsi="宋体" w:eastAsia="宋体" w:cs="宋体"/>
                <w:sz w:val="19"/>
              </w:rPr>
              <w:t>规定的情形。</w:t>
            </w:r>
          </w:p>
        </w:tc>
        <w:tc>
          <w:tcPr>
            <w:tcW w:w="7490" w:type="dxa"/>
            <w:tcBorders>
              <w:left w:val="double" w:color="2B2B2B" w:sz="2" w:space="0"/>
              <w:bottom w:val="double" w:color="2B2B2B" w:sz="2" w:space="0"/>
              <w:right w:val="double" w:color="7F7F7F" w:sz="2" w:space="0"/>
            </w:tcBorders>
          </w:tcPr>
          <w:p>
            <w:pPr>
              <w:pStyle w:val="19"/>
              <w:rPr>
                <w:rFonts w:hint="eastAsia" w:ascii="宋体" w:hAnsi="宋体" w:eastAsia="宋体" w:cs="宋体"/>
                <w:sz w:val="22"/>
              </w:rPr>
            </w:pPr>
          </w:p>
          <w:p>
            <w:pPr>
              <w:pStyle w:val="19"/>
              <w:rPr>
                <w:rFonts w:hint="eastAsia" w:ascii="宋体" w:hAnsi="宋体" w:eastAsia="宋体" w:cs="宋体"/>
                <w:sz w:val="22"/>
              </w:rPr>
            </w:pPr>
          </w:p>
          <w:p>
            <w:pPr>
              <w:pStyle w:val="19"/>
              <w:rPr>
                <w:rFonts w:hint="eastAsia" w:ascii="宋体" w:hAnsi="宋体" w:eastAsia="宋体" w:cs="宋体"/>
                <w:sz w:val="22"/>
              </w:rPr>
            </w:pPr>
          </w:p>
          <w:p>
            <w:pPr>
              <w:pStyle w:val="19"/>
              <w:rPr>
                <w:rFonts w:hint="eastAsia" w:ascii="宋体" w:hAnsi="宋体" w:eastAsia="宋体" w:cs="宋体"/>
                <w:sz w:val="23"/>
              </w:rPr>
            </w:pPr>
          </w:p>
          <w:p>
            <w:pPr>
              <w:pStyle w:val="19"/>
              <w:ind w:left="19"/>
              <w:rPr>
                <w:rFonts w:hint="eastAsia" w:ascii="宋体" w:hAnsi="宋体" w:eastAsia="宋体" w:cs="宋体"/>
                <w:sz w:val="19"/>
              </w:rPr>
            </w:pPr>
            <w:r>
              <w:rPr>
                <w:rFonts w:hint="eastAsia" w:ascii="宋体" w:hAnsi="宋体" w:eastAsia="宋体" w:cs="宋体"/>
                <w:sz w:val="19"/>
              </w:rPr>
              <w:t>提供《黑龙江省政府采购供应商承诺函》承诺人（供应商或自然人CA签章）</w:t>
            </w:r>
          </w:p>
        </w:tc>
      </w:tr>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1851" w:hRule="atLeast"/>
        </w:trPr>
        <w:tc>
          <w:tcPr>
            <w:tcW w:w="3025" w:type="dxa"/>
            <w:tcBorders>
              <w:top w:val="double" w:color="2B2B2B" w:sz="2" w:space="0"/>
              <w:left w:val="double" w:color="2B2B2B" w:sz="2" w:space="0"/>
              <w:bottom w:val="double" w:color="2B2B2B" w:sz="2" w:space="0"/>
              <w:right w:val="double" w:color="2B2B2B" w:sz="2" w:space="0"/>
            </w:tcBorders>
          </w:tcPr>
          <w:p>
            <w:pPr>
              <w:pStyle w:val="19"/>
              <w:spacing w:before="11" w:line="228" w:lineRule="exact"/>
              <w:ind w:left="19" w:right="77"/>
              <w:rPr>
                <w:rFonts w:hint="eastAsia" w:ascii="宋体" w:hAnsi="宋体" w:eastAsia="宋体" w:cs="宋体"/>
                <w:sz w:val="19"/>
              </w:rPr>
            </w:pPr>
            <w:r>
              <w:rPr>
                <w:rFonts w:hint="eastAsia" w:ascii="宋体" w:hAnsi="宋体" w:eastAsia="宋体" w:cs="宋体"/>
                <w:sz w:val="19"/>
              </w:rPr>
              <w:t>（三）承诺通过“全国企业信用信息公示系统”、“中国执行信息公开网”、“中国裁判文书网”、“信用中国”、“中国政府采购网”等合法渠道，可查证在投标截止日期前未被列入失信被执行人名单、重大税收违法案件当事人名单、政府采购严重违法失信行为记录名单。</w:t>
            </w:r>
          </w:p>
        </w:tc>
        <w:tc>
          <w:tcPr>
            <w:tcW w:w="7490" w:type="dxa"/>
            <w:tcBorders>
              <w:top w:val="double" w:color="2B2B2B" w:sz="2" w:space="0"/>
              <w:left w:val="double" w:color="2B2B2B" w:sz="2" w:space="0"/>
              <w:bottom w:val="double" w:color="2B2B2B" w:sz="2" w:space="0"/>
              <w:right w:val="double" w:color="7F7F7F" w:sz="2" w:space="0"/>
            </w:tcBorders>
          </w:tcPr>
          <w:p>
            <w:pPr>
              <w:pStyle w:val="19"/>
              <w:rPr>
                <w:rFonts w:hint="eastAsia" w:ascii="宋体" w:hAnsi="宋体" w:eastAsia="宋体" w:cs="宋体"/>
                <w:sz w:val="22"/>
              </w:rPr>
            </w:pPr>
          </w:p>
          <w:p>
            <w:pPr>
              <w:pStyle w:val="19"/>
              <w:rPr>
                <w:rFonts w:hint="eastAsia" w:ascii="宋体" w:hAnsi="宋体" w:eastAsia="宋体" w:cs="宋体"/>
                <w:sz w:val="22"/>
              </w:rPr>
            </w:pPr>
          </w:p>
          <w:p>
            <w:pPr>
              <w:pStyle w:val="19"/>
              <w:spacing w:before="1"/>
              <w:rPr>
                <w:rFonts w:hint="eastAsia" w:ascii="宋体" w:hAnsi="宋体" w:eastAsia="宋体" w:cs="宋体"/>
                <w:sz w:val="18"/>
              </w:rPr>
            </w:pPr>
          </w:p>
          <w:p>
            <w:pPr>
              <w:pStyle w:val="19"/>
              <w:ind w:left="19"/>
              <w:rPr>
                <w:rFonts w:hint="eastAsia" w:ascii="宋体" w:hAnsi="宋体" w:eastAsia="宋体" w:cs="宋体"/>
                <w:sz w:val="19"/>
              </w:rPr>
            </w:pPr>
            <w:r>
              <w:rPr>
                <w:rFonts w:hint="eastAsia" w:ascii="宋体" w:hAnsi="宋体" w:eastAsia="宋体" w:cs="宋体"/>
                <w:sz w:val="19"/>
              </w:rPr>
              <w:t>提供《黑龙江省政府采购供应商承诺函》承诺人（供应商或自然人CA签章）</w:t>
            </w:r>
          </w:p>
        </w:tc>
      </w:tr>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1167" w:hRule="atLeast"/>
        </w:trPr>
        <w:tc>
          <w:tcPr>
            <w:tcW w:w="3025" w:type="dxa"/>
            <w:tcBorders>
              <w:top w:val="double" w:color="2B2B2B" w:sz="2" w:space="0"/>
              <w:left w:val="double" w:color="2B2B2B" w:sz="2" w:space="0"/>
              <w:bottom w:val="double" w:color="2B2B2B" w:sz="2" w:space="0"/>
              <w:right w:val="double" w:color="2B2B2B" w:sz="2" w:space="0"/>
            </w:tcBorders>
          </w:tcPr>
          <w:p>
            <w:pPr>
              <w:pStyle w:val="19"/>
              <w:spacing w:before="15" w:line="225" w:lineRule="auto"/>
              <w:ind w:left="19" w:right="173"/>
              <w:rPr>
                <w:rFonts w:hint="eastAsia" w:ascii="宋体" w:hAnsi="宋体" w:eastAsia="宋体" w:cs="宋体"/>
                <w:sz w:val="19"/>
              </w:rPr>
            </w:pPr>
            <w:r>
              <w:rPr>
                <w:rFonts w:hint="eastAsia" w:ascii="宋体" w:hAnsi="宋体" w:eastAsia="宋体" w:cs="宋体"/>
                <w:sz w:val="19"/>
              </w:rPr>
              <w:t>（四）承诺通过“中国执行信息公开</w:t>
            </w:r>
          </w:p>
          <w:p>
            <w:pPr>
              <w:pStyle w:val="19"/>
              <w:spacing w:line="223" w:lineRule="exact"/>
              <w:ind w:left="19"/>
              <w:rPr>
                <w:rFonts w:hint="eastAsia" w:ascii="宋体" w:hAnsi="宋体" w:eastAsia="宋体" w:cs="宋体"/>
                <w:sz w:val="19"/>
              </w:rPr>
            </w:pPr>
            <w:r>
              <w:rPr>
                <w:rFonts w:hint="eastAsia" w:ascii="宋体" w:hAnsi="宋体" w:eastAsia="宋体" w:cs="宋体"/>
                <w:w w:val="101"/>
                <w:sz w:val="19"/>
              </w:rPr>
              <w:t>网</w:t>
            </w:r>
            <w:r>
              <w:rPr>
                <w:rFonts w:hint="eastAsia" w:ascii="宋体" w:hAnsi="宋体" w:eastAsia="宋体" w:cs="宋体"/>
                <w:spacing w:val="-4"/>
                <w:w w:val="104"/>
                <w:sz w:val="19"/>
              </w:rPr>
              <w:t>”</w:t>
            </w:r>
            <w:r>
              <w:rPr>
                <w:rFonts w:hint="eastAsia" w:ascii="宋体" w:hAnsi="宋体" w:eastAsia="宋体" w:cs="宋体"/>
                <w:w w:val="101"/>
                <w:sz w:val="19"/>
              </w:rPr>
              <w:t>（</w:t>
            </w:r>
            <w:r>
              <w:rPr>
                <w:rFonts w:hint="eastAsia" w:ascii="宋体" w:hAnsi="宋体" w:eastAsia="宋体" w:cs="宋体"/>
              </w:rPr>
              <w:fldChar w:fldCharType="begin"/>
            </w:r>
            <w:r>
              <w:rPr>
                <w:rFonts w:hint="eastAsia" w:ascii="宋体" w:hAnsi="宋体" w:eastAsia="宋体" w:cs="宋体"/>
              </w:rPr>
              <w:instrText xml:space="preserve"> HYPERLINK "http://zxgk.court.gov.cn/" \h </w:instrText>
            </w:r>
            <w:r>
              <w:rPr>
                <w:rFonts w:hint="eastAsia" w:ascii="宋体" w:hAnsi="宋体" w:eastAsia="宋体" w:cs="宋体"/>
              </w:rPr>
              <w:fldChar w:fldCharType="separate"/>
            </w:r>
            <w:r>
              <w:rPr>
                <w:rFonts w:hint="eastAsia" w:ascii="宋体" w:hAnsi="宋体" w:eastAsia="宋体" w:cs="宋体"/>
                <w:spacing w:val="-2"/>
                <w:w w:val="128"/>
                <w:sz w:val="19"/>
              </w:rPr>
              <w:t>h</w:t>
            </w:r>
            <w:r>
              <w:rPr>
                <w:rFonts w:hint="eastAsia" w:ascii="宋体" w:hAnsi="宋体" w:eastAsia="宋体" w:cs="宋体"/>
                <w:spacing w:val="-4"/>
                <w:w w:val="112"/>
                <w:sz w:val="19"/>
              </w:rPr>
              <w:t>tt</w:t>
            </w:r>
            <w:r>
              <w:rPr>
                <w:rFonts w:hint="eastAsia" w:ascii="宋体" w:hAnsi="宋体" w:eastAsia="宋体" w:cs="宋体"/>
                <w:spacing w:val="-2"/>
                <w:w w:val="129"/>
                <w:sz w:val="19"/>
              </w:rPr>
              <w:t>p</w:t>
            </w:r>
            <w:r>
              <w:rPr>
                <w:rFonts w:hint="eastAsia" w:ascii="宋体" w:hAnsi="宋体" w:eastAsia="宋体" w:cs="宋体"/>
                <w:spacing w:val="-5"/>
                <w:w w:val="167"/>
                <w:sz w:val="19"/>
              </w:rPr>
              <w:t>:</w:t>
            </w:r>
            <w:r>
              <w:rPr>
                <w:rFonts w:hint="eastAsia" w:ascii="宋体" w:hAnsi="宋体" w:eastAsia="宋体" w:cs="宋体"/>
                <w:spacing w:val="-5"/>
                <w:w w:val="68"/>
                <w:sz w:val="19"/>
              </w:rPr>
              <w:t>//</w:t>
            </w:r>
            <w:r>
              <w:rPr>
                <w:rFonts w:hint="eastAsia" w:ascii="宋体" w:hAnsi="宋体" w:eastAsia="宋体" w:cs="宋体"/>
                <w:spacing w:val="7"/>
                <w:w w:val="116"/>
                <w:sz w:val="19"/>
              </w:rPr>
              <w:t>z</w:t>
            </w:r>
            <w:r>
              <w:rPr>
                <w:rFonts w:hint="eastAsia" w:ascii="宋体" w:hAnsi="宋体" w:eastAsia="宋体" w:cs="宋体"/>
                <w:spacing w:val="6"/>
                <w:w w:val="129"/>
                <w:sz w:val="19"/>
              </w:rPr>
              <w:t>x</w:t>
            </w:r>
            <w:r>
              <w:rPr>
                <w:rFonts w:hint="eastAsia" w:ascii="宋体" w:hAnsi="宋体" w:eastAsia="宋体" w:cs="宋体"/>
                <w:spacing w:val="-2"/>
                <w:w w:val="139"/>
                <w:sz w:val="19"/>
              </w:rPr>
              <w:t>g</w:t>
            </w:r>
            <w:r>
              <w:rPr>
                <w:rFonts w:hint="eastAsia" w:ascii="宋体" w:hAnsi="宋体" w:eastAsia="宋体" w:cs="宋体"/>
                <w:spacing w:val="-4"/>
                <w:w w:val="126"/>
                <w:sz w:val="19"/>
              </w:rPr>
              <w:t>k</w:t>
            </w:r>
            <w:r>
              <w:rPr>
                <w:rFonts w:hint="eastAsia" w:ascii="宋体" w:hAnsi="宋体" w:eastAsia="宋体" w:cs="宋体"/>
                <w:spacing w:val="-2"/>
                <w:w w:val="158"/>
                <w:sz w:val="19"/>
              </w:rPr>
              <w:t>.</w:t>
            </w:r>
            <w:r>
              <w:rPr>
                <w:rFonts w:hint="eastAsia" w:ascii="宋体" w:hAnsi="宋体" w:eastAsia="宋体" w:cs="宋体"/>
                <w:spacing w:val="2"/>
                <w:w w:val="111"/>
                <w:sz w:val="19"/>
              </w:rPr>
              <w:t>c</w:t>
            </w:r>
            <w:r>
              <w:rPr>
                <w:rFonts w:hint="eastAsia" w:ascii="宋体" w:hAnsi="宋体" w:eastAsia="宋体" w:cs="宋体"/>
                <w:spacing w:val="2"/>
                <w:w w:val="121"/>
                <w:sz w:val="19"/>
              </w:rPr>
              <w:t>o</w:t>
            </w:r>
            <w:r>
              <w:rPr>
                <w:rFonts w:hint="eastAsia" w:ascii="宋体" w:hAnsi="宋体" w:eastAsia="宋体" w:cs="宋体"/>
                <w:spacing w:val="-2"/>
                <w:w w:val="128"/>
                <w:sz w:val="19"/>
              </w:rPr>
              <w:t>u</w:t>
            </w:r>
            <w:r>
              <w:rPr>
                <w:rFonts w:hint="eastAsia" w:ascii="宋体" w:hAnsi="宋体" w:eastAsia="宋体" w:cs="宋体"/>
                <w:spacing w:val="5"/>
                <w:w w:val="119"/>
                <w:sz w:val="19"/>
              </w:rPr>
              <w:t>r</w:t>
            </w:r>
            <w:r>
              <w:rPr>
                <w:rFonts w:hint="eastAsia" w:ascii="宋体" w:hAnsi="宋体" w:eastAsia="宋体" w:cs="宋体"/>
                <w:spacing w:val="-4"/>
                <w:w w:val="112"/>
                <w:sz w:val="19"/>
              </w:rPr>
              <w:t>t</w:t>
            </w:r>
            <w:r>
              <w:rPr>
                <w:rFonts w:hint="eastAsia" w:ascii="宋体" w:hAnsi="宋体" w:eastAsia="宋体" w:cs="宋体"/>
                <w:spacing w:val="-2"/>
                <w:w w:val="158"/>
                <w:sz w:val="19"/>
              </w:rPr>
              <w:t>.</w:t>
            </w:r>
            <w:r>
              <w:rPr>
                <w:rFonts w:hint="eastAsia" w:ascii="宋体" w:hAnsi="宋体" w:eastAsia="宋体" w:cs="宋体"/>
                <w:spacing w:val="-2"/>
                <w:w w:val="139"/>
                <w:sz w:val="19"/>
              </w:rPr>
              <w:t>g</w:t>
            </w:r>
            <w:r>
              <w:rPr>
                <w:rFonts w:hint="eastAsia" w:ascii="宋体" w:hAnsi="宋体" w:eastAsia="宋体" w:cs="宋体"/>
                <w:spacing w:val="2"/>
                <w:w w:val="121"/>
                <w:sz w:val="19"/>
              </w:rPr>
              <w:t>o</w:t>
            </w:r>
            <w:r>
              <w:rPr>
                <w:rFonts w:hint="eastAsia" w:ascii="宋体" w:hAnsi="宋体" w:eastAsia="宋体" w:cs="宋体"/>
                <w:spacing w:val="-6"/>
                <w:w w:val="125"/>
                <w:sz w:val="19"/>
              </w:rPr>
              <w:t>v</w:t>
            </w:r>
            <w:r>
              <w:rPr>
                <w:rFonts w:hint="eastAsia" w:ascii="宋体" w:hAnsi="宋体" w:eastAsia="宋体" w:cs="宋体"/>
                <w:spacing w:val="-2"/>
                <w:w w:val="158"/>
                <w:sz w:val="19"/>
              </w:rPr>
              <w:t>.</w:t>
            </w:r>
            <w:r>
              <w:rPr>
                <w:rFonts w:hint="eastAsia" w:ascii="宋体" w:hAnsi="宋体" w:eastAsia="宋体" w:cs="宋体"/>
                <w:spacing w:val="2"/>
                <w:w w:val="111"/>
                <w:sz w:val="19"/>
              </w:rPr>
              <w:t>c</w:t>
            </w:r>
            <w:r>
              <w:rPr>
                <w:rFonts w:hint="eastAsia" w:ascii="宋体" w:hAnsi="宋体" w:eastAsia="宋体" w:cs="宋体"/>
                <w:spacing w:val="-2"/>
                <w:w w:val="128"/>
                <w:sz w:val="19"/>
              </w:rPr>
              <w:t>n</w:t>
            </w:r>
            <w:r>
              <w:rPr>
                <w:rFonts w:hint="eastAsia" w:ascii="宋体" w:hAnsi="宋体" w:eastAsia="宋体" w:cs="宋体"/>
                <w:spacing w:val="-2"/>
                <w:w w:val="128"/>
                <w:sz w:val="19"/>
              </w:rPr>
              <w:fldChar w:fldCharType="end"/>
            </w:r>
            <w:r>
              <w:rPr>
                <w:rFonts w:hint="eastAsia" w:ascii="宋体" w:hAnsi="宋体" w:eastAsia="宋体" w:cs="宋体"/>
                <w:w w:val="101"/>
                <w:sz w:val="19"/>
              </w:rPr>
              <w:t>）</w:t>
            </w:r>
          </w:p>
          <w:p>
            <w:pPr>
              <w:pStyle w:val="19"/>
              <w:spacing w:line="228" w:lineRule="exact"/>
              <w:ind w:left="19" w:right="77"/>
              <w:rPr>
                <w:rFonts w:hint="eastAsia" w:ascii="宋体" w:hAnsi="宋体" w:eastAsia="宋体" w:cs="宋体"/>
                <w:sz w:val="19"/>
              </w:rPr>
            </w:pPr>
            <w:r>
              <w:rPr>
                <w:rFonts w:hint="eastAsia" w:ascii="宋体" w:hAnsi="宋体" w:eastAsia="宋体" w:cs="宋体"/>
                <w:sz w:val="19"/>
              </w:rPr>
              <w:t>等合法渠道，可查证法定代表人和负责人近三年内无行贿犯罪记录。</w:t>
            </w:r>
          </w:p>
        </w:tc>
        <w:tc>
          <w:tcPr>
            <w:tcW w:w="7490" w:type="dxa"/>
            <w:tcBorders>
              <w:top w:val="double" w:color="2B2B2B" w:sz="2" w:space="0"/>
              <w:left w:val="double" w:color="2B2B2B" w:sz="2" w:space="0"/>
              <w:bottom w:val="double" w:color="2B2B2B" w:sz="2" w:space="0"/>
              <w:right w:val="double" w:color="7F7F7F" w:sz="2" w:space="0"/>
            </w:tcBorders>
          </w:tcPr>
          <w:p>
            <w:pPr>
              <w:pStyle w:val="19"/>
              <w:rPr>
                <w:rFonts w:hint="eastAsia" w:ascii="宋体" w:hAnsi="宋体" w:eastAsia="宋体" w:cs="宋体"/>
                <w:sz w:val="22"/>
              </w:rPr>
            </w:pPr>
          </w:p>
          <w:p>
            <w:pPr>
              <w:pStyle w:val="19"/>
              <w:spacing w:before="178"/>
              <w:ind w:left="19"/>
              <w:rPr>
                <w:rFonts w:hint="eastAsia" w:ascii="宋体" w:hAnsi="宋体" w:eastAsia="宋体" w:cs="宋体"/>
                <w:sz w:val="19"/>
              </w:rPr>
            </w:pPr>
            <w:r>
              <w:rPr>
                <w:rFonts w:hint="eastAsia" w:ascii="宋体" w:hAnsi="宋体" w:eastAsia="宋体" w:cs="宋体"/>
                <w:sz w:val="19"/>
              </w:rPr>
              <w:t>提供《黑龙江省政府采购供应商承诺函》承诺人（供应商或自然人CA签章）</w:t>
            </w:r>
          </w:p>
        </w:tc>
      </w:tr>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1851" w:hRule="atLeast"/>
        </w:trPr>
        <w:tc>
          <w:tcPr>
            <w:tcW w:w="3025" w:type="dxa"/>
            <w:tcBorders>
              <w:top w:val="double" w:color="2B2B2B" w:sz="2" w:space="0"/>
              <w:left w:val="double" w:color="2B2B2B" w:sz="2" w:space="0"/>
              <w:bottom w:val="double" w:color="2B2B2B" w:sz="2" w:space="0"/>
              <w:right w:val="double" w:color="2B2B2B" w:sz="2" w:space="0"/>
            </w:tcBorders>
          </w:tcPr>
          <w:p>
            <w:pPr>
              <w:pStyle w:val="19"/>
              <w:spacing w:before="11" w:line="228" w:lineRule="exact"/>
              <w:ind w:left="19" w:right="77"/>
              <w:rPr>
                <w:rFonts w:hint="eastAsia" w:ascii="宋体" w:hAnsi="宋体" w:eastAsia="宋体" w:cs="宋体"/>
                <w:sz w:val="19"/>
              </w:rPr>
            </w:pPr>
            <w:r>
              <w:rPr>
                <w:rFonts w:hint="eastAsia" w:ascii="宋体" w:hAnsi="宋体" w:eastAsia="宋体" w:cs="宋体"/>
                <w:sz w:val="19"/>
              </w:rPr>
              <w:t>（五）承诺通过合法渠道，事业单位或社会团体可查证不属于《政府购买服务管理办法》（财政部令第</w:t>
            </w:r>
            <w:r>
              <w:rPr>
                <w:rFonts w:hint="eastAsia" w:ascii="宋体" w:hAnsi="宋体" w:eastAsia="宋体" w:cs="宋体"/>
                <w:w w:val="105"/>
                <w:sz w:val="19"/>
              </w:rPr>
              <w:t>102号）第八条“公益一类事业单</w:t>
            </w:r>
            <w:r>
              <w:rPr>
                <w:rFonts w:hint="eastAsia" w:ascii="宋体" w:hAnsi="宋体" w:eastAsia="宋体" w:cs="宋体"/>
                <w:sz w:val="19"/>
              </w:rPr>
              <w:t>位、使用事业编制且由财政拨款保障的群团组织，不作为政府购买服务的购买主体和承接主体。”规定</w:t>
            </w:r>
            <w:r>
              <w:rPr>
                <w:rFonts w:hint="eastAsia" w:ascii="宋体" w:hAnsi="宋体" w:eastAsia="宋体" w:cs="宋体"/>
                <w:w w:val="110"/>
                <w:sz w:val="19"/>
              </w:rPr>
              <w:t>的情形。</w:t>
            </w:r>
          </w:p>
        </w:tc>
        <w:tc>
          <w:tcPr>
            <w:tcW w:w="7490" w:type="dxa"/>
            <w:tcBorders>
              <w:top w:val="double" w:color="2B2B2B" w:sz="2" w:space="0"/>
              <w:left w:val="double" w:color="2B2B2B" w:sz="2" w:space="0"/>
              <w:bottom w:val="double" w:color="2B2B2B" w:sz="2" w:space="0"/>
              <w:right w:val="double" w:color="7F7F7F" w:sz="2" w:space="0"/>
            </w:tcBorders>
          </w:tcPr>
          <w:p>
            <w:pPr>
              <w:pStyle w:val="19"/>
              <w:rPr>
                <w:rFonts w:hint="eastAsia" w:ascii="宋体" w:hAnsi="宋体" w:eastAsia="宋体" w:cs="宋体"/>
                <w:sz w:val="22"/>
              </w:rPr>
            </w:pPr>
          </w:p>
          <w:p>
            <w:pPr>
              <w:pStyle w:val="19"/>
              <w:rPr>
                <w:rFonts w:hint="eastAsia" w:ascii="宋体" w:hAnsi="宋体" w:eastAsia="宋体" w:cs="宋体"/>
                <w:sz w:val="22"/>
              </w:rPr>
            </w:pPr>
          </w:p>
          <w:p>
            <w:pPr>
              <w:pStyle w:val="19"/>
              <w:spacing w:before="1"/>
              <w:rPr>
                <w:rFonts w:hint="eastAsia" w:ascii="宋体" w:hAnsi="宋体" w:eastAsia="宋体" w:cs="宋体"/>
                <w:sz w:val="18"/>
              </w:rPr>
            </w:pPr>
          </w:p>
          <w:p>
            <w:pPr>
              <w:pStyle w:val="19"/>
              <w:ind w:left="19"/>
              <w:rPr>
                <w:rFonts w:hint="eastAsia" w:ascii="宋体" w:hAnsi="宋体" w:eastAsia="宋体" w:cs="宋体"/>
                <w:sz w:val="19"/>
              </w:rPr>
            </w:pPr>
            <w:r>
              <w:rPr>
                <w:rFonts w:hint="eastAsia" w:ascii="宋体" w:hAnsi="宋体" w:eastAsia="宋体" w:cs="宋体"/>
                <w:sz w:val="19"/>
              </w:rPr>
              <w:t>提供《黑龙江省政府采购供应商承诺函》承诺人（供应商或自然人CA签章）</w:t>
            </w:r>
          </w:p>
        </w:tc>
      </w:tr>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483" w:hRule="atLeast"/>
        </w:trPr>
        <w:tc>
          <w:tcPr>
            <w:tcW w:w="3025" w:type="dxa"/>
            <w:tcBorders>
              <w:top w:val="double" w:color="2B2B2B" w:sz="2" w:space="0"/>
              <w:left w:val="double" w:color="2B2B2B" w:sz="2" w:space="0"/>
              <w:bottom w:val="double" w:color="7F7F7F" w:sz="2" w:space="0"/>
              <w:right w:val="double" w:color="2B2B2B" w:sz="2" w:space="0"/>
            </w:tcBorders>
          </w:tcPr>
          <w:p>
            <w:pPr>
              <w:pStyle w:val="19"/>
              <w:spacing w:before="111"/>
              <w:ind w:left="19"/>
              <w:rPr>
                <w:rFonts w:hint="eastAsia" w:ascii="宋体" w:hAnsi="宋体" w:eastAsia="宋体" w:cs="宋体"/>
                <w:sz w:val="19"/>
              </w:rPr>
            </w:pPr>
            <w:r>
              <w:rPr>
                <w:rFonts w:hint="eastAsia" w:ascii="宋体" w:hAnsi="宋体" w:eastAsia="宋体" w:cs="宋体"/>
                <w:sz w:val="19"/>
              </w:rPr>
              <w:t>法定代表人授权书</w:t>
            </w:r>
          </w:p>
        </w:tc>
        <w:tc>
          <w:tcPr>
            <w:tcW w:w="7490" w:type="dxa"/>
            <w:tcBorders>
              <w:top w:val="double" w:color="2B2B2B" w:sz="2" w:space="0"/>
              <w:left w:val="double" w:color="2B2B2B" w:sz="2" w:space="0"/>
              <w:bottom w:val="double" w:color="7F7F7F" w:sz="2" w:space="0"/>
              <w:right w:val="double" w:color="7F7F7F" w:sz="2" w:space="0"/>
            </w:tcBorders>
          </w:tcPr>
          <w:p>
            <w:pPr>
              <w:pStyle w:val="19"/>
              <w:spacing w:before="11" w:line="228" w:lineRule="exact"/>
              <w:ind w:left="19" w:right="125"/>
              <w:rPr>
                <w:rFonts w:hint="eastAsia" w:ascii="宋体" w:hAnsi="宋体" w:eastAsia="宋体" w:cs="宋体"/>
                <w:sz w:val="19"/>
              </w:rPr>
            </w:pPr>
            <w:r>
              <w:rPr>
                <w:rFonts w:hint="eastAsia" w:ascii="宋体" w:hAnsi="宋体" w:eastAsia="宋体" w:cs="宋体"/>
                <w:sz w:val="19"/>
              </w:rPr>
              <w:t>提供标准格式的“法定代表人授权书”并按要求签字、加盖公章（法定代表人参加投标的不提供）</w:t>
            </w:r>
          </w:p>
        </w:tc>
      </w:tr>
    </w:tbl>
    <w:p>
      <w:pPr>
        <w:pStyle w:val="9"/>
        <w:spacing w:before="2"/>
        <w:rPr>
          <w:rFonts w:hint="eastAsia" w:ascii="宋体" w:hAnsi="宋体" w:eastAsia="宋体" w:cs="宋体"/>
          <w:sz w:val="15"/>
        </w:rPr>
      </w:pPr>
    </w:p>
    <w:p>
      <w:pPr>
        <w:pStyle w:val="5"/>
        <w:spacing w:before="76"/>
        <w:rPr>
          <w:rFonts w:hint="eastAsia" w:ascii="宋体" w:hAnsi="宋体" w:eastAsia="宋体" w:cs="宋体"/>
        </w:rPr>
      </w:pPr>
      <w:r>
        <w:rPr>
          <w:rFonts w:hint="eastAsia" w:ascii="宋体" w:hAnsi="宋体" w:eastAsia="宋体" w:cs="宋体"/>
        </w:rPr>
        <w:t>表二符合性审查表：</w:t>
      </w:r>
    </w:p>
    <w:p>
      <w:pPr>
        <w:pStyle w:val="9"/>
        <w:spacing w:before="6"/>
        <w:rPr>
          <w:rFonts w:hint="eastAsia" w:ascii="宋体" w:hAnsi="宋体" w:eastAsia="宋体" w:cs="宋体"/>
          <w:b/>
          <w:sz w:val="18"/>
        </w:rPr>
      </w:pPr>
    </w:p>
    <w:p>
      <w:pPr>
        <w:pStyle w:val="9"/>
        <w:ind w:left="126"/>
        <w:rPr>
          <w:rFonts w:hint="eastAsia" w:ascii="宋体" w:hAnsi="宋体" w:eastAsia="宋体" w:cs="宋体"/>
        </w:rPr>
      </w:pPr>
      <w:r>
        <w:rPr>
          <w:rFonts w:hint="eastAsia" w:ascii="宋体" w:hAnsi="宋体" w:eastAsia="宋体" w:cs="宋体"/>
        </w:rPr>
        <w:t>合同包1（教师教育实训楼心理实训室教学设备）</w:t>
      </w:r>
    </w:p>
    <w:p>
      <w:pPr>
        <w:pStyle w:val="9"/>
        <w:spacing w:before="12"/>
        <w:rPr>
          <w:rFonts w:hint="eastAsia" w:ascii="宋体" w:hAnsi="宋体" w:eastAsia="宋体" w:cs="宋体"/>
          <w:sz w:val="15"/>
        </w:rPr>
      </w:pPr>
    </w:p>
    <w:tbl>
      <w:tblPr>
        <w:tblStyle w:val="16"/>
        <w:tblW w:w="0" w:type="auto"/>
        <w:tblInd w:w="174" w:type="dxa"/>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Layout w:type="fixed"/>
        <w:tblCellMar>
          <w:top w:w="0" w:type="dxa"/>
          <w:left w:w="0" w:type="dxa"/>
          <w:bottom w:w="0" w:type="dxa"/>
          <w:right w:w="0" w:type="dxa"/>
        </w:tblCellMar>
      </w:tblPr>
      <w:tblGrid>
        <w:gridCol w:w="2473"/>
        <w:gridCol w:w="8043"/>
      </w:tblGrid>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255" w:hRule="atLeast"/>
        </w:trPr>
        <w:tc>
          <w:tcPr>
            <w:tcW w:w="2473" w:type="dxa"/>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报价</w:t>
            </w:r>
          </w:p>
        </w:tc>
        <w:tc>
          <w:tcPr>
            <w:tcW w:w="8043" w:type="dxa"/>
            <w:tcBorders>
              <w:right w:val="double" w:color="7F7F7F" w:sz="2" w:space="0"/>
            </w:tcBorders>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报价（包括分项报价和总报价）只能有一个有效报价且不超过采购预算，不得缺项、漏项。</w:t>
            </w:r>
          </w:p>
        </w:tc>
      </w:tr>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255" w:hRule="atLeast"/>
        </w:trPr>
        <w:tc>
          <w:tcPr>
            <w:tcW w:w="2473" w:type="dxa"/>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投标承诺书</w:t>
            </w:r>
          </w:p>
        </w:tc>
        <w:tc>
          <w:tcPr>
            <w:tcW w:w="8043" w:type="dxa"/>
            <w:tcBorders>
              <w:right w:val="double" w:color="7F7F7F" w:sz="2" w:space="0"/>
            </w:tcBorders>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提供标准格式的“投标承诺书”并按要求签字、加盖公章</w:t>
            </w:r>
          </w:p>
        </w:tc>
      </w:tr>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255" w:hRule="atLeast"/>
        </w:trPr>
        <w:tc>
          <w:tcPr>
            <w:tcW w:w="2473" w:type="dxa"/>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投标报价</w:t>
            </w:r>
          </w:p>
        </w:tc>
        <w:tc>
          <w:tcPr>
            <w:tcW w:w="8043" w:type="dxa"/>
            <w:tcBorders>
              <w:right w:val="double" w:color="7F7F7F" w:sz="2" w:space="0"/>
            </w:tcBorders>
          </w:tcPr>
          <w:p>
            <w:pPr>
              <w:pStyle w:val="19"/>
              <w:spacing w:before="3" w:line="232" w:lineRule="exact"/>
              <w:ind w:left="19"/>
              <w:rPr>
                <w:rFonts w:hint="eastAsia" w:ascii="宋体" w:hAnsi="宋体" w:eastAsia="宋体" w:cs="宋体"/>
                <w:sz w:val="19"/>
              </w:rPr>
            </w:pPr>
            <w:r>
              <w:rPr>
                <w:rFonts w:hint="eastAsia" w:ascii="宋体" w:hAnsi="宋体" w:eastAsia="宋体" w:cs="宋体"/>
                <w:w w:val="101"/>
                <w:sz w:val="19"/>
              </w:rPr>
              <w:t>无</w:t>
            </w:r>
          </w:p>
        </w:tc>
      </w:tr>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255" w:hRule="atLeast"/>
        </w:trPr>
        <w:tc>
          <w:tcPr>
            <w:tcW w:w="2473" w:type="dxa"/>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主要商务条款</w:t>
            </w:r>
          </w:p>
        </w:tc>
        <w:tc>
          <w:tcPr>
            <w:tcW w:w="8043" w:type="dxa"/>
            <w:tcBorders>
              <w:right w:val="double" w:color="7F7F7F" w:sz="2" w:space="0"/>
            </w:tcBorders>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提供标准格式的“主要商务要求承诺书”并加盖公章</w:t>
            </w:r>
          </w:p>
        </w:tc>
      </w:tr>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255" w:hRule="atLeast"/>
        </w:trPr>
        <w:tc>
          <w:tcPr>
            <w:tcW w:w="2473" w:type="dxa"/>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联合体投标</w:t>
            </w:r>
          </w:p>
        </w:tc>
        <w:tc>
          <w:tcPr>
            <w:tcW w:w="8043" w:type="dxa"/>
            <w:tcBorders>
              <w:right w:val="double" w:color="7F7F7F" w:sz="2" w:space="0"/>
            </w:tcBorders>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非联合体投标不提供</w:t>
            </w:r>
          </w:p>
        </w:tc>
      </w:tr>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1623" w:hRule="atLeast"/>
        </w:trPr>
        <w:tc>
          <w:tcPr>
            <w:tcW w:w="2473" w:type="dxa"/>
          </w:tcPr>
          <w:p>
            <w:pPr>
              <w:pStyle w:val="19"/>
              <w:rPr>
                <w:rFonts w:hint="eastAsia" w:ascii="宋体" w:hAnsi="宋体" w:eastAsia="宋体" w:cs="宋体"/>
                <w:sz w:val="18"/>
              </w:rPr>
            </w:pPr>
          </w:p>
          <w:p>
            <w:pPr>
              <w:pStyle w:val="19"/>
              <w:rPr>
                <w:rFonts w:hint="eastAsia" w:ascii="宋体" w:hAnsi="宋体" w:eastAsia="宋体" w:cs="宋体"/>
                <w:sz w:val="18"/>
              </w:rPr>
            </w:pPr>
          </w:p>
          <w:p>
            <w:pPr>
              <w:pStyle w:val="19"/>
              <w:spacing w:before="8"/>
              <w:rPr>
                <w:rFonts w:hint="eastAsia" w:ascii="宋体" w:hAnsi="宋体" w:eastAsia="宋体" w:cs="宋体"/>
                <w:sz w:val="17"/>
              </w:rPr>
            </w:pPr>
          </w:p>
          <w:p>
            <w:pPr>
              <w:pStyle w:val="19"/>
              <w:ind w:left="19"/>
              <w:rPr>
                <w:rFonts w:hint="eastAsia" w:ascii="宋体" w:hAnsi="宋体" w:eastAsia="宋体" w:cs="宋体"/>
                <w:sz w:val="19"/>
              </w:rPr>
            </w:pPr>
            <w:r>
              <w:rPr>
                <w:rFonts w:hint="eastAsia" w:ascii="宋体" w:hAnsi="宋体" w:eastAsia="宋体" w:cs="宋体"/>
                <w:sz w:val="19"/>
              </w:rPr>
              <w:t>技术部分实质性内容</w:t>
            </w:r>
          </w:p>
        </w:tc>
        <w:tc>
          <w:tcPr>
            <w:tcW w:w="8043" w:type="dxa"/>
            <w:tcBorders>
              <w:right w:val="double" w:color="7F7F7F" w:sz="2" w:space="0"/>
            </w:tcBorders>
          </w:tcPr>
          <w:p>
            <w:pPr>
              <w:pStyle w:val="19"/>
              <w:spacing w:before="11" w:line="228" w:lineRule="exact"/>
              <w:ind w:left="19" w:right="42"/>
              <w:rPr>
                <w:rFonts w:hint="eastAsia" w:ascii="宋体" w:hAnsi="宋体" w:eastAsia="宋体" w:cs="宋体"/>
                <w:sz w:val="19"/>
              </w:rPr>
            </w:pPr>
            <w:r>
              <w:rPr>
                <w:rFonts w:hint="eastAsia" w:ascii="宋体" w:hAnsi="宋体" w:eastAsia="宋体" w:cs="宋体"/>
                <w:sz w:val="19"/>
              </w:rPr>
              <w:t>明确所投标的的产品品牌、规格型号；响应文件对磋商文件提出的要求和条件作出明确响应并</w:t>
            </w:r>
            <w:r>
              <w:rPr>
                <w:rFonts w:hint="eastAsia" w:ascii="宋体" w:hAnsi="宋体" w:eastAsia="宋体" w:cs="宋体"/>
                <w:spacing w:val="-1"/>
                <w:sz w:val="19"/>
              </w:rPr>
              <w:t>满足磋商文件全部实质性要求。 ，所投设备属于《节能产品政府采购品目清单》中强制采购产</w:t>
            </w:r>
            <w:r>
              <w:rPr>
                <w:rFonts w:hint="eastAsia" w:ascii="宋体" w:hAnsi="宋体" w:eastAsia="宋体" w:cs="宋体"/>
                <w:sz w:val="19"/>
              </w:rPr>
              <w:t>品范围的（如台式计算机，便携式计算机，平板式微型计算机，激光打印机，针式打印机，液晶显示器，制冷压缩机，空调机组，专用制冷、空调设备，镇流器，空调机，电热水器，普通照明用双端荧光灯，电视设备，视频设备，便器，水嘴等为政府强制采购的产品），供应商应提供国家确定的认证机构出具的、处于有效期之内的节能产品认证证书，否则其响应文件无  效。</w:t>
            </w:r>
          </w:p>
        </w:tc>
      </w:tr>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255" w:hRule="atLeast"/>
        </w:trPr>
        <w:tc>
          <w:tcPr>
            <w:tcW w:w="2473" w:type="dxa"/>
            <w:tcBorders>
              <w:bottom w:val="double" w:color="7F7F7F" w:sz="2" w:space="0"/>
            </w:tcBorders>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其他要求</w:t>
            </w:r>
          </w:p>
        </w:tc>
        <w:tc>
          <w:tcPr>
            <w:tcW w:w="8043" w:type="dxa"/>
            <w:tcBorders>
              <w:bottom w:val="double" w:color="7F7F7F" w:sz="2" w:space="0"/>
              <w:right w:val="double" w:color="7F7F7F" w:sz="2" w:space="0"/>
            </w:tcBorders>
          </w:tcPr>
          <w:p>
            <w:pPr>
              <w:pStyle w:val="19"/>
              <w:spacing w:before="3" w:line="232" w:lineRule="exact"/>
              <w:ind w:left="19"/>
              <w:rPr>
                <w:rFonts w:hint="eastAsia" w:ascii="宋体" w:hAnsi="宋体" w:eastAsia="宋体" w:cs="宋体"/>
                <w:sz w:val="19"/>
              </w:rPr>
            </w:pPr>
            <w:r>
              <w:rPr>
                <w:rFonts w:hint="eastAsia" w:ascii="宋体" w:hAnsi="宋体" w:eastAsia="宋体" w:cs="宋体"/>
                <w:sz w:val="19"/>
              </w:rPr>
              <w:t>其他符合性审查不合格的情形</w:t>
            </w:r>
          </w:p>
        </w:tc>
      </w:tr>
    </w:tbl>
    <w:p>
      <w:pPr>
        <w:pStyle w:val="9"/>
        <w:spacing w:before="3"/>
        <w:rPr>
          <w:rFonts w:hint="eastAsia" w:ascii="宋体" w:hAnsi="宋体" w:eastAsia="宋体" w:cs="宋体"/>
          <w:sz w:val="20"/>
        </w:rPr>
      </w:pPr>
    </w:p>
    <w:p>
      <w:pPr>
        <w:pStyle w:val="5"/>
        <w:spacing w:before="1"/>
        <w:rPr>
          <w:rFonts w:hint="eastAsia" w:ascii="宋体" w:hAnsi="宋体" w:eastAsia="宋体" w:cs="宋体"/>
        </w:rPr>
      </w:pPr>
      <w:r>
        <w:rPr>
          <w:rFonts w:hint="eastAsia" w:ascii="宋体" w:hAnsi="宋体" w:eastAsia="宋体" w:cs="宋体"/>
        </w:rPr>
        <w:t>表三详细评审表：</w:t>
      </w:r>
    </w:p>
    <w:p>
      <w:pPr>
        <w:pStyle w:val="9"/>
        <w:spacing w:before="5"/>
        <w:rPr>
          <w:rFonts w:hint="eastAsia" w:ascii="宋体" w:hAnsi="宋体" w:eastAsia="宋体" w:cs="宋体"/>
          <w:b/>
          <w:sz w:val="18"/>
        </w:rPr>
      </w:pPr>
    </w:p>
    <w:p>
      <w:pPr>
        <w:pStyle w:val="9"/>
        <w:spacing w:before="1"/>
        <w:ind w:left="126"/>
        <w:rPr>
          <w:rFonts w:hint="eastAsia" w:ascii="宋体" w:hAnsi="宋体" w:eastAsia="宋体" w:cs="宋体"/>
        </w:rPr>
      </w:pPr>
      <w:r>
        <w:rPr>
          <w:rFonts w:hint="eastAsia" w:ascii="宋体" w:hAnsi="宋体" w:eastAsia="宋体" w:cs="宋体"/>
        </w:rPr>
        <w:t>教师教育实训楼心理实训室教学设备</w:t>
      </w:r>
    </w:p>
    <w:p>
      <w:pPr>
        <w:pStyle w:val="9"/>
        <w:spacing w:before="12"/>
        <w:rPr>
          <w:rFonts w:hint="eastAsia" w:ascii="宋体" w:hAnsi="宋体" w:eastAsia="宋体" w:cs="宋体"/>
          <w:sz w:val="15"/>
        </w:rPr>
      </w:pPr>
    </w:p>
    <w:tbl>
      <w:tblPr>
        <w:tblStyle w:val="16"/>
        <w:tblW w:w="0" w:type="auto"/>
        <w:tblInd w:w="174" w:type="dxa"/>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Layout w:type="fixed"/>
        <w:tblCellMar>
          <w:top w:w="0" w:type="dxa"/>
          <w:left w:w="0" w:type="dxa"/>
          <w:bottom w:w="0" w:type="dxa"/>
          <w:right w:w="0" w:type="dxa"/>
        </w:tblCellMar>
      </w:tblPr>
      <w:tblGrid>
        <w:gridCol w:w="1188"/>
        <w:gridCol w:w="9326"/>
      </w:tblGrid>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255" w:hRule="atLeast"/>
        </w:trPr>
        <w:tc>
          <w:tcPr>
            <w:tcW w:w="1188" w:type="dxa"/>
          </w:tcPr>
          <w:p>
            <w:pPr>
              <w:pStyle w:val="19"/>
              <w:spacing w:before="3" w:line="232" w:lineRule="exact"/>
              <w:ind w:left="177" w:right="165"/>
              <w:jc w:val="center"/>
              <w:rPr>
                <w:rFonts w:hint="eastAsia" w:ascii="宋体" w:hAnsi="宋体" w:eastAsia="宋体" w:cs="宋体"/>
                <w:sz w:val="19"/>
              </w:rPr>
            </w:pPr>
            <w:r>
              <w:rPr>
                <w:rFonts w:hint="eastAsia" w:ascii="宋体" w:hAnsi="宋体" w:eastAsia="宋体" w:cs="宋体"/>
                <w:sz w:val="19"/>
              </w:rPr>
              <w:t>评审因素</w:t>
            </w:r>
          </w:p>
        </w:tc>
        <w:tc>
          <w:tcPr>
            <w:tcW w:w="9326" w:type="dxa"/>
            <w:tcBorders>
              <w:right w:val="double" w:color="7F7F7F" w:sz="2" w:space="0"/>
            </w:tcBorders>
          </w:tcPr>
          <w:p>
            <w:pPr>
              <w:pStyle w:val="19"/>
              <w:spacing w:before="3" w:line="232" w:lineRule="exact"/>
              <w:ind w:left="4247" w:right="4234"/>
              <w:jc w:val="center"/>
              <w:rPr>
                <w:rFonts w:hint="eastAsia" w:ascii="宋体" w:hAnsi="宋体" w:eastAsia="宋体" w:cs="宋体"/>
                <w:sz w:val="19"/>
              </w:rPr>
            </w:pPr>
            <w:r>
              <w:rPr>
                <w:rFonts w:hint="eastAsia" w:ascii="宋体" w:hAnsi="宋体" w:eastAsia="宋体" w:cs="宋体"/>
                <w:sz w:val="19"/>
              </w:rPr>
              <w:t>评审标准</w:t>
            </w:r>
          </w:p>
        </w:tc>
      </w:tr>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960" w:hRule="atLeast"/>
        </w:trPr>
        <w:tc>
          <w:tcPr>
            <w:tcW w:w="1188" w:type="dxa"/>
            <w:tcBorders>
              <w:bottom w:val="single" w:color="7F7F7F" w:sz="6" w:space="0"/>
            </w:tcBorders>
          </w:tcPr>
          <w:p>
            <w:pPr>
              <w:pStyle w:val="19"/>
              <w:rPr>
                <w:rFonts w:hint="eastAsia" w:ascii="宋体" w:hAnsi="宋体" w:eastAsia="宋体" w:cs="宋体"/>
                <w:sz w:val="18"/>
              </w:rPr>
            </w:pPr>
          </w:p>
          <w:p>
            <w:pPr>
              <w:pStyle w:val="19"/>
              <w:spacing w:before="121"/>
              <w:ind w:left="177" w:right="165"/>
              <w:jc w:val="center"/>
              <w:rPr>
                <w:rFonts w:hint="eastAsia" w:ascii="宋体" w:hAnsi="宋体" w:eastAsia="宋体" w:cs="宋体"/>
                <w:sz w:val="19"/>
              </w:rPr>
            </w:pPr>
            <w:r>
              <w:rPr>
                <w:rFonts w:hint="eastAsia" w:ascii="宋体" w:hAnsi="宋体" w:eastAsia="宋体" w:cs="宋体"/>
                <w:sz w:val="19"/>
              </w:rPr>
              <w:t>分值构成</w:t>
            </w:r>
          </w:p>
        </w:tc>
        <w:tc>
          <w:tcPr>
            <w:tcW w:w="9326" w:type="dxa"/>
            <w:tcBorders>
              <w:bottom w:val="single" w:color="7F7F7F" w:sz="6" w:space="0"/>
              <w:right w:val="double" w:color="7F7F7F" w:sz="2" w:space="0"/>
            </w:tcBorders>
          </w:tcPr>
          <w:p>
            <w:pPr>
              <w:pStyle w:val="19"/>
              <w:spacing w:before="3" w:line="415" w:lineRule="auto"/>
              <w:ind w:left="19" w:right="7878"/>
              <w:rPr>
                <w:rFonts w:hint="eastAsia" w:ascii="宋体" w:hAnsi="宋体" w:eastAsia="宋体" w:cs="宋体"/>
                <w:sz w:val="19"/>
              </w:rPr>
            </w:pPr>
            <w:r>
              <w:rPr>
                <w:rFonts w:hint="eastAsia" w:ascii="宋体" w:hAnsi="宋体" w:eastAsia="宋体" w:cs="宋体"/>
                <w:w w:val="110"/>
                <w:sz w:val="19"/>
              </w:rPr>
              <w:t>技术部分</w:t>
            </w:r>
            <w:r>
              <w:rPr>
                <w:rFonts w:hint="eastAsia" w:ascii="宋体" w:hAnsi="宋体" w:eastAsia="宋体" w:cs="宋体"/>
                <w:spacing w:val="-3"/>
                <w:w w:val="110"/>
                <w:sz w:val="19"/>
              </w:rPr>
              <w:t>60.0</w:t>
            </w:r>
            <w:r>
              <w:rPr>
                <w:rFonts w:hint="eastAsia" w:ascii="宋体" w:hAnsi="宋体" w:eastAsia="宋体" w:cs="宋体"/>
                <w:spacing w:val="-13"/>
                <w:w w:val="110"/>
                <w:sz w:val="19"/>
              </w:rPr>
              <w:t>分</w:t>
            </w:r>
            <w:r>
              <w:rPr>
                <w:rFonts w:hint="eastAsia" w:ascii="宋体" w:hAnsi="宋体" w:eastAsia="宋体" w:cs="宋体"/>
                <w:spacing w:val="-3"/>
                <w:w w:val="110"/>
                <w:sz w:val="19"/>
              </w:rPr>
              <w:t>商务部分10.0</w:t>
            </w:r>
            <w:r>
              <w:rPr>
                <w:rFonts w:hint="eastAsia" w:ascii="宋体" w:hAnsi="宋体" w:eastAsia="宋体" w:cs="宋体"/>
                <w:spacing w:val="-13"/>
                <w:w w:val="110"/>
                <w:sz w:val="19"/>
              </w:rPr>
              <w:t>分</w:t>
            </w:r>
          </w:p>
          <w:p>
            <w:pPr>
              <w:pStyle w:val="19"/>
              <w:spacing w:line="94" w:lineRule="exact"/>
              <w:ind w:left="19"/>
              <w:rPr>
                <w:rFonts w:hint="eastAsia" w:ascii="宋体" w:hAnsi="宋体" w:eastAsia="宋体" w:cs="宋体"/>
                <w:sz w:val="19"/>
              </w:rPr>
            </w:pPr>
            <w:r>
              <w:rPr>
                <w:rFonts w:hint="eastAsia" w:ascii="宋体" w:hAnsi="宋体" w:eastAsia="宋体" w:cs="宋体"/>
                <w:spacing w:val="-3"/>
                <w:w w:val="105"/>
                <w:sz w:val="19"/>
              </w:rPr>
              <w:t>报价得分30.0</w:t>
            </w:r>
            <w:r>
              <w:rPr>
                <w:rFonts w:hint="eastAsia" w:ascii="宋体" w:hAnsi="宋体" w:eastAsia="宋体" w:cs="宋体"/>
                <w:spacing w:val="-2"/>
                <w:w w:val="105"/>
                <w:sz w:val="19"/>
              </w:rPr>
              <w:t>分</w:t>
            </w:r>
          </w:p>
        </w:tc>
      </w:tr>
      <w:tr>
        <w:tblPrEx>
          <w:tblBorders>
            <w:top w:val="double" w:color="2B2B2B" w:sz="2" w:space="0"/>
            <w:left w:val="double" w:color="2B2B2B" w:sz="2" w:space="0"/>
            <w:bottom w:val="double" w:color="2B2B2B" w:sz="2" w:space="0"/>
            <w:right w:val="double" w:color="2B2B2B" w:sz="2" w:space="0"/>
            <w:insideH w:val="double" w:color="2B2B2B" w:sz="2" w:space="0"/>
            <w:insideV w:val="double" w:color="2B2B2B" w:sz="2" w:space="0"/>
          </w:tblBorders>
          <w:tblCellMar>
            <w:top w:w="0" w:type="dxa"/>
            <w:left w:w="0" w:type="dxa"/>
            <w:bottom w:w="0" w:type="dxa"/>
            <w:right w:w="0" w:type="dxa"/>
          </w:tblCellMar>
        </w:tblPrEx>
        <w:trPr>
          <w:trHeight w:val="430" w:hRule="atLeast"/>
        </w:trPr>
        <w:tc>
          <w:tcPr>
            <w:tcW w:w="10514" w:type="dxa"/>
            <w:gridSpan w:val="2"/>
            <w:tcBorders>
              <w:top w:val="single" w:color="7F7F7F" w:sz="6" w:space="0"/>
              <w:left w:val="single" w:color="7F7F7F" w:sz="6" w:space="0"/>
              <w:bottom w:val="nil"/>
              <w:right w:val="single" w:color="2B2B2B" w:sz="6" w:space="0"/>
            </w:tcBorders>
          </w:tcPr>
          <w:p>
            <w:pPr>
              <w:pStyle w:val="19"/>
              <w:rPr>
                <w:rFonts w:hint="eastAsia" w:ascii="宋体" w:hAnsi="宋体" w:eastAsia="宋体" w:cs="宋体"/>
                <w:sz w:val="18"/>
              </w:rPr>
            </w:pPr>
          </w:p>
        </w:tc>
      </w:tr>
    </w:tbl>
    <w:p>
      <w:pPr>
        <w:spacing w:after="0"/>
        <w:rPr>
          <w:rFonts w:hint="eastAsia" w:ascii="宋体" w:hAnsi="宋体" w:eastAsia="宋体" w:cs="宋体"/>
          <w:sz w:val="18"/>
        </w:rPr>
        <w:sectPr>
          <w:footerReference r:id="rId10" w:type="default"/>
          <w:pgSz w:w="11900" w:h="16840"/>
          <w:pgMar w:top="560" w:right="560" w:bottom="200" w:left="540" w:header="0" w:footer="13" w:gutter="0"/>
          <w:pgNumType w:start="40"/>
          <w:cols w:space="720" w:num="1"/>
        </w:sectPr>
      </w:pPr>
    </w:p>
    <w:tbl>
      <w:tblPr>
        <w:tblStyle w:val="16"/>
        <w:tblW w:w="0" w:type="auto"/>
        <w:tblInd w:w="174" w:type="dxa"/>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Layout w:type="fixed"/>
        <w:tblCellMar>
          <w:top w:w="0" w:type="dxa"/>
          <w:left w:w="0" w:type="dxa"/>
          <w:bottom w:w="0" w:type="dxa"/>
          <w:right w:w="0" w:type="dxa"/>
        </w:tblCellMar>
      </w:tblPr>
      <w:tblGrid>
        <w:gridCol w:w="1188"/>
        <w:gridCol w:w="2916"/>
        <w:gridCol w:w="6409"/>
      </w:tblGrid>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708" w:hRule="atLeast"/>
        </w:trPr>
        <w:tc>
          <w:tcPr>
            <w:tcW w:w="1188" w:type="dxa"/>
            <w:vMerge w:val="restart"/>
            <w:tcBorders>
              <w:left w:val="double" w:color="2B2B2B" w:sz="2" w:space="0"/>
              <w:bottom w:val="double" w:color="2B2B2B" w:sz="2" w:space="0"/>
              <w:right w:val="double" w:color="2B2B2B" w:sz="2" w:space="0"/>
            </w:tcBorders>
          </w:tcPr>
          <w:p>
            <w:pPr>
              <w:pStyle w:val="19"/>
              <w:rPr>
                <w:rFonts w:hint="eastAsia" w:ascii="宋体" w:hAnsi="宋体" w:eastAsia="宋体" w:cs="宋体"/>
                <w:sz w:val="18"/>
              </w:rPr>
            </w:pPr>
          </w:p>
          <w:p>
            <w:pPr>
              <w:pStyle w:val="19"/>
              <w:rPr>
                <w:rFonts w:hint="eastAsia" w:ascii="宋体" w:hAnsi="宋体" w:eastAsia="宋体" w:cs="宋体"/>
                <w:sz w:val="18"/>
              </w:rPr>
            </w:pPr>
          </w:p>
          <w:p>
            <w:pPr>
              <w:pStyle w:val="19"/>
              <w:rPr>
                <w:rFonts w:hint="eastAsia" w:ascii="宋体" w:hAnsi="宋体" w:eastAsia="宋体" w:cs="宋体"/>
                <w:sz w:val="18"/>
              </w:rPr>
            </w:pPr>
          </w:p>
          <w:p>
            <w:pPr>
              <w:pStyle w:val="19"/>
              <w:rPr>
                <w:rFonts w:hint="eastAsia" w:ascii="宋体" w:hAnsi="宋体" w:eastAsia="宋体" w:cs="宋体"/>
                <w:sz w:val="18"/>
              </w:rPr>
            </w:pPr>
          </w:p>
          <w:p>
            <w:pPr>
              <w:pStyle w:val="19"/>
              <w:spacing w:before="134"/>
              <w:ind w:left="193"/>
              <w:rPr>
                <w:rFonts w:hint="eastAsia" w:ascii="宋体" w:hAnsi="宋体" w:eastAsia="宋体" w:cs="宋体"/>
                <w:sz w:val="19"/>
              </w:rPr>
            </w:pPr>
            <w:r>
              <w:rPr>
                <w:rFonts w:hint="eastAsia" w:ascii="宋体" w:hAnsi="宋体" w:eastAsia="宋体" w:cs="宋体"/>
                <w:sz w:val="19"/>
              </w:rPr>
              <w:t>技术部分</w:t>
            </w:r>
          </w:p>
        </w:tc>
        <w:tc>
          <w:tcPr>
            <w:tcW w:w="2916" w:type="dxa"/>
            <w:tcBorders>
              <w:left w:val="double" w:color="2B2B2B" w:sz="2" w:space="0"/>
              <w:bottom w:val="double" w:color="2B2B2B" w:sz="2" w:space="0"/>
              <w:right w:val="double" w:color="2B2B2B" w:sz="2" w:space="0"/>
            </w:tcBorders>
          </w:tcPr>
          <w:p>
            <w:pPr>
              <w:pStyle w:val="19"/>
              <w:spacing w:before="8" w:line="228" w:lineRule="exact"/>
              <w:ind w:left="19" w:right="160"/>
              <w:jc w:val="both"/>
              <w:rPr>
                <w:rFonts w:hint="eastAsia" w:ascii="宋体" w:hAnsi="宋体" w:eastAsia="宋体" w:cs="宋体"/>
                <w:sz w:val="19"/>
              </w:rPr>
            </w:pPr>
            <w:r>
              <w:rPr>
                <w:rFonts w:hint="eastAsia" w:ascii="宋体" w:hAnsi="宋体" w:eastAsia="宋体" w:cs="宋体"/>
                <w:spacing w:val="-2"/>
                <w:sz w:val="19"/>
              </w:rPr>
              <w:t>对所投产品的技术参数、性能指</w:t>
            </w:r>
            <w:r>
              <w:rPr>
                <w:rFonts w:hint="eastAsia" w:ascii="宋体" w:hAnsi="宋体" w:eastAsia="宋体" w:cs="宋体"/>
                <w:spacing w:val="-2"/>
                <w:w w:val="105"/>
                <w:sz w:val="19"/>
              </w:rPr>
              <w:t xml:space="preserve">标、功能响应程度的评价 </w:t>
            </w:r>
            <w:r>
              <w:rPr>
                <w:rFonts w:hint="eastAsia" w:ascii="宋体" w:hAnsi="宋体" w:eastAsia="宋体" w:cs="宋体"/>
                <w:spacing w:val="-3"/>
                <w:w w:val="105"/>
                <w:sz w:val="19"/>
              </w:rPr>
              <w:t xml:space="preserve">(48.0 </w:t>
            </w:r>
            <w:r>
              <w:rPr>
                <w:rFonts w:hint="eastAsia" w:ascii="宋体" w:hAnsi="宋体" w:eastAsia="宋体" w:cs="宋体"/>
                <w:w w:val="115"/>
                <w:sz w:val="19"/>
              </w:rPr>
              <w:t>分)</w:t>
            </w:r>
          </w:p>
        </w:tc>
        <w:tc>
          <w:tcPr>
            <w:tcW w:w="6409" w:type="dxa"/>
            <w:tcBorders>
              <w:left w:val="double" w:color="2B2B2B" w:sz="2" w:space="0"/>
              <w:bottom w:val="double" w:color="2B2B2B" w:sz="2" w:space="0"/>
              <w:right w:val="double" w:color="7F7F7F" w:sz="2" w:space="0"/>
            </w:tcBorders>
          </w:tcPr>
          <w:p>
            <w:pPr>
              <w:pStyle w:val="19"/>
              <w:spacing w:before="8" w:line="228" w:lineRule="exact"/>
              <w:ind w:left="20" w:right="85"/>
              <w:rPr>
                <w:rFonts w:hint="eastAsia" w:ascii="宋体" w:hAnsi="宋体" w:eastAsia="宋体" w:cs="宋体"/>
                <w:sz w:val="19"/>
              </w:rPr>
            </w:pPr>
            <w:r>
              <w:rPr>
                <w:rFonts w:hint="eastAsia" w:ascii="宋体" w:hAnsi="宋体" w:eastAsia="宋体" w:cs="宋体"/>
                <w:sz w:val="19"/>
              </w:rPr>
              <w:t xml:space="preserve">1.★星号技术参数负偏离，投标无效； 2.非★星号技术参数每项负偏离扣1 分； 3.如技术参数需要提供相关证明材料的，要注明证明材料对应页码， </w:t>
            </w:r>
            <w:r>
              <w:rPr>
                <w:rFonts w:hint="eastAsia" w:ascii="宋体" w:hAnsi="宋体" w:eastAsia="宋体" w:cs="宋体"/>
                <w:w w:val="120"/>
                <w:sz w:val="19"/>
              </w:rPr>
              <w:t>未提供或未注明对应页码视为负偏离。</w:t>
            </w:r>
          </w:p>
        </w:tc>
      </w:tr>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1623" w:hRule="atLeast"/>
        </w:trPr>
        <w:tc>
          <w:tcPr>
            <w:tcW w:w="1188" w:type="dxa"/>
            <w:vMerge w:val="continue"/>
            <w:tcBorders>
              <w:top w:val="nil"/>
              <w:left w:val="double" w:color="2B2B2B" w:sz="2" w:space="0"/>
              <w:bottom w:val="double" w:color="2B2B2B" w:sz="2" w:space="0"/>
              <w:right w:val="double" w:color="2B2B2B" w:sz="2" w:space="0"/>
            </w:tcBorders>
          </w:tcPr>
          <w:p>
            <w:pPr>
              <w:rPr>
                <w:rFonts w:hint="eastAsia" w:ascii="宋体" w:hAnsi="宋体" w:eastAsia="宋体" w:cs="宋体"/>
                <w:sz w:val="2"/>
                <w:szCs w:val="2"/>
              </w:rPr>
            </w:pPr>
          </w:p>
        </w:tc>
        <w:tc>
          <w:tcPr>
            <w:tcW w:w="2916" w:type="dxa"/>
            <w:tcBorders>
              <w:top w:val="double" w:color="2B2B2B" w:sz="2" w:space="0"/>
              <w:left w:val="double" w:color="2B2B2B" w:sz="2" w:space="0"/>
              <w:bottom w:val="double" w:color="2B2B2B" w:sz="2" w:space="0"/>
              <w:right w:val="double" w:color="2B2B2B" w:sz="2" w:space="0"/>
            </w:tcBorders>
          </w:tcPr>
          <w:p>
            <w:pPr>
              <w:pStyle w:val="19"/>
              <w:rPr>
                <w:rFonts w:hint="eastAsia" w:ascii="宋体" w:hAnsi="宋体" w:eastAsia="宋体" w:cs="宋体"/>
                <w:sz w:val="22"/>
              </w:rPr>
            </w:pPr>
          </w:p>
          <w:p>
            <w:pPr>
              <w:pStyle w:val="19"/>
              <w:spacing w:before="8"/>
              <w:rPr>
                <w:rFonts w:hint="eastAsia" w:ascii="宋体" w:hAnsi="宋体" w:eastAsia="宋体" w:cs="宋体"/>
                <w:sz w:val="31"/>
              </w:rPr>
            </w:pPr>
          </w:p>
          <w:p>
            <w:pPr>
              <w:pStyle w:val="19"/>
              <w:ind w:left="19"/>
              <w:rPr>
                <w:rFonts w:hint="eastAsia" w:ascii="宋体" w:hAnsi="宋体" w:eastAsia="宋体" w:cs="宋体"/>
                <w:sz w:val="19"/>
              </w:rPr>
            </w:pPr>
            <w:r>
              <w:rPr>
                <w:rFonts w:hint="eastAsia" w:ascii="宋体" w:hAnsi="宋体" w:eastAsia="宋体" w:cs="宋体"/>
                <w:spacing w:val="-7"/>
                <w:w w:val="110"/>
                <w:sz w:val="19"/>
              </w:rPr>
              <w:t xml:space="preserve">对项目实施方案的评价 </w:t>
            </w:r>
            <w:r>
              <w:rPr>
                <w:rFonts w:hint="eastAsia" w:ascii="宋体" w:hAnsi="宋体" w:eastAsia="宋体" w:cs="宋体"/>
                <w:spacing w:val="-3"/>
                <w:w w:val="110"/>
                <w:sz w:val="19"/>
              </w:rPr>
              <w:t>(12.0</w:t>
            </w:r>
            <w:r>
              <w:rPr>
                <w:rFonts w:hint="eastAsia" w:ascii="宋体" w:hAnsi="宋体" w:eastAsia="宋体" w:cs="宋体"/>
                <w:w w:val="110"/>
                <w:sz w:val="19"/>
              </w:rPr>
              <w:t>分)</w:t>
            </w:r>
          </w:p>
        </w:tc>
        <w:tc>
          <w:tcPr>
            <w:tcW w:w="6409" w:type="dxa"/>
            <w:tcBorders>
              <w:top w:val="double" w:color="2B2B2B" w:sz="2" w:space="0"/>
              <w:left w:val="double" w:color="2B2B2B" w:sz="2" w:space="0"/>
              <w:bottom w:val="double" w:color="2B2B2B" w:sz="2" w:space="0"/>
              <w:right w:val="double" w:color="7F7F7F" w:sz="2" w:space="0"/>
            </w:tcBorders>
          </w:tcPr>
          <w:p>
            <w:pPr>
              <w:pStyle w:val="19"/>
              <w:spacing w:before="11" w:line="228" w:lineRule="exact"/>
              <w:ind w:left="20" w:right="3"/>
              <w:jc w:val="both"/>
              <w:rPr>
                <w:rFonts w:hint="eastAsia" w:ascii="宋体" w:hAnsi="宋体" w:eastAsia="宋体" w:cs="宋体"/>
                <w:sz w:val="19"/>
              </w:rPr>
            </w:pPr>
            <w:r>
              <w:rPr>
                <w:rFonts w:hint="eastAsia" w:ascii="宋体" w:hAnsi="宋体" w:eastAsia="宋体" w:cs="宋体"/>
                <w:spacing w:val="-3"/>
                <w:sz w:val="19"/>
              </w:rPr>
              <w:t>1.</w:t>
            </w:r>
            <w:r>
              <w:rPr>
                <w:rFonts w:hint="eastAsia" w:ascii="宋体" w:hAnsi="宋体" w:eastAsia="宋体" w:cs="宋体"/>
                <w:sz w:val="19"/>
              </w:rPr>
              <w:t>供应商提供项目实施安装方案，方案包括项目组织管理、进度计划、人员安排、实施管理（含产品运输、安装、调试），</w:t>
            </w:r>
            <w:r>
              <w:rPr>
                <w:rFonts w:hint="eastAsia" w:ascii="宋体" w:hAnsi="宋体" w:eastAsia="宋体" w:cs="宋体"/>
                <w:spacing w:val="-2"/>
                <w:sz w:val="19"/>
              </w:rPr>
              <w:t>方案完整且符合项目实际得</w:t>
            </w:r>
            <w:r>
              <w:rPr>
                <w:rFonts w:hint="eastAsia" w:ascii="宋体" w:hAnsi="宋体" w:eastAsia="宋体" w:cs="宋体"/>
                <w:spacing w:val="-3"/>
                <w:sz w:val="19"/>
              </w:rPr>
              <w:t>4</w:t>
            </w:r>
            <w:r>
              <w:rPr>
                <w:rFonts w:hint="eastAsia" w:ascii="宋体" w:hAnsi="宋体" w:eastAsia="宋体" w:cs="宋体"/>
                <w:sz w:val="19"/>
              </w:rPr>
              <w:t>分，每缺</w:t>
            </w:r>
            <w:r>
              <w:rPr>
                <w:rFonts w:hint="eastAsia" w:ascii="宋体" w:hAnsi="宋体" w:eastAsia="宋体" w:cs="宋体"/>
                <w:spacing w:val="-3"/>
                <w:sz w:val="19"/>
              </w:rPr>
              <w:t>1</w:t>
            </w:r>
            <w:r>
              <w:rPr>
                <w:rFonts w:hint="eastAsia" w:ascii="宋体" w:hAnsi="宋体" w:eastAsia="宋体" w:cs="宋体"/>
                <w:sz w:val="19"/>
              </w:rPr>
              <w:t>项或每</w:t>
            </w:r>
            <w:r>
              <w:rPr>
                <w:rFonts w:hint="eastAsia" w:ascii="宋体" w:hAnsi="宋体" w:eastAsia="宋体" w:cs="宋体"/>
                <w:spacing w:val="-3"/>
                <w:sz w:val="19"/>
              </w:rPr>
              <w:t>1</w:t>
            </w:r>
            <w:r>
              <w:rPr>
                <w:rFonts w:hint="eastAsia" w:ascii="宋体" w:hAnsi="宋体" w:eastAsia="宋体" w:cs="宋体"/>
                <w:sz w:val="19"/>
              </w:rPr>
              <w:t>项不符合项目实际扣</w:t>
            </w:r>
            <w:r>
              <w:rPr>
                <w:rFonts w:hint="eastAsia" w:ascii="宋体" w:hAnsi="宋体" w:eastAsia="宋体" w:cs="宋体"/>
                <w:spacing w:val="-3"/>
                <w:sz w:val="19"/>
              </w:rPr>
              <w:t>1</w:t>
            </w:r>
            <w:r>
              <w:rPr>
                <w:rFonts w:hint="eastAsia" w:ascii="宋体" w:hAnsi="宋体" w:eastAsia="宋体" w:cs="宋体"/>
                <w:spacing w:val="25"/>
                <w:sz w:val="19"/>
              </w:rPr>
              <w:t xml:space="preserve">分。 </w:t>
            </w:r>
            <w:r>
              <w:rPr>
                <w:rFonts w:hint="eastAsia" w:ascii="宋体" w:hAnsi="宋体" w:eastAsia="宋体" w:cs="宋体"/>
                <w:spacing w:val="-3"/>
                <w:sz w:val="19"/>
              </w:rPr>
              <w:t>2.</w:t>
            </w:r>
            <w:r>
              <w:rPr>
                <w:rFonts w:hint="eastAsia" w:ascii="宋体" w:hAnsi="宋体" w:eastAsia="宋体" w:cs="宋体"/>
                <w:sz w:val="19"/>
              </w:rPr>
              <w:t>供应商提供项目质量保障</w:t>
            </w:r>
            <w:r>
              <w:rPr>
                <w:rFonts w:hint="eastAsia" w:ascii="宋体" w:hAnsi="宋体" w:eastAsia="宋体" w:cs="宋体"/>
                <w:spacing w:val="-1"/>
                <w:sz w:val="19"/>
              </w:rPr>
              <w:t>方案，包括质量方针、质量目标、质量范围、质量保障组织和过程，方案完</w:t>
            </w:r>
            <w:r>
              <w:rPr>
                <w:rFonts w:hint="eastAsia" w:ascii="宋体" w:hAnsi="宋体" w:eastAsia="宋体" w:cs="宋体"/>
                <w:sz w:val="19"/>
              </w:rPr>
              <w:t>整且符合项目实际得</w:t>
            </w:r>
            <w:r>
              <w:rPr>
                <w:rFonts w:hint="eastAsia" w:ascii="宋体" w:hAnsi="宋体" w:eastAsia="宋体" w:cs="宋体"/>
                <w:spacing w:val="-3"/>
                <w:sz w:val="19"/>
              </w:rPr>
              <w:t>4</w:t>
            </w:r>
            <w:r>
              <w:rPr>
                <w:rFonts w:hint="eastAsia" w:ascii="宋体" w:hAnsi="宋体" w:eastAsia="宋体" w:cs="宋体"/>
                <w:sz w:val="19"/>
              </w:rPr>
              <w:t>分，每缺</w:t>
            </w:r>
            <w:r>
              <w:rPr>
                <w:rFonts w:hint="eastAsia" w:ascii="宋体" w:hAnsi="宋体" w:eastAsia="宋体" w:cs="宋体"/>
                <w:spacing w:val="-3"/>
                <w:sz w:val="19"/>
              </w:rPr>
              <w:t>1</w:t>
            </w:r>
            <w:r>
              <w:rPr>
                <w:rFonts w:hint="eastAsia" w:ascii="宋体" w:hAnsi="宋体" w:eastAsia="宋体" w:cs="宋体"/>
                <w:sz w:val="19"/>
              </w:rPr>
              <w:t>项或每</w:t>
            </w:r>
            <w:r>
              <w:rPr>
                <w:rFonts w:hint="eastAsia" w:ascii="宋体" w:hAnsi="宋体" w:eastAsia="宋体" w:cs="宋体"/>
                <w:spacing w:val="-3"/>
                <w:sz w:val="19"/>
              </w:rPr>
              <w:t>1</w:t>
            </w:r>
            <w:r>
              <w:rPr>
                <w:rFonts w:hint="eastAsia" w:ascii="宋体" w:hAnsi="宋体" w:eastAsia="宋体" w:cs="宋体"/>
                <w:sz w:val="19"/>
              </w:rPr>
              <w:t>项不符合项目实际扣</w:t>
            </w:r>
            <w:r>
              <w:rPr>
                <w:rFonts w:hint="eastAsia" w:ascii="宋体" w:hAnsi="宋体" w:eastAsia="宋体" w:cs="宋体"/>
                <w:spacing w:val="-3"/>
                <w:sz w:val="19"/>
              </w:rPr>
              <w:t>1</w:t>
            </w:r>
            <w:r>
              <w:rPr>
                <w:rFonts w:hint="eastAsia" w:ascii="宋体" w:hAnsi="宋体" w:eastAsia="宋体" w:cs="宋体"/>
                <w:spacing w:val="25"/>
                <w:sz w:val="19"/>
              </w:rPr>
              <w:t xml:space="preserve">分。 </w:t>
            </w:r>
            <w:r>
              <w:rPr>
                <w:rFonts w:hint="eastAsia" w:ascii="宋体" w:hAnsi="宋体" w:eastAsia="宋体" w:cs="宋体"/>
                <w:spacing w:val="-3"/>
                <w:sz w:val="19"/>
              </w:rPr>
              <w:t>3.</w:t>
            </w:r>
            <w:r>
              <w:rPr>
                <w:rFonts w:hint="eastAsia" w:ascii="宋体" w:hAnsi="宋体" w:eastAsia="宋体" w:cs="宋体"/>
                <w:sz w:val="19"/>
              </w:rPr>
              <w:t>供应</w:t>
            </w:r>
            <w:r>
              <w:rPr>
                <w:rFonts w:hint="eastAsia" w:ascii="宋体" w:hAnsi="宋体" w:eastAsia="宋体" w:cs="宋体"/>
                <w:spacing w:val="-1"/>
                <w:sz w:val="19"/>
              </w:rPr>
              <w:t xml:space="preserve">商提供验收方案，包括验收标准及内容、验收方法及程序、验收提交成果， </w:t>
            </w:r>
            <w:r>
              <w:rPr>
                <w:rFonts w:hint="eastAsia" w:ascii="宋体" w:hAnsi="宋体" w:eastAsia="宋体" w:cs="宋体"/>
                <w:sz w:val="19"/>
              </w:rPr>
              <w:t>方案完整且符合项目实际得</w:t>
            </w:r>
            <w:r>
              <w:rPr>
                <w:rFonts w:hint="eastAsia" w:ascii="宋体" w:hAnsi="宋体" w:eastAsia="宋体" w:cs="宋体"/>
                <w:spacing w:val="-3"/>
                <w:sz w:val="19"/>
              </w:rPr>
              <w:t>4</w:t>
            </w:r>
            <w:r>
              <w:rPr>
                <w:rFonts w:hint="eastAsia" w:ascii="宋体" w:hAnsi="宋体" w:eastAsia="宋体" w:cs="宋体"/>
                <w:sz w:val="19"/>
              </w:rPr>
              <w:t>分，每缺</w:t>
            </w:r>
            <w:r>
              <w:rPr>
                <w:rFonts w:hint="eastAsia" w:ascii="宋体" w:hAnsi="宋体" w:eastAsia="宋体" w:cs="宋体"/>
                <w:spacing w:val="-3"/>
                <w:sz w:val="19"/>
              </w:rPr>
              <w:t>1</w:t>
            </w:r>
            <w:r>
              <w:rPr>
                <w:rFonts w:hint="eastAsia" w:ascii="宋体" w:hAnsi="宋体" w:eastAsia="宋体" w:cs="宋体"/>
                <w:sz w:val="19"/>
              </w:rPr>
              <w:t>项或每</w:t>
            </w:r>
            <w:r>
              <w:rPr>
                <w:rFonts w:hint="eastAsia" w:ascii="宋体" w:hAnsi="宋体" w:eastAsia="宋体" w:cs="宋体"/>
                <w:spacing w:val="-3"/>
                <w:sz w:val="19"/>
              </w:rPr>
              <w:t>1</w:t>
            </w:r>
            <w:r>
              <w:rPr>
                <w:rFonts w:hint="eastAsia" w:ascii="宋体" w:hAnsi="宋体" w:eastAsia="宋体" w:cs="宋体"/>
                <w:sz w:val="19"/>
              </w:rPr>
              <w:t>项不符合项目实际扣</w:t>
            </w:r>
            <w:r>
              <w:rPr>
                <w:rFonts w:hint="eastAsia" w:ascii="宋体" w:hAnsi="宋体" w:eastAsia="宋体" w:cs="宋体"/>
                <w:spacing w:val="-3"/>
                <w:sz w:val="19"/>
              </w:rPr>
              <w:t>1</w:t>
            </w:r>
            <w:r>
              <w:rPr>
                <w:rFonts w:hint="eastAsia" w:ascii="宋体" w:hAnsi="宋体" w:eastAsia="宋体" w:cs="宋体"/>
                <w:sz w:val="19"/>
              </w:rPr>
              <w:t>分。</w:t>
            </w:r>
          </w:p>
        </w:tc>
      </w:tr>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1167" w:hRule="atLeast"/>
        </w:trPr>
        <w:tc>
          <w:tcPr>
            <w:tcW w:w="1188" w:type="dxa"/>
            <w:vMerge w:val="restart"/>
            <w:tcBorders>
              <w:top w:val="double" w:color="2B2B2B" w:sz="2" w:space="0"/>
              <w:left w:val="double" w:color="2B2B2B" w:sz="2" w:space="0"/>
              <w:bottom w:val="double" w:color="2B2B2B" w:sz="2" w:space="0"/>
              <w:right w:val="double" w:color="2B2B2B" w:sz="2" w:space="0"/>
            </w:tcBorders>
          </w:tcPr>
          <w:p>
            <w:pPr>
              <w:pStyle w:val="19"/>
              <w:rPr>
                <w:rFonts w:hint="eastAsia" w:ascii="宋体" w:hAnsi="宋体" w:eastAsia="宋体" w:cs="宋体"/>
                <w:sz w:val="18"/>
              </w:rPr>
            </w:pPr>
          </w:p>
          <w:p>
            <w:pPr>
              <w:pStyle w:val="19"/>
              <w:rPr>
                <w:rFonts w:hint="eastAsia" w:ascii="宋体" w:hAnsi="宋体" w:eastAsia="宋体" w:cs="宋体"/>
                <w:sz w:val="18"/>
              </w:rPr>
            </w:pPr>
          </w:p>
          <w:p>
            <w:pPr>
              <w:pStyle w:val="19"/>
              <w:rPr>
                <w:rFonts w:hint="eastAsia" w:ascii="宋体" w:hAnsi="宋体" w:eastAsia="宋体" w:cs="宋体"/>
                <w:sz w:val="18"/>
              </w:rPr>
            </w:pPr>
          </w:p>
          <w:p>
            <w:pPr>
              <w:pStyle w:val="19"/>
              <w:spacing w:before="140"/>
              <w:ind w:left="193"/>
              <w:rPr>
                <w:rFonts w:hint="eastAsia" w:ascii="宋体" w:hAnsi="宋体" w:eastAsia="宋体" w:cs="宋体"/>
                <w:sz w:val="19"/>
              </w:rPr>
            </w:pPr>
            <w:r>
              <w:rPr>
                <w:rFonts w:hint="eastAsia" w:ascii="宋体" w:hAnsi="宋体" w:eastAsia="宋体" w:cs="宋体"/>
                <w:sz w:val="19"/>
              </w:rPr>
              <w:t>商务部分</w:t>
            </w:r>
          </w:p>
        </w:tc>
        <w:tc>
          <w:tcPr>
            <w:tcW w:w="2916" w:type="dxa"/>
            <w:tcBorders>
              <w:top w:val="double" w:color="2B2B2B" w:sz="2" w:space="0"/>
              <w:left w:val="double" w:color="2B2B2B" w:sz="2" w:space="0"/>
              <w:bottom w:val="double" w:color="2B2B2B" w:sz="2" w:space="0"/>
              <w:right w:val="double" w:color="2B2B2B" w:sz="2" w:space="0"/>
            </w:tcBorders>
          </w:tcPr>
          <w:p>
            <w:pPr>
              <w:pStyle w:val="19"/>
              <w:rPr>
                <w:rFonts w:hint="eastAsia" w:ascii="宋体" w:hAnsi="宋体" w:eastAsia="宋体" w:cs="宋体"/>
                <w:sz w:val="22"/>
              </w:rPr>
            </w:pPr>
          </w:p>
          <w:p>
            <w:pPr>
              <w:pStyle w:val="19"/>
              <w:spacing w:before="178"/>
              <w:ind w:left="19"/>
              <w:rPr>
                <w:rFonts w:hint="eastAsia" w:ascii="宋体" w:hAnsi="宋体" w:eastAsia="宋体" w:cs="宋体"/>
                <w:sz w:val="19"/>
              </w:rPr>
            </w:pPr>
            <w:r>
              <w:rPr>
                <w:rFonts w:hint="eastAsia" w:ascii="宋体" w:hAnsi="宋体" w:eastAsia="宋体" w:cs="宋体"/>
                <w:w w:val="115"/>
                <w:sz w:val="19"/>
              </w:rPr>
              <w:t xml:space="preserve">服务方案 </w:t>
            </w:r>
            <w:r>
              <w:rPr>
                <w:rFonts w:hint="eastAsia" w:ascii="宋体" w:hAnsi="宋体" w:eastAsia="宋体" w:cs="宋体"/>
                <w:w w:val="120"/>
                <w:sz w:val="19"/>
              </w:rPr>
              <w:t>(6.0</w:t>
            </w:r>
            <w:r>
              <w:rPr>
                <w:rFonts w:hint="eastAsia" w:ascii="宋体" w:hAnsi="宋体" w:eastAsia="宋体" w:cs="宋体"/>
                <w:w w:val="115"/>
                <w:sz w:val="19"/>
              </w:rPr>
              <w:t>分</w:t>
            </w:r>
            <w:r>
              <w:rPr>
                <w:rFonts w:hint="eastAsia" w:ascii="宋体" w:hAnsi="宋体" w:eastAsia="宋体" w:cs="宋体"/>
                <w:w w:val="120"/>
                <w:sz w:val="19"/>
              </w:rPr>
              <w:t xml:space="preserve">) </w:t>
            </w:r>
            <w:r>
              <w:rPr>
                <w:rFonts w:hint="eastAsia" w:ascii="宋体" w:hAnsi="宋体" w:eastAsia="宋体" w:cs="宋体"/>
                <w:w w:val="115"/>
                <w:sz w:val="19"/>
              </w:rPr>
              <w:t>）</w:t>
            </w:r>
          </w:p>
        </w:tc>
        <w:tc>
          <w:tcPr>
            <w:tcW w:w="6409" w:type="dxa"/>
            <w:tcBorders>
              <w:top w:val="double" w:color="2B2B2B" w:sz="2" w:space="0"/>
              <w:left w:val="double" w:color="2B2B2B" w:sz="2" w:space="0"/>
              <w:bottom w:val="double" w:color="2B2B2B" w:sz="2" w:space="0"/>
              <w:right w:val="double" w:color="7F7F7F" w:sz="2" w:space="0"/>
            </w:tcBorders>
          </w:tcPr>
          <w:p>
            <w:pPr>
              <w:pStyle w:val="19"/>
              <w:spacing w:before="11" w:line="228" w:lineRule="exact"/>
              <w:ind w:left="20" w:right="3"/>
              <w:rPr>
                <w:rFonts w:hint="eastAsia" w:ascii="宋体" w:hAnsi="宋体" w:eastAsia="宋体" w:cs="宋体"/>
                <w:sz w:val="19"/>
              </w:rPr>
            </w:pPr>
            <w:r>
              <w:rPr>
                <w:rFonts w:hint="eastAsia" w:ascii="宋体" w:hAnsi="宋体" w:eastAsia="宋体" w:cs="宋体"/>
                <w:sz w:val="19"/>
              </w:rPr>
              <w:t>供应商提供售后服务方案，方案包括售后服务网点的设定（需提供</w:t>
            </w:r>
            <w:r>
              <w:rPr>
                <w:rFonts w:hint="eastAsia" w:ascii="宋体" w:hAnsi="宋体" w:eastAsia="宋体" w:cs="宋体"/>
                <w:spacing w:val="-4"/>
                <w:sz w:val="19"/>
              </w:rPr>
              <w:t>“</w:t>
            </w:r>
            <w:r>
              <w:rPr>
                <w:rFonts w:hint="eastAsia" w:ascii="宋体" w:hAnsi="宋体" w:eastAsia="宋体" w:cs="宋体"/>
                <w:sz w:val="19"/>
              </w:rPr>
              <w:t>虚拟仿真教研管理平台</w:t>
            </w:r>
            <w:r>
              <w:rPr>
                <w:rFonts w:hint="eastAsia" w:ascii="宋体" w:hAnsi="宋体" w:eastAsia="宋体" w:cs="宋体"/>
                <w:spacing w:val="-4"/>
                <w:sz w:val="19"/>
              </w:rPr>
              <w:t>”</w:t>
            </w:r>
            <w:r>
              <w:rPr>
                <w:rFonts w:hint="eastAsia" w:ascii="宋体" w:hAnsi="宋体" w:eastAsia="宋体" w:cs="宋体"/>
                <w:sz w:val="19"/>
              </w:rPr>
              <w:t>产品免费</w:t>
            </w:r>
            <w:r>
              <w:rPr>
                <w:rFonts w:hint="eastAsia" w:ascii="宋体" w:hAnsi="宋体" w:eastAsia="宋体" w:cs="宋体"/>
                <w:spacing w:val="-3"/>
                <w:w w:val="110"/>
                <w:sz w:val="19"/>
              </w:rPr>
              <w:t>3</w:t>
            </w:r>
            <w:r>
              <w:rPr>
                <w:rFonts w:hint="eastAsia" w:ascii="宋体" w:hAnsi="宋体" w:eastAsia="宋体" w:cs="宋体"/>
                <w:sz w:val="19"/>
              </w:rPr>
              <w:t>年调试及升级的售后服务承诺、提供</w:t>
            </w:r>
            <w:r>
              <w:rPr>
                <w:rFonts w:hint="eastAsia" w:ascii="宋体" w:hAnsi="宋体" w:eastAsia="宋体" w:cs="宋体"/>
                <w:spacing w:val="-3"/>
                <w:w w:val="110"/>
                <w:sz w:val="19"/>
              </w:rPr>
              <w:t>3</w:t>
            </w:r>
            <w:r>
              <w:rPr>
                <w:rFonts w:hint="eastAsia" w:ascii="宋体" w:hAnsi="宋体" w:eastAsia="宋体" w:cs="宋体"/>
                <w:sz w:val="19"/>
              </w:rPr>
              <w:t>年培训</w:t>
            </w:r>
            <w:r>
              <w:rPr>
                <w:rFonts w:hint="eastAsia" w:ascii="宋体" w:hAnsi="宋体" w:eastAsia="宋体" w:cs="宋体"/>
                <w:w w:val="110"/>
                <w:sz w:val="19"/>
              </w:rPr>
              <w:t xml:space="preserve">6 </w:t>
            </w:r>
            <w:r>
              <w:rPr>
                <w:rFonts w:hint="eastAsia" w:ascii="宋体" w:hAnsi="宋体" w:eastAsia="宋体" w:cs="宋体"/>
                <w:sz w:val="19"/>
              </w:rPr>
              <w:t>次的售后服务承诺）</w:t>
            </w:r>
            <w:r>
              <w:rPr>
                <w:rFonts w:hint="eastAsia" w:ascii="宋体" w:hAnsi="宋体" w:eastAsia="宋体" w:cs="宋体"/>
                <w:spacing w:val="-1"/>
                <w:sz w:val="19"/>
              </w:rPr>
              <w:t>、拟投入售后服务人员配置情况、日常维护、项目交付用户后出现故障响应时间及措施、备品备件计划，质量保证范围，方案完整</w:t>
            </w:r>
            <w:r>
              <w:rPr>
                <w:rFonts w:hint="eastAsia" w:ascii="宋体" w:hAnsi="宋体" w:eastAsia="宋体" w:cs="宋体"/>
                <w:sz w:val="19"/>
              </w:rPr>
              <w:t>且符合项目实际得</w:t>
            </w:r>
            <w:r>
              <w:rPr>
                <w:rFonts w:hint="eastAsia" w:ascii="宋体" w:hAnsi="宋体" w:eastAsia="宋体" w:cs="宋体"/>
                <w:spacing w:val="-3"/>
                <w:w w:val="110"/>
                <w:sz w:val="19"/>
              </w:rPr>
              <w:t>6</w:t>
            </w:r>
            <w:r>
              <w:rPr>
                <w:rFonts w:hint="eastAsia" w:ascii="宋体" w:hAnsi="宋体" w:eastAsia="宋体" w:cs="宋体"/>
                <w:sz w:val="19"/>
              </w:rPr>
              <w:t>分，每缺</w:t>
            </w:r>
            <w:r>
              <w:rPr>
                <w:rFonts w:hint="eastAsia" w:ascii="宋体" w:hAnsi="宋体" w:eastAsia="宋体" w:cs="宋体"/>
                <w:spacing w:val="-3"/>
                <w:w w:val="110"/>
                <w:sz w:val="19"/>
              </w:rPr>
              <w:t>1</w:t>
            </w:r>
            <w:r>
              <w:rPr>
                <w:rFonts w:hint="eastAsia" w:ascii="宋体" w:hAnsi="宋体" w:eastAsia="宋体" w:cs="宋体"/>
                <w:sz w:val="19"/>
              </w:rPr>
              <w:t>项或每</w:t>
            </w:r>
            <w:r>
              <w:rPr>
                <w:rFonts w:hint="eastAsia" w:ascii="宋体" w:hAnsi="宋体" w:eastAsia="宋体" w:cs="宋体"/>
                <w:spacing w:val="-3"/>
                <w:w w:val="110"/>
                <w:sz w:val="19"/>
              </w:rPr>
              <w:t>1</w:t>
            </w:r>
            <w:r>
              <w:rPr>
                <w:rFonts w:hint="eastAsia" w:ascii="宋体" w:hAnsi="宋体" w:eastAsia="宋体" w:cs="宋体"/>
                <w:sz w:val="19"/>
              </w:rPr>
              <w:t>项不符合项目实际扣</w:t>
            </w:r>
            <w:r>
              <w:rPr>
                <w:rFonts w:hint="eastAsia" w:ascii="宋体" w:hAnsi="宋体" w:eastAsia="宋体" w:cs="宋体"/>
                <w:spacing w:val="-3"/>
                <w:w w:val="110"/>
                <w:sz w:val="19"/>
              </w:rPr>
              <w:t>1</w:t>
            </w:r>
            <w:r>
              <w:rPr>
                <w:rFonts w:hint="eastAsia" w:ascii="宋体" w:hAnsi="宋体" w:eastAsia="宋体" w:cs="宋体"/>
                <w:sz w:val="19"/>
              </w:rPr>
              <w:t>分。</w:t>
            </w:r>
          </w:p>
        </w:tc>
      </w:tr>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711" w:hRule="atLeast"/>
        </w:trPr>
        <w:tc>
          <w:tcPr>
            <w:tcW w:w="1188" w:type="dxa"/>
            <w:vMerge w:val="continue"/>
            <w:tcBorders>
              <w:top w:val="nil"/>
              <w:left w:val="double" w:color="2B2B2B" w:sz="2" w:space="0"/>
              <w:bottom w:val="double" w:color="2B2B2B" w:sz="2" w:space="0"/>
              <w:right w:val="double" w:color="2B2B2B" w:sz="2" w:space="0"/>
            </w:tcBorders>
          </w:tcPr>
          <w:p>
            <w:pPr>
              <w:rPr>
                <w:rFonts w:hint="eastAsia" w:ascii="宋体" w:hAnsi="宋体" w:eastAsia="宋体" w:cs="宋体"/>
                <w:sz w:val="2"/>
                <w:szCs w:val="2"/>
              </w:rPr>
            </w:pPr>
          </w:p>
        </w:tc>
        <w:tc>
          <w:tcPr>
            <w:tcW w:w="2916" w:type="dxa"/>
            <w:tcBorders>
              <w:top w:val="double" w:color="2B2B2B" w:sz="2" w:space="0"/>
              <w:left w:val="double" w:color="2B2B2B" w:sz="2" w:space="0"/>
              <w:bottom w:val="double" w:color="2B2B2B" w:sz="2" w:space="0"/>
              <w:right w:val="double" w:color="2B2B2B" w:sz="2" w:space="0"/>
            </w:tcBorders>
          </w:tcPr>
          <w:p>
            <w:pPr>
              <w:pStyle w:val="19"/>
              <w:spacing w:before="1"/>
              <w:rPr>
                <w:rFonts w:hint="eastAsia" w:ascii="宋体" w:hAnsi="宋体" w:eastAsia="宋体" w:cs="宋体"/>
                <w:sz w:val="18"/>
              </w:rPr>
            </w:pPr>
          </w:p>
          <w:p>
            <w:pPr>
              <w:pStyle w:val="19"/>
              <w:ind w:left="19"/>
              <w:rPr>
                <w:rFonts w:hint="eastAsia" w:ascii="宋体" w:hAnsi="宋体" w:eastAsia="宋体" w:cs="宋体"/>
                <w:sz w:val="19"/>
              </w:rPr>
            </w:pPr>
            <w:r>
              <w:rPr>
                <w:rFonts w:hint="eastAsia" w:ascii="宋体" w:hAnsi="宋体" w:eastAsia="宋体" w:cs="宋体"/>
                <w:w w:val="115"/>
                <w:sz w:val="19"/>
              </w:rPr>
              <w:t xml:space="preserve">培训服务 </w:t>
            </w:r>
            <w:r>
              <w:rPr>
                <w:rFonts w:hint="eastAsia" w:ascii="宋体" w:hAnsi="宋体" w:eastAsia="宋体" w:cs="宋体"/>
                <w:w w:val="120"/>
                <w:sz w:val="19"/>
              </w:rPr>
              <w:t>(4.0</w:t>
            </w:r>
            <w:r>
              <w:rPr>
                <w:rFonts w:hint="eastAsia" w:ascii="宋体" w:hAnsi="宋体" w:eastAsia="宋体" w:cs="宋体"/>
                <w:w w:val="115"/>
                <w:sz w:val="19"/>
              </w:rPr>
              <w:t>分</w:t>
            </w:r>
            <w:r>
              <w:rPr>
                <w:rFonts w:hint="eastAsia" w:ascii="宋体" w:hAnsi="宋体" w:eastAsia="宋体" w:cs="宋体"/>
                <w:w w:val="120"/>
                <w:sz w:val="19"/>
              </w:rPr>
              <w:t>)</w:t>
            </w:r>
          </w:p>
        </w:tc>
        <w:tc>
          <w:tcPr>
            <w:tcW w:w="6409" w:type="dxa"/>
            <w:tcBorders>
              <w:top w:val="double" w:color="2B2B2B" w:sz="2" w:space="0"/>
              <w:left w:val="double" w:color="2B2B2B" w:sz="2" w:space="0"/>
              <w:bottom w:val="double" w:color="2B2B2B" w:sz="2" w:space="0"/>
              <w:right w:val="double" w:color="7F7F7F" w:sz="2" w:space="0"/>
            </w:tcBorders>
          </w:tcPr>
          <w:p>
            <w:pPr>
              <w:pStyle w:val="19"/>
              <w:spacing w:before="3" w:line="236" w:lineRule="exact"/>
              <w:ind w:left="20"/>
              <w:rPr>
                <w:rFonts w:hint="eastAsia" w:ascii="宋体" w:hAnsi="宋体" w:eastAsia="宋体" w:cs="宋体"/>
                <w:sz w:val="19"/>
              </w:rPr>
            </w:pPr>
            <w:r>
              <w:rPr>
                <w:rFonts w:hint="eastAsia" w:ascii="宋体" w:hAnsi="宋体" w:eastAsia="宋体" w:cs="宋体"/>
                <w:spacing w:val="-1"/>
                <w:sz w:val="19"/>
              </w:rPr>
              <w:t>供应商提供提供培训方案，包括培训计划、培训方式、培训内容、培训目标</w:t>
            </w:r>
          </w:p>
          <w:p>
            <w:pPr>
              <w:pStyle w:val="19"/>
              <w:spacing w:line="228" w:lineRule="exact"/>
              <w:ind w:left="20"/>
              <w:rPr>
                <w:rFonts w:hint="eastAsia" w:ascii="宋体" w:hAnsi="宋体" w:eastAsia="宋体" w:cs="宋体"/>
                <w:sz w:val="19"/>
              </w:rPr>
            </w:pPr>
            <w:r>
              <w:rPr>
                <w:rFonts w:hint="eastAsia" w:ascii="宋体" w:hAnsi="宋体" w:eastAsia="宋体" w:cs="宋体"/>
                <w:sz w:val="19"/>
              </w:rPr>
              <w:t>，方案完整且符合项目实际得</w:t>
            </w:r>
            <w:r>
              <w:rPr>
                <w:rFonts w:hint="eastAsia" w:ascii="宋体" w:hAnsi="宋体" w:eastAsia="宋体" w:cs="宋体"/>
                <w:spacing w:val="-3"/>
                <w:sz w:val="19"/>
              </w:rPr>
              <w:t>4</w:t>
            </w:r>
            <w:r>
              <w:rPr>
                <w:rFonts w:hint="eastAsia" w:ascii="宋体" w:hAnsi="宋体" w:eastAsia="宋体" w:cs="宋体"/>
                <w:sz w:val="19"/>
              </w:rPr>
              <w:t>分，每缺</w:t>
            </w:r>
            <w:r>
              <w:rPr>
                <w:rFonts w:hint="eastAsia" w:ascii="宋体" w:hAnsi="宋体" w:eastAsia="宋体" w:cs="宋体"/>
                <w:spacing w:val="-3"/>
                <w:sz w:val="19"/>
              </w:rPr>
              <w:t>1</w:t>
            </w:r>
            <w:r>
              <w:rPr>
                <w:rFonts w:hint="eastAsia" w:ascii="宋体" w:hAnsi="宋体" w:eastAsia="宋体" w:cs="宋体"/>
                <w:sz w:val="19"/>
              </w:rPr>
              <w:t>项或每</w:t>
            </w:r>
            <w:r>
              <w:rPr>
                <w:rFonts w:hint="eastAsia" w:ascii="宋体" w:hAnsi="宋体" w:eastAsia="宋体" w:cs="宋体"/>
                <w:spacing w:val="-3"/>
                <w:sz w:val="19"/>
              </w:rPr>
              <w:t>1</w:t>
            </w:r>
            <w:r>
              <w:rPr>
                <w:rFonts w:hint="eastAsia" w:ascii="宋体" w:hAnsi="宋体" w:eastAsia="宋体" w:cs="宋体"/>
                <w:sz w:val="19"/>
              </w:rPr>
              <w:t>项不符合项目实际扣</w:t>
            </w:r>
            <w:r>
              <w:rPr>
                <w:rFonts w:hint="eastAsia" w:ascii="宋体" w:hAnsi="宋体" w:eastAsia="宋体" w:cs="宋体"/>
                <w:spacing w:val="-3"/>
                <w:sz w:val="19"/>
              </w:rPr>
              <w:t>1</w:t>
            </w:r>
            <w:r>
              <w:rPr>
                <w:rFonts w:hint="eastAsia" w:ascii="宋体" w:hAnsi="宋体" w:eastAsia="宋体" w:cs="宋体"/>
                <w:sz w:val="19"/>
              </w:rPr>
              <w:t>分</w:t>
            </w:r>
          </w:p>
          <w:p>
            <w:pPr>
              <w:pStyle w:val="19"/>
              <w:spacing w:line="224" w:lineRule="exact"/>
              <w:ind w:left="20"/>
              <w:rPr>
                <w:rFonts w:hint="eastAsia" w:ascii="宋体" w:hAnsi="宋体" w:eastAsia="宋体" w:cs="宋体"/>
                <w:sz w:val="19"/>
              </w:rPr>
            </w:pPr>
            <w:r>
              <w:rPr>
                <w:rFonts w:hint="eastAsia" w:ascii="宋体" w:hAnsi="宋体" w:eastAsia="宋体" w:cs="宋体"/>
                <w:w w:val="101"/>
                <w:sz w:val="19"/>
              </w:rPr>
              <w:t>。</w:t>
            </w:r>
          </w:p>
        </w:tc>
      </w:tr>
      <w:tr>
        <w:tblPrEx>
          <w:tblBorders>
            <w:top w:val="single" w:color="2B2B2B" w:sz="6" w:space="0"/>
            <w:left w:val="single" w:color="2B2B2B" w:sz="6" w:space="0"/>
            <w:bottom w:val="single" w:color="2B2B2B" w:sz="6" w:space="0"/>
            <w:right w:val="single" w:color="2B2B2B" w:sz="6" w:space="0"/>
            <w:insideH w:val="single" w:color="2B2B2B" w:sz="6" w:space="0"/>
            <w:insideV w:val="single" w:color="2B2B2B" w:sz="6" w:space="0"/>
          </w:tblBorders>
          <w:tblCellMar>
            <w:top w:w="0" w:type="dxa"/>
            <w:left w:w="0" w:type="dxa"/>
            <w:bottom w:w="0" w:type="dxa"/>
            <w:right w:w="0" w:type="dxa"/>
          </w:tblCellMar>
        </w:tblPrEx>
        <w:trPr>
          <w:trHeight w:val="939" w:hRule="atLeast"/>
        </w:trPr>
        <w:tc>
          <w:tcPr>
            <w:tcW w:w="1188" w:type="dxa"/>
            <w:tcBorders>
              <w:top w:val="double" w:color="2B2B2B" w:sz="2" w:space="0"/>
              <w:left w:val="double" w:color="2B2B2B" w:sz="2" w:space="0"/>
              <w:bottom w:val="double" w:color="7F7F7F" w:sz="2" w:space="0"/>
              <w:right w:val="double" w:color="2B2B2B" w:sz="2" w:space="0"/>
            </w:tcBorders>
          </w:tcPr>
          <w:p>
            <w:pPr>
              <w:pStyle w:val="19"/>
              <w:spacing w:before="6"/>
              <w:rPr>
                <w:rFonts w:hint="eastAsia" w:ascii="宋体" w:hAnsi="宋体" w:eastAsia="宋体" w:cs="宋体"/>
                <w:sz w:val="26"/>
              </w:rPr>
            </w:pPr>
          </w:p>
          <w:p>
            <w:pPr>
              <w:pStyle w:val="19"/>
              <w:ind w:left="193"/>
              <w:rPr>
                <w:rFonts w:hint="eastAsia" w:ascii="宋体" w:hAnsi="宋体" w:eastAsia="宋体" w:cs="宋体"/>
                <w:sz w:val="19"/>
              </w:rPr>
            </w:pPr>
            <w:r>
              <w:rPr>
                <w:rFonts w:hint="eastAsia" w:ascii="宋体" w:hAnsi="宋体" w:eastAsia="宋体" w:cs="宋体"/>
                <w:sz w:val="19"/>
              </w:rPr>
              <w:t>投标报价</w:t>
            </w:r>
          </w:p>
        </w:tc>
        <w:tc>
          <w:tcPr>
            <w:tcW w:w="2916" w:type="dxa"/>
            <w:tcBorders>
              <w:top w:val="double" w:color="2B2B2B" w:sz="2" w:space="0"/>
              <w:left w:val="double" w:color="2B2B2B" w:sz="2" w:space="0"/>
              <w:bottom w:val="double" w:color="7F7F7F" w:sz="2" w:space="0"/>
              <w:right w:val="double" w:color="2B2B2B" w:sz="2" w:space="0"/>
            </w:tcBorders>
          </w:tcPr>
          <w:p>
            <w:pPr>
              <w:pStyle w:val="19"/>
              <w:spacing w:before="6"/>
              <w:rPr>
                <w:rFonts w:hint="eastAsia" w:ascii="宋体" w:hAnsi="宋体" w:eastAsia="宋体" w:cs="宋体"/>
                <w:sz w:val="26"/>
              </w:rPr>
            </w:pPr>
          </w:p>
          <w:p>
            <w:pPr>
              <w:pStyle w:val="19"/>
              <w:ind w:left="19"/>
              <w:rPr>
                <w:rFonts w:hint="eastAsia" w:ascii="宋体" w:hAnsi="宋体" w:eastAsia="宋体" w:cs="宋体"/>
                <w:sz w:val="19"/>
              </w:rPr>
            </w:pPr>
            <w:r>
              <w:rPr>
                <w:rFonts w:hint="eastAsia" w:ascii="宋体" w:hAnsi="宋体" w:eastAsia="宋体" w:cs="宋体"/>
                <w:w w:val="115"/>
                <w:sz w:val="19"/>
              </w:rPr>
              <w:t>投标报价得分 (30.0分)</w:t>
            </w:r>
          </w:p>
        </w:tc>
        <w:tc>
          <w:tcPr>
            <w:tcW w:w="6409" w:type="dxa"/>
            <w:tcBorders>
              <w:top w:val="double" w:color="2B2B2B" w:sz="2" w:space="0"/>
              <w:left w:val="double" w:color="2B2B2B" w:sz="2" w:space="0"/>
              <w:bottom w:val="double" w:color="7F7F7F" w:sz="2" w:space="0"/>
              <w:right w:val="double" w:color="7F7F7F" w:sz="2" w:space="0"/>
            </w:tcBorders>
          </w:tcPr>
          <w:p>
            <w:pPr>
              <w:pStyle w:val="19"/>
              <w:spacing w:before="11" w:line="228" w:lineRule="exact"/>
              <w:ind w:left="20" w:right="3"/>
              <w:rPr>
                <w:rFonts w:hint="eastAsia" w:ascii="宋体" w:hAnsi="宋体" w:eastAsia="宋体" w:cs="宋体"/>
                <w:sz w:val="19"/>
              </w:rPr>
            </w:pPr>
            <w:r>
              <w:rPr>
                <w:rFonts w:hint="eastAsia" w:ascii="宋体" w:hAnsi="宋体" w:eastAsia="宋体" w:cs="宋体"/>
                <w:sz w:val="19"/>
              </w:rPr>
              <w:t>投标报价得分＝（评标基准价/投标报价）×价格分值【注：满足招标文件要求且投标价格最低的投标报价为评标基准价。】最低报价不是中标的唯一依据。因落实政府采购政策进行价格调整的，以调整后的价格计算评标基准价和投标报价。</w:t>
            </w:r>
          </w:p>
        </w:tc>
      </w:tr>
    </w:tbl>
    <w:p>
      <w:pPr>
        <w:spacing w:after="0" w:line="228" w:lineRule="exact"/>
        <w:rPr>
          <w:rFonts w:hint="eastAsia" w:ascii="宋体" w:hAnsi="宋体" w:eastAsia="宋体" w:cs="宋体"/>
          <w:sz w:val="19"/>
        </w:rPr>
        <w:sectPr>
          <w:pgSz w:w="11900" w:h="16840"/>
          <w:pgMar w:top="560" w:right="560" w:bottom="200" w:left="540" w:header="0" w:footer="13" w:gutter="0"/>
          <w:cols w:space="720" w:num="1"/>
        </w:sectPr>
      </w:pPr>
    </w:p>
    <w:p>
      <w:pPr>
        <w:spacing w:before="40"/>
        <w:ind w:left="119" w:right="0" w:firstLine="0"/>
        <w:jc w:val="left"/>
        <w:rPr>
          <w:rFonts w:hint="eastAsia" w:ascii="宋体" w:hAnsi="宋体" w:eastAsia="宋体" w:cs="宋体"/>
          <w:b/>
          <w:sz w:val="29"/>
        </w:rPr>
      </w:pPr>
      <w:r>
        <w:rPr>
          <w:rFonts w:hint="eastAsia" w:ascii="宋体" w:hAnsi="宋体" w:eastAsia="宋体" w:cs="宋体"/>
          <w:b/>
          <w:sz w:val="29"/>
        </w:rPr>
        <w:t>第七章 响应文件格式与要求</w:t>
      </w:r>
    </w:p>
    <w:p>
      <w:pPr>
        <w:pStyle w:val="9"/>
        <w:spacing w:before="208"/>
        <w:ind w:left="126"/>
        <w:rPr>
          <w:rFonts w:hint="eastAsia" w:ascii="宋体" w:hAnsi="宋体" w:eastAsia="宋体" w:cs="宋体"/>
        </w:rPr>
      </w:pPr>
      <w:r>
        <w:rPr>
          <w:rFonts w:hint="eastAsia" w:ascii="宋体" w:hAnsi="宋体" w:eastAsia="宋体" w:cs="宋体"/>
        </w:rPr>
        <w:t>供应商提供响应文件应按照以下格式及要求进行编制，且不少于以下内容。</w:t>
      </w:r>
    </w:p>
    <w:p>
      <w:pPr>
        <w:pStyle w:val="9"/>
        <w:spacing w:before="10"/>
        <w:rPr>
          <w:rFonts w:hint="eastAsia" w:ascii="宋体" w:hAnsi="宋体" w:eastAsia="宋体" w:cs="宋体"/>
        </w:rPr>
      </w:pPr>
    </w:p>
    <w:p>
      <w:pPr>
        <w:spacing w:before="0"/>
        <w:ind w:left="120" w:right="0" w:firstLine="0"/>
        <w:jc w:val="left"/>
        <w:rPr>
          <w:rFonts w:hint="eastAsia" w:ascii="宋体" w:hAnsi="宋体" w:eastAsia="宋体" w:cs="宋体"/>
          <w:b/>
          <w:sz w:val="15"/>
        </w:rPr>
      </w:pPr>
      <w:r>
        <w:rPr>
          <w:rFonts w:hint="eastAsia" w:ascii="宋体" w:hAnsi="宋体" w:eastAsia="宋体" w:cs="宋体"/>
          <w:b/>
          <w:spacing w:val="10"/>
          <w:sz w:val="15"/>
        </w:rPr>
        <w:t>响应文件封面</w:t>
      </w:r>
    </w:p>
    <w:p>
      <w:pPr>
        <w:pStyle w:val="9"/>
        <w:rPr>
          <w:rFonts w:hint="eastAsia" w:ascii="宋体" w:hAnsi="宋体" w:eastAsia="宋体" w:cs="宋体"/>
          <w:b/>
          <w:sz w:val="16"/>
        </w:rPr>
      </w:pPr>
    </w:p>
    <w:p>
      <w:pPr>
        <w:pStyle w:val="9"/>
        <w:rPr>
          <w:rFonts w:hint="eastAsia" w:ascii="宋体" w:hAnsi="宋体" w:eastAsia="宋体" w:cs="宋体"/>
          <w:b/>
          <w:sz w:val="16"/>
        </w:rPr>
      </w:pPr>
    </w:p>
    <w:p>
      <w:pPr>
        <w:pStyle w:val="9"/>
        <w:rPr>
          <w:rFonts w:hint="eastAsia" w:ascii="宋体" w:hAnsi="宋体" w:eastAsia="宋体" w:cs="宋体"/>
          <w:b/>
          <w:sz w:val="16"/>
        </w:rPr>
      </w:pPr>
    </w:p>
    <w:p>
      <w:pPr>
        <w:pStyle w:val="9"/>
        <w:rPr>
          <w:rFonts w:hint="eastAsia" w:ascii="宋体" w:hAnsi="宋体" w:eastAsia="宋体" w:cs="宋体"/>
          <w:b/>
          <w:sz w:val="16"/>
        </w:rPr>
      </w:pPr>
    </w:p>
    <w:p>
      <w:pPr>
        <w:pStyle w:val="9"/>
        <w:spacing w:before="1"/>
        <w:rPr>
          <w:rFonts w:hint="eastAsia" w:ascii="宋体" w:hAnsi="宋体" w:eastAsia="宋体" w:cs="宋体"/>
          <w:b/>
          <w:sz w:val="23"/>
        </w:rPr>
      </w:pPr>
    </w:p>
    <w:p>
      <w:pPr>
        <w:spacing w:before="0" w:line="554" w:lineRule="auto"/>
        <w:ind w:left="120" w:right="9681" w:firstLine="0"/>
        <w:jc w:val="left"/>
        <w:rPr>
          <w:rFonts w:hint="eastAsia" w:ascii="宋体" w:hAnsi="宋体" w:eastAsia="宋体" w:cs="宋体"/>
          <w:b/>
          <w:sz w:val="15"/>
        </w:rPr>
      </w:pPr>
      <w:r>
        <w:rPr>
          <w:rFonts w:hint="eastAsia" w:ascii="宋体" w:hAnsi="宋体" w:eastAsia="宋体" w:cs="宋体"/>
          <w:b/>
          <w:spacing w:val="12"/>
          <w:w w:val="105"/>
          <w:sz w:val="15"/>
        </w:rPr>
        <w:t>（项目名称</w:t>
      </w:r>
      <w:r>
        <w:rPr>
          <w:rFonts w:hint="eastAsia" w:ascii="宋体" w:hAnsi="宋体" w:eastAsia="宋体" w:cs="宋体"/>
          <w:b/>
          <w:spacing w:val="-18"/>
          <w:w w:val="105"/>
          <w:sz w:val="15"/>
        </w:rPr>
        <w:t xml:space="preserve">） </w:t>
      </w:r>
      <w:r>
        <w:rPr>
          <w:rFonts w:hint="eastAsia" w:ascii="宋体" w:hAnsi="宋体" w:eastAsia="宋体" w:cs="宋体"/>
          <w:b/>
          <w:spacing w:val="7"/>
          <w:sz w:val="15"/>
        </w:rPr>
        <w:t>响应文件封面</w:t>
      </w:r>
    </w:p>
    <w:p>
      <w:pPr>
        <w:spacing w:before="0" w:line="218" w:lineRule="exact"/>
        <w:ind w:left="120" w:right="0" w:firstLine="0"/>
        <w:jc w:val="left"/>
        <w:rPr>
          <w:rFonts w:hint="eastAsia" w:ascii="宋体" w:hAnsi="宋体" w:eastAsia="宋体" w:cs="宋体"/>
          <w:b/>
          <w:sz w:val="13"/>
        </w:rPr>
      </w:pPr>
      <w:r>
        <w:rPr>
          <w:rFonts w:hint="eastAsia" w:ascii="宋体" w:hAnsi="宋体" w:eastAsia="宋体" w:cs="宋体"/>
          <w:b/>
          <w:sz w:val="13"/>
        </w:rPr>
        <w:t>（正本/副本）</w:t>
      </w: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pStyle w:val="9"/>
        <w:rPr>
          <w:rFonts w:hint="eastAsia" w:ascii="宋体" w:hAnsi="宋体" w:eastAsia="宋体" w:cs="宋体"/>
          <w:b/>
          <w:sz w:val="14"/>
        </w:rPr>
      </w:pPr>
    </w:p>
    <w:p>
      <w:pPr>
        <w:spacing w:before="92"/>
        <w:ind w:left="120" w:right="0" w:firstLine="0"/>
        <w:jc w:val="left"/>
        <w:rPr>
          <w:rFonts w:hint="eastAsia" w:ascii="宋体" w:hAnsi="宋体" w:eastAsia="宋体" w:cs="宋体"/>
          <w:b/>
          <w:sz w:val="13"/>
        </w:rPr>
      </w:pPr>
      <w:r>
        <w:rPr>
          <w:rFonts w:hint="eastAsia" w:ascii="宋体" w:hAnsi="宋体" w:eastAsia="宋体" w:cs="宋体"/>
          <w:b/>
          <w:w w:val="105"/>
          <w:sz w:val="13"/>
        </w:rPr>
        <w:t>项目编号：[230001]SC[CS]20230219-1</w:t>
      </w:r>
    </w:p>
    <w:p>
      <w:pPr>
        <w:pStyle w:val="9"/>
        <w:spacing w:before="7"/>
        <w:rPr>
          <w:rFonts w:hint="eastAsia" w:ascii="宋体" w:hAnsi="宋体" w:eastAsia="宋体" w:cs="宋体"/>
          <w:b/>
          <w:sz w:val="13"/>
        </w:rPr>
      </w:pPr>
    </w:p>
    <w:p>
      <w:pPr>
        <w:spacing w:before="0"/>
        <w:ind w:left="120" w:right="0" w:firstLine="0"/>
        <w:jc w:val="left"/>
        <w:rPr>
          <w:rFonts w:hint="eastAsia" w:ascii="宋体" w:hAnsi="宋体" w:eastAsia="宋体" w:cs="宋体"/>
          <w:b/>
          <w:sz w:val="13"/>
        </w:rPr>
      </w:pPr>
      <w:r>
        <w:rPr>
          <w:rFonts w:hint="eastAsia" w:ascii="宋体" w:hAnsi="宋体" w:eastAsia="宋体" w:cs="宋体"/>
          <w:b/>
          <w:sz w:val="13"/>
        </w:rPr>
        <w:t>所投采购包：第 包</w:t>
      </w:r>
    </w:p>
    <w:p>
      <w:pPr>
        <w:pStyle w:val="9"/>
        <w:rPr>
          <w:rFonts w:hint="eastAsia" w:ascii="宋体" w:hAnsi="宋体" w:eastAsia="宋体" w:cs="宋体"/>
          <w:b/>
          <w:sz w:val="12"/>
        </w:rPr>
      </w:pPr>
    </w:p>
    <w:p>
      <w:pPr>
        <w:pStyle w:val="9"/>
        <w:rPr>
          <w:rFonts w:hint="eastAsia" w:ascii="宋体" w:hAnsi="宋体" w:eastAsia="宋体" w:cs="宋体"/>
          <w:b/>
          <w:sz w:val="12"/>
        </w:rPr>
      </w:pPr>
    </w:p>
    <w:p>
      <w:pPr>
        <w:pStyle w:val="9"/>
        <w:rPr>
          <w:rFonts w:hint="eastAsia" w:ascii="宋体" w:hAnsi="宋体" w:eastAsia="宋体" w:cs="宋体"/>
          <w:b/>
          <w:sz w:val="12"/>
        </w:rPr>
      </w:pPr>
    </w:p>
    <w:p>
      <w:pPr>
        <w:pStyle w:val="9"/>
        <w:rPr>
          <w:rFonts w:hint="eastAsia" w:ascii="宋体" w:hAnsi="宋体" w:eastAsia="宋体" w:cs="宋体"/>
          <w:b/>
          <w:sz w:val="12"/>
        </w:rPr>
      </w:pPr>
    </w:p>
    <w:p>
      <w:pPr>
        <w:pStyle w:val="9"/>
        <w:rPr>
          <w:rFonts w:hint="eastAsia" w:ascii="宋体" w:hAnsi="宋体" w:eastAsia="宋体" w:cs="宋体"/>
          <w:b/>
          <w:sz w:val="12"/>
        </w:rPr>
      </w:pPr>
    </w:p>
    <w:p>
      <w:pPr>
        <w:pStyle w:val="9"/>
        <w:rPr>
          <w:rFonts w:hint="eastAsia" w:ascii="宋体" w:hAnsi="宋体" w:eastAsia="宋体" w:cs="宋体"/>
          <w:b/>
          <w:sz w:val="12"/>
        </w:rPr>
      </w:pPr>
    </w:p>
    <w:p>
      <w:pPr>
        <w:pStyle w:val="9"/>
        <w:rPr>
          <w:rFonts w:hint="eastAsia" w:ascii="宋体" w:hAnsi="宋体" w:eastAsia="宋体" w:cs="宋体"/>
          <w:b/>
          <w:sz w:val="12"/>
        </w:rPr>
      </w:pPr>
    </w:p>
    <w:p>
      <w:pPr>
        <w:pStyle w:val="9"/>
        <w:rPr>
          <w:rFonts w:hint="eastAsia" w:ascii="宋体" w:hAnsi="宋体" w:eastAsia="宋体" w:cs="宋体"/>
          <w:b/>
          <w:sz w:val="12"/>
        </w:rPr>
      </w:pPr>
    </w:p>
    <w:p>
      <w:pPr>
        <w:pStyle w:val="9"/>
        <w:rPr>
          <w:rFonts w:hint="eastAsia" w:ascii="宋体" w:hAnsi="宋体" w:eastAsia="宋体" w:cs="宋体"/>
          <w:b/>
          <w:sz w:val="12"/>
        </w:rPr>
      </w:pPr>
    </w:p>
    <w:p>
      <w:pPr>
        <w:pStyle w:val="9"/>
        <w:rPr>
          <w:rFonts w:hint="eastAsia" w:ascii="宋体" w:hAnsi="宋体" w:eastAsia="宋体" w:cs="宋体"/>
          <w:b/>
          <w:sz w:val="12"/>
        </w:rPr>
      </w:pPr>
    </w:p>
    <w:p>
      <w:pPr>
        <w:pStyle w:val="9"/>
        <w:spacing w:before="10"/>
        <w:rPr>
          <w:rFonts w:hint="eastAsia" w:ascii="宋体" w:hAnsi="宋体" w:eastAsia="宋体" w:cs="宋体"/>
          <w:b/>
          <w:sz w:val="17"/>
        </w:rPr>
      </w:pPr>
    </w:p>
    <w:p>
      <w:pPr>
        <w:spacing w:before="0" w:line="640" w:lineRule="auto"/>
        <w:ind w:left="120" w:right="9753" w:firstLine="0"/>
        <w:jc w:val="left"/>
        <w:rPr>
          <w:rFonts w:hint="eastAsia" w:ascii="宋体" w:hAnsi="宋体" w:eastAsia="宋体" w:cs="宋体"/>
          <w:b/>
          <w:sz w:val="13"/>
        </w:rPr>
      </w:pPr>
      <w:r>
        <w:rPr>
          <w:rFonts w:hint="eastAsia" w:ascii="宋体" w:hAnsi="宋体" w:eastAsia="宋体" w:cs="宋体"/>
          <w:b/>
          <w:sz w:val="13"/>
        </w:rPr>
        <w:t>（供应商名称） 年 月 日</w:t>
      </w:r>
    </w:p>
    <w:p>
      <w:pPr>
        <w:spacing w:after="0" w:line="640" w:lineRule="auto"/>
        <w:jc w:val="left"/>
        <w:rPr>
          <w:rFonts w:hint="eastAsia" w:ascii="宋体" w:hAnsi="宋体" w:eastAsia="宋体" w:cs="宋体"/>
          <w:sz w:val="13"/>
        </w:rPr>
        <w:sectPr>
          <w:pgSz w:w="11900" w:h="16840"/>
          <w:pgMar w:top="960" w:right="560" w:bottom="200" w:left="540" w:header="0" w:footer="13" w:gutter="0"/>
          <w:cols w:space="720" w:num="1"/>
        </w:sectPr>
      </w:pPr>
    </w:p>
    <w:p>
      <w:pPr>
        <w:spacing w:before="60"/>
        <w:ind w:left="120" w:right="0" w:firstLine="0"/>
        <w:jc w:val="left"/>
        <w:rPr>
          <w:rFonts w:hint="eastAsia" w:ascii="宋体" w:hAnsi="宋体" w:eastAsia="宋体" w:cs="宋体"/>
          <w:b/>
          <w:sz w:val="13"/>
        </w:rPr>
      </w:pPr>
      <w:r>
        <w:rPr>
          <w:rFonts w:hint="eastAsia" w:ascii="宋体" w:hAnsi="宋体" w:eastAsia="宋体" w:cs="宋体"/>
          <w:b/>
          <w:sz w:val="13"/>
        </w:rPr>
        <w:t>响应文件目录</w:t>
      </w:r>
    </w:p>
    <w:p>
      <w:pPr>
        <w:pStyle w:val="9"/>
        <w:rPr>
          <w:rFonts w:hint="eastAsia" w:ascii="宋体" w:hAnsi="宋体" w:eastAsia="宋体" w:cs="宋体"/>
          <w:b/>
          <w:sz w:val="12"/>
        </w:rPr>
      </w:pPr>
    </w:p>
    <w:p>
      <w:pPr>
        <w:pStyle w:val="9"/>
        <w:spacing w:before="8"/>
        <w:rPr>
          <w:rFonts w:hint="eastAsia" w:ascii="宋体" w:hAnsi="宋体" w:eastAsia="宋体" w:cs="宋体"/>
          <w:b/>
          <w:sz w:val="9"/>
        </w:rPr>
      </w:pPr>
    </w:p>
    <w:p>
      <w:pPr>
        <w:pStyle w:val="9"/>
        <w:spacing w:line="415" w:lineRule="auto"/>
        <w:ind w:left="126" w:right="9135"/>
        <w:rPr>
          <w:rFonts w:hint="eastAsia" w:ascii="宋体" w:hAnsi="宋体" w:eastAsia="宋体" w:cs="宋体"/>
        </w:rPr>
      </w:pPr>
      <w:r>
        <w:rPr>
          <w:rFonts w:hint="eastAsia" w:ascii="宋体" w:hAnsi="宋体" w:eastAsia="宋体" w:cs="宋体"/>
        </w:rPr>
        <w:t xml:space="preserve">一、投标承诺书 </w:t>
      </w:r>
      <w:r>
        <w:rPr>
          <w:rFonts w:hint="eastAsia" w:ascii="宋体" w:hAnsi="宋体" w:eastAsia="宋体" w:cs="宋体"/>
          <w:spacing w:val="-3"/>
        </w:rPr>
        <w:t>二、资格承诺函。</w:t>
      </w:r>
    </w:p>
    <w:p>
      <w:pPr>
        <w:pStyle w:val="9"/>
        <w:spacing w:line="415" w:lineRule="auto"/>
        <w:ind w:left="126" w:right="8559"/>
        <w:rPr>
          <w:rFonts w:hint="eastAsia" w:ascii="宋体" w:hAnsi="宋体" w:eastAsia="宋体" w:cs="宋体"/>
        </w:rPr>
      </w:pPr>
      <w:r>
        <w:rPr>
          <w:rFonts w:hint="eastAsia" w:ascii="宋体" w:hAnsi="宋体" w:eastAsia="宋体" w:cs="宋体"/>
        </w:rPr>
        <w:t xml:space="preserve">三、法定代表人授权书 </w:t>
      </w:r>
      <w:r>
        <w:rPr>
          <w:rFonts w:hint="eastAsia" w:ascii="宋体" w:hAnsi="宋体" w:eastAsia="宋体" w:cs="宋体"/>
          <w:spacing w:val="-2"/>
        </w:rPr>
        <w:t>四、主要商务要求承诺书</w:t>
      </w:r>
      <w:r>
        <w:rPr>
          <w:rFonts w:hint="eastAsia" w:ascii="宋体" w:hAnsi="宋体" w:eastAsia="宋体" w:cs="宋体"/>
        </w:rPr>
        <w:t>五、技术偏离表</w:t>
      </w:r>
    </w:p>
    <w:p>
      <w:pPr>
        <w:pStyle w:val="9"/>
        <w:spacing w:line="415" w:lineRule="auto"/>
        <w:ind w:left="126" w:right="8943"/>
        <w:rPr>
          <w:rFonts w:hint="eastAsia" w:ascii="宋体" w:hAnsi="宋体" w:eastAsia="宋体" w:cs="宋体"/>
        </w:rPr>
      </w:pPr>
      <w:r>
        <w:rPr>
          <w:rFonts w:hint="eastAsia" w:ascii="宋体" w:hAnsi="宋体" w:eastAsia="宋体" w:cs="宋体"/>
        </w:rPr>
        <w:t>六、中小企业声明函七、监狱企业</w:t>
      </w:r>
    </w:p>
    <w:p>
      <w:pPr>
        <w:pStyle w:val="9"/>
        <w:spacing w:line="415" w:lineRule="auto"/>
        <w:ind w:left="126" w:right="8175"/>
        <w:rPr>
          <w:rFonts w:hint="eastAsia" w:ascii="宋体" w:hAnsi="宋体" w:eastAsia="宋体" w:cs="宋体"/>
        </w:rPr>
      </w:pPr>
      <w:r>
        <w:rPr>
          <w:rFonts w:hint="eastAsia" w:ascii="宋体" w:hAnsi="宋体" w:eastAsia="宋体" w:cs="宋体"/>
        </w:rPr>
        <w:t>八、残疾人福利性单位声明函九、分项报价明细表</w:t>
      </w:r>
    </w:p>
    <w:p>
      <w:pPr>
        <w:pStyle w:val="9"/>
        <w:spacing w:line="241" w:lineRule="exact"/>
        <w:ind w:left="126"/>
        <w:rPr>
          <w:rFonts w:hint="eastAsia" w:ascii="宋体" w:hAnsi="宋体" w:eastAsia="宋体" w:cs="宋体"/>
        </w:rPr>
      </w:pPr>
      <w:r>
        <w:rPr>
          <w:rFonts w:hint="eastAsia" w:ascii="宋体" w:hAnsi="宋体" w:eastAsia="宋体" w:cs="宋体"/>
        </w:rPr>
        <w:t>十、保证金</w:t>
      </w:r>
    </w:p>
    <w:p>
      <w:pPr>
        <w:pStyle w:val="9"/>
        <w:spacing w:before="3"/>
        <w:rPr>
          <w:rFonts w:hint="eastAsia" w:ascii="宋体" w:hAnsi="宋体" w:eastAsia="宋体" w:cs="宋体"/>
          <w:sz w:val="13"/>
        </w:rPr>
      </w:pPr>
    </w:p>
    <w:p>
      <w:pPr>
        <w:pStyle w:val="9"/>
        <w:ind w:left="126"/>
        <w:rPr>
          <w:rFonts w:hint="eastAsia" w:ascii="宋体" w:hAnsi="宋体" w:eastAsia="宋体" w:cs="宋体"/>
        </w:rPr>
      </w:pPr>
      <w:r>
        <w:rPr>
          <w:rFonts w:hint="eastAsia" w:ascii="宋体" w:hAnsi="宋体" w:eastAsia="宋体" w:cs="宋体"/>
        </w:rPr>
        <w:t>十一、联合体协议书</w:t>
      </w:r>
    </w:p>
    <w:p>
      <w:pPr>
        <w:pStyle w:val="9"/>
        <w:spacing w:before="10"/>
        <w:rPr>
          <w:rFonts w:hint="eastAsia" w:ascii="宋体" w:hAnsi="宋体" w:eastAsia="宋体" w:cs="宋体"/>
          <w:sz w:val="13"/>
        </w:rPr>
      </w:pPr>
    </w:p>
    <w:p>
      <w:pPr>
        <w:pStyle w:val="9"/>
        <w:spacing w:line="415" w:lineRule="auto"/>
        <w:ind w:left="126" w:right="6446"/>
        <w:rPr>
          <w:rFonts w:hint="eastAsia" w:ascii="宋体" w:hAnsi="宋体" w:eastAsia="宋体" w:cs="宋体"/>
        </w:rPr>
      </w:pPr>
      <w:r>
        <w:rPr>
          <w:rFonts w:hint="eastAsia" w:ascii="宋体" w:hAnsi="宋体" w:eastAsia="宋体" w:cs="宋体"/>
        </w:rPr>
        <w:t>十二、项目实施方案、质量保证及售后服务承诺等十三、项目组成人员一览表</w:t>
      </w:r>
    </w:p>
    <w:p>
      <w:pPr>
        <w:pStyle w:val="9"/>
        <w:spacing w:line="415" w:lineRule="auto"/>
        <w:ind w:left="126" w:right="8559"/>
        <w:rPr>
          <w:rFonts w:hint="eastAsia" w:ascii="宋体" w:hAnsi="宋体" w:eastAsia="宋体" w:cs="宋体"/>
        </w:rPr>
      </w:pPr>
      <w:r>
        <w:rPr>
          <w:rFonts w:hint="eastAsia" w:ascii="宋体" w:hAnsi="宋体" w:eastAsia="宋体" w:cs="宋体"/>
        </w:rPr>
        <w:t>十四、供应商业绩情况表十五、各类证明材料</w:t>
      </w:r>
    </w:p>
    <w:p>
      <w:pPr>
        <w:spacing w:after="0" w:line="415" w:lineRule="auto"/>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ascii="宋体" w:hAnsi="宋体" w:eastAsia="宋体" w:cs="宋体"/>
        </w:rPr>
      </w:pPr>
    </w:p>
    <w:p>
      <w:pPr>
        <w:pStyle w:val="2"/>
        <w:rPr>
          <w:rFonts w:hint="eastAsia" w:cs="宋体"/>
          <w:lang w:val="en-US" w:eastAsia="zh-CN"/>
        </w:rPr>
      </w:pPr>
      <w:r>
        <w:rPr>
          <w:rFonts w:hint="eastAsia" w:cs="宋体"/>
          <w:lang w:val="en-US" w:eastAsia="zh-CN"/>
        </w:rPr>
        <w:t>响应文件</w:t>
      </w:r>
    </w:p>
    <w:p>
      <w:pPr>
        <w:pStyle w:val="2"/>
        <w:ind w:left="0" w:leftChars="0" w:firstLine="0" w:firstLineChars="0"/>
        <w:rPr>
          <w:rFonts w:hint="eastAsia" w:cs="宋体"/>
          <w:lang w:val="en-US" w:eastAsia="zh-CN"/>
        </w:rPr>
      </w:pPr>
    </w:p>
    <w:p>
      <w:pPr>
        <w:spacing w:line="240" w:lineRule="auto"/>
        <w:ind w:firstLine="0" w:firstLineChars="0"/>
        <w:jc w:val="center"/>
        <w:rPr>
          <w:rFonts w:ascii="宋体" w:hAnsi="宋体"/>
          <w:b/>
          <w:bCs/>
          <w:sz w:val="52"/>
          <w:szCs w:val="52"/>
        </w:rPr>
      </w:pPr>
    </w:p>
    <w:p>
      <w:pPr>
        <w:spacing w:line="240" w:lineRule="auto"/>
        <w:ind w:firstLine="0" w:firstLineChars="0"/>
        <w:jc w:val="center"/>
        <w:rPr>
          <w:rFonts w:ascii="宋体" w:hAnsi="宋体"/>
          <w:b/>
          <w:bCs/>
          <w:sz w:val="52"/>
          <w:szCs w:val="52"/>
        </w:rPr>
      </w:pPr>
      <w:r>
        <w:rPr>
          <w:rFonts w:ascii="宋体" w:hAnsi="宋体"/>
          <w:b/>
          <w:bCs/>
          <w:sz w:val="52"/>
          <w:szCs w:val="52"/>
        </w:rPr>
        <w:t>教师教育实训楼心理实训室采购项目</w:t>
      </w:r>
      <w:r>
        <w:rPr>
          <w:rFonts w:hint="eastAsia" w:ascii="宋体" w:hAnsi="宋体"/>
          <w:b/>
          <w:bCs/>
          <w:sz w:val="52"/>
          <w:szCs w:val="52"/>
        </w:rPr>
        <w:t>（二次）</w:t>
      </w:r>
    </w:p>
    <w:p>
      <w:pPr>
        <w:spacing w:line="240" w:lineRule="auto"/>
        <w:ind w:firstLine="0" w:firstLineChars="0"/>
        <w:jc w:val="center"/>
        <w:rPr>
          <w:rFonts w:ascii="宋体" w:hAnsi="宋体"/>
          <w:b/>
          <w:bCs/>
          <w:sz w:val="52"/>
          <w:szCs w:val="52"/>
        </w:rPr>
      </w:pPr>
    </w:p>
    <w:p>
      <w:pPr>
        <w:spacing w:line="240" w:lineRule="auto"/>
        <w:ind w:firstLine="0" w:firstLineChars="0"/>
        <w:jc w:val="center"/>
        <w:rPr>
          <w:rFonts w:ascii="宋体" w:hAnsi="宋体"/>
          <w:b/>
          <w:bCs/>
          <w:sz w:val="52"/>
          <w:szCs w:val="52"/>
        </w:rPr>
      </w:pPr>
    </w:p>
    <w:p>
      <w:pPr>
        <w:spacing w:before="312" w:beforeLines="100" w:after="312" w:afterLines="100" w:line="240" w:lineRule="auto"/>
        <w:ind w:firstLine="0" w:firstLineChars="0"/>
        <w:jc w:val="center"/>
        <w:rPr>
          <w:rFonts w:ascii="宋体" w:hAnsi="宋体"/>
          <w:b/>
          <w:bCs/>
          <w:sz w:val="84"/>
          <w:szCs w:val="84"/>
        </w:rPr>
      </w:pPr>
      <w:r>
        <w:rPr>
          <w:rFonts w:ascii="宋体" w:hAnsi="宋体"/>
          <w:b/>
          <w:bCs/>
          <w:sz w:val="84"/>
          <w:szCs w:val="84"/>
        </w:rPr>
        <w:t>响应文件封面</w:t>
      </w:r>
    </w:p>
    <w:p>
      <w:pPr>
        <w:spacing w:before="312" w:beforeLines="100" w:after="312" w:afterLines="100" w:line="240" w:lineRule="auto"/>
        <w:ind w:firstLine="0" w:firstLineChars="0"/>
        <w:jc w:val="center"/>
        <w:rPr>
          <w:rFonts w:ascii="宋体" w:hAnsi="宋体"/>
          <w:b/>
          <w:bCs/>
          <w:sz w:val="44"/>
          <w:szCs w:val="44"/>
        </w:rPr>
      </w:pPr>
      <w:r>
        <w:rPr>
          <w:rFonts w:ascii="宋体" w:hAnsi="宋体"/>
          <w:b/>
          <w:bCs/>
          <w:sz w:val="44"/>
          <w:szCs w:val="44"/>
        </w:rPr>
        <w:t>（正本/副本）</w:t>
      </w:r>
    </w:p>
    <w:p>
      <w:pPr>
        <w:spacing w:before="156" w:beforeLines="50" w:after="156" w:afterLines="50" w:line="240" w:lineRule="auto"/>
        <w:ind w:firstLine="0" w:firstLineChars="0"/>
        <w:jc w:val="center"/>
        <w:rPr>
          <w:b/>
          <w:bCs/>
          <w:sz w:val="32"/>
          <w:szCs w:val="32"/>
        </w:rPr>
      </w:pPr>
    </w:p>
    <w:p>
      <w:pPr>
        <w:spacing w:before="156" w:beforeLines="50" w:after="156" w:afterLines="50" w:line="240" w:lineRule="auto"/>
        <w:ind w:firstLine="0" w:firstLineChars="0"/>
        <w:jc w:val="center"/>
        <w:rPr>
          <w:b/>
          <w:bCs/>
          <w:sz w:val="32"/>
          <w:szCs w:val="32"/>
        </w:rPr>
      </w:pPr>
    </w:p>
    <w:p>
      <w:pPr>
        <w:spacing w:before="156" w:beforeLines="50" w:after="156" w:afterLines="50" w:line="240" w:lineRule="auto"/>
        <w:ind w:firstLine="0" w:firstLineChars="0"/>
        <w:jc w:val="center"/>
        <w:rPr>
          <w:b/>
          <w:bCs/>
          <w:sz w:val="32"/>
          <w:szCs w:val="32"/>
          <w:u w:val="single"/>
        </w:rPr>
      </w:pPr>
      <w:r>
        <w:rPr>
          <w:rFonts w:hint="eastAsia"/>
          <w:b/>
          <w:bCs/>
          <w:sz w:val="32"/>
          <w:szCs w:val="32"/>
        </w:rPr>
        <w:t>项目编号：</w:t>
      </w:r>
      <w:r>
        <w:rPr>
          <w:b/>
          <w:bCs/>
          <w:sz w:val="32"/>
          <w:szCs w:val="32"/>
          <w:u w:val="single"/>
        </w:rPr>
        <w:t>[230001]SC[CS]20230219</w:t>
      </w:r>
      <w:r>
        <w:rPr>
          <w:rFonts w:hint="eastAsia"/>
          <w:b/>
          <w:bCs/>
          <w:sz w:val="32"/>
          <w:szCs w:val="32"/>
          <w:u w:val="single"/>
        </w:rPr>
        <w:t>-1</w:t>
      </w:r>
    </w:p>
    <w:p>
      <w:pPr>
        <w:spacing w:before="156" w:beforeLines="50" w:after="156" w:afterLines="50" w:line="240" w:lineRule="auto"/>
        <w:ind w:firstLine="0" w:firstLineChars="0"/>
        <w:jc w:val="center"/>
        <w:rPr>
          <w:b/>
          <w:bCs/>
          <w:sz w:val="32"/>
          <w:szCs w:val="32"/>
        </w:rPr>
      </w:pPr>
      <w:r>
        <w:rPr>
          <w:rFonts w:hint="eastAsia"/>
          <w:b/>
          <w:bCs/>
          <w:sz w:val="32"/>
          <w:szCs w:val="32"/>
        </w:rPr>
        <w:t>所投采购包：第</w:t>
      </w:r>
      <w:r>
        <w:rPr>
          <w:rFonts w:hint="eastAsia"/>
          <w:b/>
          <w:bCs/>
          <w:sz w:val="32"/>
          <w:szCs w:val="32"/>
          <w:u w:val="single"/>
        </w:rPr>
        <w:t>1</w:t>
      </w:r>
      <w:r>
        <w:rPr>
          <w:rFonts w:hint="eastAsia"/>
          <w:b/>
          <w:bCs/>
          <w:sz w:val="32"/>
          <w:szCs w:val="32"/>
        </w:rPr>
        <w:t>包</w:t>
      </w:r>
    </w:p>
    <w:p>
      <w:pPr>
        <w:spacing w:before="156" w:beforeLines="50" w:after="156" w:afterLines="50" w:line="240" w:lineRule="auto"/>
        <w:ind w:firstLine="0" w:firstLineChars="0"/>
        <w:jc w:val="center"/>
        <w:rPr>
          <w:b/>
          <w:bCs/>
          <w:sz w:val="32"/>
          <w:szCs w:val="32"/>
        </w:rPr>
      </w:pPr>
    </w:p>
    <w:p>
      <w:pPr>
        <w:spacing w:before="156" w:beforeLines="50" w:after="156" w:afterLines="50" w:line="240" w:lineRule="auto"/>
        <w:ind w:firstLine="0" w:firstLineChars="0"/>
        <w:jc w:val="center"/>
        <w:rPr>
          <w:b/>
          <w:bCs/>
          <w:sz w:val="32"/>
          <w:szCs w:val="32"/>
        </w:rPr>
      </w:pPr>
      <w:r>
        <w:rPr>
          <w:rFonts w:hint="eastAsia"/>
          <w:b/>
          <w:bCs/>
          <w:sz w:val="32"/>
          <w:szCs w:val="32"/>
        </w:rPr>
        <w:t>明臻智慧科技（北京）有限责任公司</w:t>
      </w:r>
    </w:p>
    <w:p>
      <w:pPr>
        <w:spacing w:before="156" w:beforeLines="50" w:after="156" w:afterLines="50" w:line="240" w:lineRule="auto"/>
        <w:ind w:firstLine="0" w:firstLineChars="0"/>
        <w:jc w:val="center"/>
        <w:rPr>
          <w:b/>
          <w:bCs/>
          <w:sz w:val="32"/>
          <w:szCs w:val="32"/>
        </w:rPr>
      </w:pPr>
      <w:r>
        <w:rPr>
          <w:rFonts w:hint="eastAsia"/>
          <w:b/>
          <w:bCs/>
          <w:sz w:val="32"/>
          <w:szCs w:val="32"/>
        </w:rPr>
        <w:t>2023年12月28日</w:t>
      </w:r>
    </w:p>
    <w:p>
      <w:pPr>
        <w:spacing w:before="156" w:beforeLines="50" w:after="156" w:afterLines="50" w:line="240" w:lineRule="auto"/>
        <w:ind w:firstLine="0" w:firstLineChars="0"/>
        <w:rPr>
          <w:b/>
          <w:bCs/>
          <w:sz w:val="32"/>
          <w:szCs w:val="32"/>
        </w:rPr>
      </w:pPr>
    </w:p>
    <w:p>
      <w:pPr>
        <w:pStyle w:val="9"/>
        <w:ind w:firstLine="0" w:firstLineChars="0"/>
        <w:sectPr>
          <w:headerReference r:id="rId13" w:type="first"/>
          <w:footerReference r:id="rId16" w:type="first"/>
          <w:headerReference r:id="rId11" w:type="default"/>
          <w:footerReference r:id="rId14" w:type="default"/>
          <w:headerReference r:id="rId12" w:type="even"/>
          <w:footerReference r:id="rId15" w:type="even"/>
          <w:pgSz w:w="11906" w:h="16838"/>
          <w:pgMar w:top="1474" w:right="1417" w:bottom="1247" w:left="1417" w:header="851" w:footer="992" w:gutter="0"/>
          <w:cols w:space="720" w:num="1"/>
          <w:docGrid w:type="lines" w:linePitch="312" w:charSpace="0"/>
        </w:sectPr>
      </w:pPr>
    </w:p>
    <w:p>
      <w:pPr>
        <w:ind w:firstLine="0" w:firstLineChars="0"/>
        <w:jc w:val="center"/>
        <w:rPr>
          <w:b/>
          <w:bCs/>
          <w:sz w:val="32"/>
          <w:szCs w:val="32"/>
        </w:rPr>
      </w:pPr>
      <w:r>
        <w:rPr>
          <w:rFonts w:hint="eastAsia"/>
          <w:b/>
          <w:bCs/>
          <w:sz w:val="32"/>
          <w:szCs w:val="32"/>
        </w:rPr>
        <w:t>响应文件目录</w:t>
      </w:r>
    </w:p>
    <w:p>
      <w:pPr>
        <w:pStyle w:val="14"/>
        <w:tabs>
          <w:tab w:val="right" w:leader="hyphen" w:pos="9072"/>
        </w:tabs>
      </w:pPr>
      <w:r>
        <w:fldChar w:fldCharType="begin"/>
      </w:r>
      <w:r>
        <w:instrText xml:space="preserve">TOC \o "1-3" \h \u </w:instrText>
      </w:r>
      <w:r>
        <w:fldChar w:fldCharType="separate"/>
      </w:r>
      <w:r>
        <w:fldChar w:fldCharType="begin"/>
      </w:r>
      <w:r>
        <w:instrText xml:space="preserve"> HYPERLINK \l "_Toc24597" </w:instrText>
      </w:r>
      <w:r>
        <w:fldChar w:fldCharType="separate"/>
      </w:r>
      <w:r>
        <w:rPr>
          <w:rFonts w:hint="eastAsia"/>
        </w:rPr>
        <w:t>一、 投标承诺书</w:t>
      </w:r>
      <w:r>
        <w:tab/>
      </w:r>
      <w:r>
        <w:fldChar w:fldCharType="begin"/>
      </w:r>
      <w:r>
        <w:instrText xml:space="preserve"> PAGEREF _Toc24597 \h </w:instrText>
      </w:r>
      <w:r>
        <w:fldChar w:fldCharType="separate"/>
      </w:r>
      <w:r>
        <w:t>4</w:t>
      </w:r>
      <w:r>
        <w:fldChar w:fldCharType="end"/>
      </w:r>
      <w:r>
        <w:fldChar w:fldCharType="end"/>
      </w:r>
    </w:p>
    <w:p>
      <w:pPr>
        <w:pStyle w:val="14"/>
        <w:tabs>
          <w:tab w:val="right" w:leader="hyphen" w:pos="9072"/>
        </w:tabs>
      </w:pPr>
      <w:r>
        <w:fldChar w:fldCharType="begin"/>
      </w:r>
      <w:r>
        <w:instrText xml:space="preserve"> HYPERLINK \l "_Toc8733" </w:instrText>
      </w:r>
      <w:r>
        <w:fldChar w:fldCharType="separate"/>
      </w:r>
      <w:r>
        <w:rPr>
          <w:rFonts w:hint="eastAsia"/>
        </w:rPr>
        <w:t>二、 资格承诺函</w:t>
      </w:r>
      <w:r>
        <w:tab/>
      </w:r>
      <w:r>
        <w:fldChar w:fldCharType="begin"/>
      </w:r>
      <w:r>
        <w:instrText xml:space="preserve"> PAGEREF _Toc8733 \h </w:instrText>
      </w:r>
      <w:r>
        <w:fldChar w:fldCharType="separate"/>
      </w:r>
      <w:r>
        <w:t>5</w:t>
      </w:r>
      <w:r>
        <w:fldChar w:fldCharType="end"/>
      </w:r>
      <w:r>
        <w:fldChar w:fldCharType="end"/>
      </w:r>
    </w:p>
    <w:p>
      <w:pPr>
        <w:pStyle w:val="15"/>
        <w:tabs>
          <w:tab w:val="right" w:leader="hyphen" w:pos="9072"/>
        </w:tabs>
        <w:ind w:firstLine="420"/>
      </w:pPr>
      <w:r>
        <w:fldChar w:fldCharType="begin"/>
      </w:r>
      <w:r>
        <w:instrText xml:space="preserve"> HYPERLINK \l "_Toc24878" </w:instrText>
      </w:r>
      <w:r>
        <w:fldChar w:fldCharType="separate"/>
      </w:r>
      <w:r>
        <w:rPr>
          <w:rFonts w:hint="eastAsia"/>
        </w:rPr>
        <w:t xml:space="preserve">2.1. </w:t>
      </w:r>
      <w:r>
        <w:t>缴纳社会保障资金的证明材料清单</w:t>
      </w:r>
      <w:r>
        <w:tab/>
      </w:r>
      <w:r>
        <w:fldChar w:fldCharType="begin"/>
      </w:r>
      <w:r>
        <w:instrText xml:space="preserve"> PAGEREF _Toc24878 \h </w:instrText>
      </w:r>
      <w:r>
        <w:fldChar w:fldCharType="separate"/>
      </w:r>
      <w:r>
        <w:t>7</w:t>
      </w:r>
      <w:r>
        <w:fldChar w:fldCharType="end"/>
      </w:r>
      <w:r>
        <w:fldChar w:fldCharType="end"/>
      </w:r>
    </w:p>
    <w:p>
      <w:pPr>
        <w:pStyle w:val="15"/>
        <w:tabs>
          <w:tab w:val="right" w:leader="hyphen" w:pos="9072"/>
        </w:tabs>
        <w:ind w:firstLine="420"/>
      </w:pPr>
      <w:r>
        <w:fldChar w:fldCharType="begin"/>
      </w:r>
      <w:r>
        <w:instrText xml:space="preserve"> HYPERLINK \l "_Toc109" </w:instrText>
      </w:r>
      <w:r>
        <w:fldChar w:fldCharType="separate"/>
      </w:r>
      <w:r>
        <w:rPr>
          <w:rFonts w:hint="eastAsia"/>
        </w:rPr>
        <w:t>2.2. 公司基本信息</w:t>
      </w:r>
      <w:r>
        <w:tab/>
      </w:r>
      <w:r>
        <w:fldChar w:fldCharType="begin"/>
      </w:r>
      <w:r>
        <w:instrText xml:space="preserve"> PAGEREF _Toc109 \h </w:instrText>
      </w:r>
      <w:r>
        <w:fldChar w:fldCharType="separate"/>
      </w:r>
      <w:r>
        <w:t>8</w:t>
      </w:r>
      <w:r>
        <w:fldChar w:fldCharType="end"/>
      </w:r>
      <w:r>
        <w:fldChar w:fldCharType="end"/>
      </w:r>
    </w:p>
    <w:p>
      <w:pPr>
        <w:pStyle w:val="15"/>
        <w:tabs>
          <w:tab w:val="right" w:leader="hyphen" w:pos="9072"/>
        </w:tabs>
        <w:ind w:firstLine="420"/>
      </w:pPr>
      <w:r>
        <w:fldChar w:fldCharType="begin"/>
      </w:r>
      <w:r>
        <w:instrText xml:space="preserve"> HYPERLINK \l "_Toc2445" </w:instrText>
      </w:r>
      <w:r>
        <w:fldChar w:fldCharType="separate"/>
      </w:r>
      <w:r>
        <w:rPr>
          <w:rFonts w:hint="eastAsia"/>
        </w:rPr>
        <w:t>2.3. 企业资格承诺函</w:t>
      </w:r>
      <w:r>
        <w:tab/>
      </w:r>
      <w:r>
        <w:fldChar w:fldCharType="begin"/>
      </w:r>
      <w:r>
        <w:instrText xml:space="preserve"> PAGEREF _Toc2445 \h </w:instrText>
      </w:r>
      <w:r>
        <w:fldChar w:fldCharType="separate"/>
      </w:r>
      <w:r>
        <w:t>10</w:t>
      </w:r>
      <w:r>
        <w:fldChar w:fldCharType="end"/>
      </w:r>
      <w:r>
        <w:fldChar w:fldCharType="end"/>
      </w:r>
    </w:p>
    <w:p>
      <w:pPr>
        <w:pStyle w:val="14"/>
        <w:tabs>
          <w:tab w:val="right" w:leader="hyphen" w:pos="9072"/>
        </w:tabs>
      </w:pPr>
      <w:r>
        <w:fldChar w:fldCharType="begin"/>
      </w:r>
      <w:r>
        <w:instrText xml:space="preserve"> HYPERLINK \l "_Toc1287" </w:instrText>
      </w:r>
      <w:r>
        <w:fldChar w:fldCharType="separate"/>
      </w:r>
      <w:r>
        <w:rPr>
          <w:rFonts w:hint="eastAsia"/>
        </w:rPr>
        <w:t>三、 法定代表人授权书</w:t>
      </w:r>
      <w:r>
        <w:tab/>
      </w:r>
      <w:r>
        <w:fldChar w:fldCharType="begin"/>
      </w:r>
      <w:r>
        <w:instrText xml:space="preserve"> PAGEREF _Toc1287 \h </w:instrText>
      </w:r>
      <w:r>
        <w:fldChar w:fldCharType="separate"/>
      </w:r>
      <w:r>
        <w:t>11</w:t>
      </w:r>
      <w:r>
        <w:fldChar w:fldCharType="end"/>
      </w:r>
      <w:r>
        <w:fldChar w:fldCharType="end"/>
      </w:r>
    </w:p>
    <w:p>
      <w:pPr>
        <w:pStyle w:val="14"/>
        <w:tabs>
          <w:tab w:val="right" w:leader="hyphen" w:pos="9072"/>
        </w:tabs>
      </w:pPr>
      <w:r>
        <w:fldChar w:fldCharType="begin"/>
      </w:r>
      <w:r>
        <w:instrText xml:space="preserve"> HYPERLINK \l "_Toc11192" </w:instrText>
      </w:r>
      <w:r>
        <w:fldChar w:fldCharType="separate"/>
      </w:r>
      <w:r>
        <w:rPr>
          <w:rFonts w:hint="eastAsia"/>
        </w:rPr>
        <w:t>四、 主要商务要求承诺书</w:t>
      </w:r>
      <w:r>
        <w:tab/>
      </w:r>
      <w:r>
        <w:fldChar w:fldCharType="begin"/>
      </w:r>
      <w:r>
        <w:instrText xml:space="preserve"> PAGEREF _Toc11192 \h </w:instrText>
      </w:r>
      <w:r>
        <w:fldChar w:fldCharType="separate"/>
      </w:r>
      <w:r>
        <w:t>12</w:t>
      </w:r>
      <w:r>
        <w:fldChar w:fldCharType="end"/>
      </w:r>
      <w:r>
        <w:fldChar w:fldCharType="end"/>
      </w:r>
    </w:p>
    <w:p>
      <w:pPr>
        <w:pStyle w:val="14"/>
        <w:tabs>
          <w:tab w:val="right" w:leader="hyphen" w:pos="9072"/>
        </w:tabs>
      </w:pPr>
      <w:r>
        <w:fldChar w:fldCharType="begin"/>
      </w:r>
      <w:r>
        <w:instrText xml:space="preserve"> HYPERLINK \l "_Toc4925" </w:instrText>
      </w:r>
      <w:r>
        <w:fldChar w:fldCharType="separate"/>
      </w:r>
      <w:r>
        <w:rPr>
          <w:rFonts w:hint="eastAsia"/>
        </w:rPr>
        <w:t>五、 技术偏离表</w:t>
      </w:r>
      <w:r>
        <w:tab/>
      </w:r>
      <w:r>
        <w:fldChar w:fldCharType="begin"/>
      </w:r>
      <w:r>
        <w:instrText xml:space="preserve"> PAGEREF _Toc4925 \h </w:instrText>
      </w:r>
      <w:r>
        <w:fldChar w:fldCharType="separate"/>
      </w:r>
      <w:r>
        <w:t>13</w:t>
      </w:r>
      <w:r>
        <w:fldChar w:fldCharType="end"/>
      </w:r>
      <w:r>
        <w:fldChar w:fldCharType="end"/>
      </w:r>
    </w:p>
    <w:p>
      <w:pPr>
        <w:pStyle w:val="14"/>
        <w:tabs>
          <w:tab w:val="right" w:leader="hyphen" w:pos="9072"/>
        </w:tabs>
      </w:pPr>
      <w:r>
        <w:fldChar w:fldCharType="begin"/>
      </w:r>
      <w:r>
        <w:instrText xml:space="preserve"> HYPERLINK \l "_Toc5393" </w:instrText>
      </w:r>
      <w:r>
        <w:fldChar w:fldCharType="separate"/>
      </w:r>
      <w:r>
        <w:rPr>
          <w:rFonts w:hint="eastAsia"/>
        </w:rPr>
        <w:t>六、 分项报价明细表</w:t>
      </w:r>
      <w:r>
        <w:tab/>
      </w:r>
      <w:r>
        <w:fldChar w:fldCharType="begin"/>
      </w:r>
      <w:r>
        <w:instrText xml:space="preserve"> PAGEREF _Toc5393 \h </w:instrText>
      </w:r>
      <w:r>
        <w:fldChar w:fldCharType="separate"/>
      </w:r>
      <w:r>
        <w:t>31</w:t>
      </w:r>
      <w:r>
        <w:fldChar w:fldCharType="end"/>
      </w:r>
      <w:r>
        <w:fldChar w:fldCharType="end"/>
      </w:r>
    </w:p>
    <w:p>
      <w:pPr>
        <w:pStyle w:val="14"/>
        <w:tabs>
          <w:tab w:val="right" w:leader="hyphen" w:pos="9072"/>
        </w:tabs>
      </w:pPr>
      <w:r>
        <w:fldChar w:fldCharType="begin"/>
      </w:r>
      <w:r>
        <w:instrText xml:space="preserve"> HYPERLINK \l "_Toc17624" </w:instrText>
      </w:r>
      <w:r>
        <w:fldChar w:fldCharType="separate"/>
      </w:r>
      <w:r>
        <w:rPr>
          <w:rFonts w:hint="eastAsia"/>
        </w:rPr>
        <w:t>七、 保证金</w:t>
      </w:r>
      <w:r>
        <w:tab/>
      </w:r>
      <w:r>
        <w:fldChar w:fldCharType="begin"/>
      </w:r>
      <w:r>
        <w:instrText xml:space="preserve"> PAGEREF _Toc17624 \h </w:instrText>
      </w:r>
      <w:r>
        <w:fldChar w:fldCharType="separate"/>
      </w:r>
      <w:r>
        <w:t>33</w:t>
      </w:r>
      <w:r>
        <w:fldChar w:fldCharType="end"/>
      </w:r>
      <w:r>
        <w:fldChar w:fldCharType="end"/>
      </w:r>
    </w:p>
    <w:p>
      <w:pPr>
        <w:pStyle w:val="14"/>
        <w:tabs>
          <w:tab w:val="right" w:leader="hyphen" w:pos="9072"/>
        </w:tabs>
      </w:pPr>
      <w:r>
        <w:fldChar w:fldCharType="begin"/>
      </w:r>
      <w:r>
        <w:instrText xml:space="preserve"> HYPERLINK \l "_Toc7379" </w:instrText>
      </w:r>
      <w:r>
        <w:fldChar w:fldCharType="separate"/>
      </w:r>
      <w:r>
        <w:rPr>
          <w:rFonts w:hint="eastAsia"/>
        </w:rPr>
        <w:t>八、 项目实施方案、质量保证及售后服务承诺等</w:t>
      </w:r>
      <w:r>
        <w:tab/>
      </w:r>
      <w:r>
        <w:fldChar w:fldCharType="begin"/>
      </w:r>
      <w:r>
        <w:instrText xml:space="preserve"> PAGEREF _Toc7379 \h </w:instrText>
      </w:r>
      <w:r>
        <w:fldChar w:fldCharType="separate"/>
      </w:r>
      <w:r>
        <w:t>34</w:t>
      </w:r>
      <w:r>
        <w:fldChar w:fldCharType="end"/>
      </w:r>
      <w:r>
        <w:fldChar w:fldCharType="end"/>
      </w:r>
    </w:p>
    <w:p>
      <w:pPr>
        <w:pStyle w:val="15"/>
        <w:tabs>
          <w:tab w:val="right" w:leader="hyphen" w:pos="9072"/>
        </w:tabs>
        <w:ind w:firstLine="420"/>
      </w:pPr>
      <w:r>
        <w:fldChar w:fldCharType="begin"/>
      </w:r>
      <w:r>
        <w:instrText xml:space="preserve"> HYPERLINK \l "_Toc30291" </w:instrText>
      </w:r>
      <w:r>
        <w:fldChar w:fldCharType="separate"/>
      </w:r>
      <w:r>
        <w:rPr>
          <w:rFonts w:hint="eastAsia"/>
        </w:rPr>
        <w:t>8.1. 项目实施方案</w:t>
      </w:r>
      <w:r>
        <w:tab/>
      </w:r>
      <w:r>
        <w:fldChar w:fldCharType="begin"/>
      </w:r>
      <w:r>
        <w:instrText xml:space="preserve"> PAGEREF _Toc30291 \h </w:instrText>
      </w:r>
      <w:r>
        <w:fldChar w:fldCharType="separate"/>
      </w:r>
      <w:r>
        <w:t>34</w:t>
      </w:r>
      <w:r>
        <w:fldChar w:fldCharType="end"/>
      </w:r>
      <w:r>
        <w:fldChar w:fldCharType="end"/>
      </w:r>
    </w:p>
    <w:p>
      <w:pPr>
        <w:pStyle w:val="10"/>
        <w:tabs>
          <w:tab w:val="right" w:leader="hyphen" w:pos="9072"/>
        </w:tabs>
        <w:ind w:firstLine="420"/>
      </w:pPr>
      <w:r>
        <w:fldChar w:fldCharType="begin"/>
      </w:r>
      <w:r>
        <w:instrText xml:space="preserve"> HYPERLINK \l "_Toc18761" </w:instrText>
      </w:r>
      <w:r>
        <w:fldChar w:fldCharType="separate"/>
      </w:r>
      <w:r>
        <w:rPr>
          <w:rFonts w:hint="eastAsia"/>
        </w:rPr>
        <w:t>8.1.1. 实施安装方案</w:t>
      </w:r>
      <w:r>
        <w:tab/>
      </w:r>
      <w:r>
        <w:fldChar w:fldCharType="begin"/>
      </w:r>
      <w:r>
        <w:instrText xml:space="preserve"> PAGEREF _Toc18761 \h </w:instrText>
      </w:r>
      <w:r>
        <w:fldChar w:fldCharType="separate"/>
      </w:r>
      <w:r>
        <w:t>34</w:t>
      </w:r>
      <w:r>
        <w:fldChar w:fldCharType="end"/>
      </w:r>
      <w:r>
        <w:fldChar w:fldCharType="end"/>
      </w:r>
    </w:p>
    <w:p>
      <w:pPr>
        <w:pStyle w:val="10"/>
        <w:tabs>
          <w:tab w:val="right" w:leader="hyphen" w:pos="9072"/>
        </w:tabs>
        <w:ind w:firstLine="420"/>
      </w:pPr>
      <w:r>
        <w:fldChar w:fldCharType="begin"/>
      </w:r>
      <w:r>
        <w:instrText xml:space="preserve"> HYPERLINK \l "_Toc19901" </w:instrText>
      </w:r>
      <w:r>
        <w:fldChar w:fldCharType="separate"/>
      </w:r>
      <w:r>
        <w:rPr>
          <w:rFonts w:hint="eastAsia"/>
        </w:rPr>
        <w:t>8.1.2. 质量保障方案</w:t>
      </w:r>
      <w:r>
        <w:tab/>
      </w:r>
      <w:r>
        <w:fldChar w:fldCharType="begin"/>
      </w:r>
      <w:r>
        <w:instrText xml:space="preserve"> PAGEREF _Toc19901 \h </w:instrText>
      </w:r>
      <w:r>
        <w:fldChar w:fldCharType="separate"/>
      </w:r>
      <w:r>
        <w:t>40</w:t>
      </w:r>
      <w:r>
        <w:fldChar w:fldCharType="end"/>
      </w:r>
      <w:r>
        <w:fldChar w:fldCharType="end"/>
      </w:r>
    </w:p>
    <w:p>
      <w:pPr>
        <w:pStyle w:val="10"/>
        <w:tabs>
          <w:tab w:val="right" w:leader="hyphen" w:pos="9072"/>
        </w:tabs>
        <w:ind w:firstLine="420"/>
      </w:pPr>
      <w:r>
        <w:fldChar w:fldCharType="begin"/>
      </w:r>
      <w:r>
        <w:instrText xml:space="preserve"> HYPERLINK \l "_Toc13644" </w:instrText>
      </w:r>
      <w:r>
        <w:fldChar w:fldCharType="separate"/>
      </w:r>
      <w:r>
        <w:rPr>
          <w:rFonts w:hint="eastAsia"/>
        </w:rPr>
        <w:t>8.1.3. 验收方案</w:t>
      </w:r>
      <w:r>
        <w:tab/>
      </w:r>
      <w:r>
        <w:fldChar w:fldCharType="begin"/>
      </w:r>
      <w:r>
        <w:instrText xml:space="preserve"> PAGEREF _Toc13644 \h </w:instrText>
      </w:r>
      <w:r>
        <w:fldChar w:fldCharType="separate"/>
      </w:r>
      <w:r>
        <w:t>47</w:t>
      </w:r>
      <w:r>
        <w:fldChar w:fldCharType="end"/>
      </w:r>
      <w:r>
        <w:fldChar w:fldCharType="end"/>
      </w:r>
    </w:p>
    <w:p>
      <w:pPr>
        <w:pStyle w:val="15"/>
        <w:tabs>
          <w:tab w:val="right" w:leader="hyphen" w:pos="9072"/>
        </w:tabs>
        <w:ind w:firstLine="420"/>
      </w:pPr>
      <w:r>
        <w:fldChar w:fldCharType="begin"/>
      </w:r>
      <w:r>
        <w:instrText xml:space="preserve"> HYPERLINK \l "_Toc6408" </w:instrText>
      </w:r>
      <w:r>
        <w:fldChar w:fldCharType="separate"/>
      </w:r>
      <w:r>
        <w:rPr>
          <w:rFonts w:hint="eastAsia"/>
        </w:rPr>
        <w:t>8.2. 项目服务方案</w:t>
      </w:r>
      <w:r>
        <w:tab/>
      </w:r>
      <w:r>
        <w:fldChar w:fldCharType="begin"/>
      </w:r>
      <w:r>
        <w:instrText xml:space="preserve"> PAGEREF _Toc6408 \h </w:instrText>
      </w:r>
      <w:r>
        <w:fldChar w:fldCharType="separate"/>
      </w:r>
      <w:r>
        <w:t>49</w:t>
      </w:r>
      <w:r>
        <w:fldChar w:fldCharType="end"/>
      </w:r>
      <w:r>
        <w:fldChar w:fldCharType="end"/>
      </w:r>
    </w:p>
    <w:p>
      <w:pPr>
        <w:pStyle w:val="10"/>
        <w:tabs>
          <w:tab w:val="right" w:leader="hyphen" w:pos="9072"/>
        </w:tabs>
        <w:ind w:firstLine="420"/>
      </w:pPr>
      <w:r>
        <w:fldChar w:fldCharType="begin"/>
      </w:r>
      <w:r>
        <w:instrText xml:space="preserve"> HYPERLINK \l "_Toc29446" </w:instrText>
      </w:r>
      <w:r>
        <w:fldChar w:fldCharType="separate"/>
      </w:r>
      <w:r>
        <w:rPr>
          <w:rFonts w:hint="eastAsia"/>
        </w:rPr>
        <w:t>8.2.1. 售后服务网点的设定</w:t>
      </w:r>
      <w:r>
        <w:tab/>
      </w:r>
      <w:r>
        <w:fldChar w:fldCharType="begin"/>
      </w:r>
      <w:r>
        <w:instrText xml:space="preserve"> PAGEREF _Toc29446 \h </w:instrText>
      </w:r>
      <w:r>
        <w:fldChar w:fldCharType="separate"/>
      </w:r>
      <w:r>
        <w:t>49</w:t>
      </w:r>
      <w:r>
        <w:fldChar w:fldCharType="end"/>
      </w:r>
      <w:r>
        <w:fldChar w:fldCharType="end"/>
      </w:r>
    </w:p>
    <w:p>
      <w:pPr>
        <w:pStyle w:val="10"/>
        <w:tabs>
          <w:tab w:val="right" w:leader="hyphen" w:pos="9072"/>
        </w:tabs>
        <w:ind w:firstLine="420"/>
      </w:pPr>
      <w:r>
        <w:fldChar w:fldCharType="begin"/>
      </w:r>
      <w:r>
        <w:instrText xml:space="preserve"> HYPERLINK \l "_Toc6187" </w:instrText>
      </w:r>
      <w:r>
        <w:fldChar w:fldCharType="separate"/>
      </w:r>
      <w:r>
        <w:rPr>
          <w:rFonts w:hint="eastAsia"/>
        </w:rPr>
        <w:t>8.2.2. 拟投入售后服务人员配置情况</w:t>
      </w:r>
      <w:r>
        <w:tab/>
      </w:r>
      <w:r>
        <w:fldChar w:fldCharType="begin"/>
      </w:r>
      <w:r>
        <w:instrText xml:space="preserve"> PAGEREF _Toc6187 \h </w:instrText>
      </w:r>
      <w:r>
        <w:fldChar w:fldCharType="separate"/>
      </w:r>
      <w:r>
        <w:t>51</w:t>
      </w:r>
      <w:r>
        <w:fldChar w:fldCharType="end"/>
      </w:r>
      <w:r>
        <w:fldChar w:fldCharType="end"/>
      </w:r>
    </w:p>
    <w:p>
      <w:pPr>
        <w:pStyle w:val="10"/>
        <w:tabs>
          <w:tab w:val="right" w:leader="hyphen" w:pos="9072"/>
        </w:tabs>
        <w:ind w:firstLine="420"/>
      </w:pPr>
      <w:r>
        <w:fldChar w:fldCharType="begin"/>
      </w:r>
      <w:r>
        <w:instrText xml:space="preserve"> HYPERLINK \l "_Toc1875" </w:instrText>
      </w:r>
      <w:r>
        <w:fldChar w:fldCharType="separate"/>
      </w:r>
      <w:r>
        <w:rPr>
          <w:rFonts w:hint="eastAsia"/>
        </w:rPr>
        <w:t>8.2.3. 日常维护</w:t>
      </w:r>
      <w:r>
        <w:tab/>
      </w:r>
      <w:r>
        <w:fldChar w:fldCharType="begin"/>
      </w:r>
      <w:r>
        <w:instrText xml:space="preserve"> PAGEREF _Toc1875 \h </w:instrText>
      </w:r>
      <w:r>
        <w:fldChar w:fldCharType="separate"/>
      </w:r>
      <w:r>
        <w:t>52</w:t>
      </w:r>
      <w:r>
        <w:fldChar w:fldCharType="end"/>
      </w:r>
      <w:r>
        <w:fldChar w:fldCharType="end"/>
      </w:r>
    </w:p>
    <w:p>
      <w:pPr>
        <w:pStyle w:val="10"/>
        <w:tabs>
          <w:tab w:val="right" w:leader="hyphen" w:pos="9072"/>
        </w:tabs>
        <w:ind w:firstLine="420"/>
      </w:pPr>
      <w:r>
        <w:fldChar w:fldCharType="begin"/>
      </w:r>
      <w:r>
        <w:instrText xml:space="preserve"> HYPERLINK \l "_Toc30273" </w:instrText>
      </w:r>
      <w:r>
        <w:fldChar w:fldCharType="separate"/>
      </w:r>
      <w:r>
        <w:rPr>
          <w:rFonts w:hint="eastAsia"/>
        </w:rPr>
        <w:t>8.2.4. 项目交付用户后出现故障响应时间及措施</w:t>
      </w:r>
      <w:r>
        <w:tab/>
      </w:r>
      <w:r>
        <w:fldChar w:fldCharType="begin"/>
      </w:r>
      <w:r>
        <w:instrText xml:space="preserve"> PAGEREF _Toc30273 \h </w:instrText>
      </w:r>
      <w:r>
        <w:fldChar w:fldCharType="separate"/>
      </w:r>
      <w:r>
        <w:t>54</w:t>
      </w:r>
      <w:r>
        <w:fldChar w:fldCharType="end"/>
      </w:r>
      <w:r>
        <w:fldChar w:fldCharType="end"/>
      </w:r>
    </w:p>
    <w:p>
      <w:pPr>
        <w:pStyle w:val="10"/>
        <w:tabs>
          <w:tab w:val="right" w:leader="hyphen" w:pos="9072"/>
        </w:tabs>
        <w:ind w:firstLine="420"/>
      </w:pPr>
      <w:r>
        <w:fldChar w:fldCharType="begin"/>
      </w:r>
      <w:r>
        <w:instrText xml:space="preserve"> HYPERLINK \l "_Toc11186" </w:instrText>
      </w:r>
      <w:r>
        <w:fldChar w:fldCharType="separate"/>
      </w:r>
      <w:r>
        <w:rPr>
          <w:rFonts w:hint="eastAsia"/>
        </w:rPr>
        <w:t>8.2.5. 备品备件计划</w:t>
      </w:r>
      <w:r>
        <w:tab/>
      </w:r>
      <w:r>
        <w:fldChar w:fldCharType="begin"/>
      </w:r>
      <w:r>
        <w:instrText xml:space="preserve"> PAGEREF _Toc11186 \h </w:instrText>
      </w:r>
      <w:r>
        <w:fldChar w:fldCharType="separate"/>
      </w:r>
      <w:r>
        <w:t>56</w:t>
      </w:r>
      <w:r>
        <w:fldChar w:fldCharType="end"/>
      </w:r>
      <w:r>
        <w:fldChar w:fldCharType="end"/>
      </w:r>
    </w:p>
    <w:p>
      <w:pPr>
        <w:pStyle w:val="10"/>
        <w:tabs>
          <w:tab w:val="right" w:leader="hyphen" w:pos="9072"/>
        </w:tabs>
        <w:ind w:firstLine="420"/>
      </w:pPr>
      <w:r>
        <w:fldChar w:fldCharType="begin"/>
      </w:r>
      <w:r>
        <w:instrText xml:space="preserve"> HYPERLINK \l "_Toc7777" </w:instrText>
      </w:r>
      <w:r>
        <w:fldChar w:fldCharType="separate"/>
      </w:r>
      <w:r>
        <w:rPr>
          <w:rFonts w:hint="eastAsia"/>
        </w:rPr>
        <w:t>8.2.6. 质量保证范围</w:t>
      </w:r>
      <w:r>
        <w:tab/>
      </w:r>
      <w:r>
        <w:fldChar w:fldCharType="begin"/>
      </w:r>
      <w:r>
        <w:instrText xml:space="preserve"> PAGEREF _Toc7777 \h </w:instrText>
      </w:r>
      <w:r>
        <w:fldChar w:fldCharType="separate"/>
      </w:r>
      <w:r>
        <w:t>56</w:t>
      </w:r>
      <w:r>
        <w:fldChar w:fldCharType="end"/>
      </w:r>
      <w:r>
        <w:fldChar w:fldCharType="end"/>
      </w:r>
    </w:p>
    <w:p>
      <w:pPr>
        <w:pStyle w:val="15"/>
        <w:tabs>
          <w:tab w:val="right" w:leader="hyphen" w:pos="9072"/>
        </w:tabs>
        <w:ind w:firstLine="420"/>
      </w:pPr>
      <w:r>
        <w:fldChar w:fldCharType="begin"/>
      </w:r>
      <w:r>
        <w:instrText xml:space="preserve"> HYPERLINK \l "_Toc68" </w:instrText>
      </w:r>
      <w:r>
        <w:fldChar w:fldCharType="separate"/>
      </w:r>
      <w:r>
        <w:rPr>
          <w:rFonts w:hint="eastAsia"/>
        </w:rPr>
        <w:t>8.3. 培训方案：</w:t>
      </w:r>
      <w:r>
        <w:tab/>
      </w:r>
      <w:r>
        <w:fldChar w:fldCharType="begin"/>
      </w:r>
      <w:r>
        <w:instrText xml:space="preserve"> PAGEREF _Toc68 \h </w:instrText>
      </w:r>
      <w:r>
        <w:fldChar w:fldCharType="separate"/>
      </w:r>
      <w:r>
        <w:t>58</w:t>
      </w:r>
      <w:r>
        <w:fldChar w:fldCharType="end"/>
      </w:r>
      <w:r>
        <w:fldChar w:fldCharType="end"/>
      </w:r>
    </w:p>
    <w:p>
      <w:pPr>
        <w:pStyle w:val="10"/>
        <w:tabs>
          <w:tab w:val="right" w:leader="hyphen" w:pos="9072"/>
        </w:tabs>
        <w:ind w:firstLine="420"/>
      </w:pPr>
      <w:r>
        <w:fldChar w:fldCharType="begin"/>
      </w:r>
      <w:r>
        <w:instrText xml:space="preserve"> HYPERLINK \l "_Toc5113" </w:instrText>
      </w:r>
      <w:r>
        <w:fldChar w:fldCharType="separate"/>
      </w:r>
      <w:r>
        <w:rPr>
          <w:rFonts w:hint="eastAsia"/>
        </w:rPr>
        <w:t>8.3.1. 培训计划</w:t>
      </w:r>
      <w:r>
        <w:tab/>
      </w:r>
      <w:r>
        <w:fldChar w:fldCharType="begin"/>
      </w:r>
      <w:r>
        <w:instrText xml:space="preserve"> PAGEREF _Toc5113 \h </w:instrText>
      </w:r>
      <w:r>
        <w:fldChar w:fldCharType="separate"/>
      </w:r>
      <w:r>
        <w:t>58</w:t>
      </w:r>
      <w:r>
        <w:fldChar w:fldCharType="end"/>
      </w:r>
      <w:r>
        <w:fldChar w:fldCharType="end"/>
      </w:r>
    </w:p>
    <w:p>
      <w:pPr>
        <w:pStyle w:val="10"/>
        <w:tabs>
          <w:tab w:val="right" w:leader="hyphen" w:pos="9072"/>
        </w:tabs>
        <w:ind w:firstLine="420"/>
      </w:pPr>
      <w:r>
        <w:fldChar w:fldCharType="begin"/>
      </w:r>
      <w:r>
        <w:instrText xml:space="preserve"> HYPERLINK \l "_Toc14123" </w:instrText>
      </w:r>
      <w:r>
        <w:fldChar w:fldCharType="separate"/>
      </w:r>
      <w:r>
        <w:rPr>
          <w:rFonts w:hint="eastAsia"/>
        </w:rPr>
        <w:t>8.3.2. 培训方式</w:t>
      </w:r>
      <w:r>
        <w:tab/>
      </w:r>
      <w:r>
        <w:fldChar w:fldCharType="begin"/>
      </w:r>
      <w:r>
        <w:instrText xml:space="preserve"> PAGEREF _Toc14123 \h </w:instrText>
      </w:r>
      <w:r>
        <w:fldChar w:fldCharType="separate"/>
      </w:r>
      <w:r>
        <w:t>59</w:t>
      </w:r>
      <w:r>
        <w:fldChar w:fldCharType="end"/>
      </w:r>
      <w:r>
        <w:fldChar w:fldCharType="end"/>
      </w:r>
    </w:p>
    <w:p>
      <w:pPr>
        <w:pStyle w:val="10"/>
        <w:tabs>
          <w:tab w:val="right" w:leader="hyphen" w:pos="9072"/>
        </w:tabs>
        <w:ind w:firstLine="420"/>
      </w:pPr>
      <w:r>
        <w:fldChar w:fldCharType="begin"/>
      </w:r>
      <w:r>
        <w:instrText xml:space="preserve"> HYPERLINK \l "_Toc21331" </w:instrText>
      </w:r>
      <w:r>
        <w:fldChar w:fldCharType="separate"/>
      </w:r>
      <w:r>
        <w:rPr>
          <w:rFonts w:hint="eastAsia"/>
        </w:rPr>
        <w:t>8.3.3. 培训内容</w:t>
      </w:r>
      <w:r>
        <w:tab/>
      </w:r>
      <w:r>
        <w:fldChar w:fldCharType="begin"/>
      </w:r>
      <w:r>
        <w:instrText xml:space="preserve"> PAGEREF _Toc21331 \h </w:instrText>
      </w:r>
      <w:r>
        <w:fldChar w:fldCharType="separate"/>
      </w:r>
      <w:r>
        <w:t>59</w:t>
      </w:r>
      <w:r>
        <w:fldChar w:fldCharType="end"/>
      </w:r>
      <w:r>
        <w:fldChar w:fldCharType="end"/>
      </w:r>
    </w:p>
    <w:p>
      <w:pPr>
        <w:pStyle w:val="10"/>
        <w:tabs>
          <w:tab w:val="right" w:leader="hyphen" w:pos="9072"/>
        </w:tabs>
        <w:ind w:firstLine="420"/>
      </w:pPr>
      <w:r>
        <w:fldChar w:fldCharType="begin"/>
      </w:r>
      <w:r>
        <w:instrText xml:space="preserve"> HYPERLINK \l "_Toc19345" </w:instrText>
      </w:r>
      <w:r>
        <w:fldChar w:fldCharType="separate"/>
      </w:r>
      <w:r>
        <w:rPr>
          <w:rFonts w:hint="eastAsia"/>
        </w:rPr>
        <w:t>8.3.4. 培训目标</w:t>
      </w:r>
      <w:r>
        <w:tab/>
      </w:r>
      <w:r>
        <w:fldChar w:fldCharType="begin"/>
      </w:r>
      <w:r>
        <w:instrText xml:space="preserve"> PAGEREF _Toc19345 \h </w:instrText>
      </w:r>
      <w:r>
        <w:fldChar w:fldCharType="separate"/>
      </w:r>
      <w:r>
        <w:t>63</w:t>
      </w:r>
      <w:r>
        <w:fldChar w:fldCharType="end"/>
      </w:r>
      <w:r>
        <w:fldChar w:fldCharType="end"/>
      </w:r>
    </w:p>
    <w:p>
      <w:pPr>
        <w:pStyle w:val="14"/>
        <w:tabs>
          <w:tab w:val="right" w:leader="hyphen" w:pos="9072"/>
        </w:tabs>
      </w:pPr>
      <w:r>
        <w:fldChar w:fldCharType="begin"/>
      </w:r>
      <w:r>
        <w:instrText xml:space="preserve"> HYPERLINK \l "_Toc8938" </w:instrText>
      </w:r>
      <w:r>
        <w:fldChar w:fldCharType="separate"/>
      </w:r>
      <w:r>
        <w:rPr>
          <w:rFonts w:hint="eastAsia"/>
        </w:rPr>
        <w:t>九、 项目组成人员一览表</w:t>
      </w:r>
      <w:r>
        <w:tab/>
      </w:r>
      <w:r>
        <w:fldChar w:fldCharType="begin"/>
      </w:r>
      <w:r>
        <w:instrText xml:space="preserve"> PAGEREF _Toc8938 \h </w:instrText>
      </w:r>
      <w:r>
        <w:fldChar w:fldCharType="separate"/>
      </w:r>
      <w:r>
        <w:t>64</w:t>
      </w:r>
      <w:r>
        <w:fldChar w:fldCharType="end"/>
      </w:r>
      <w:r>
        <w:fldChar w:fldCharType="end"/>
      </w:r>
    </w:p>
    <w:p>
      <w:pPr>
        <w:pStyle w:val="14"/>
        <w:tabs>
          <w:tab w:val="right" w:leader="hyphen" w:pos="9072"/>
        </w:tabs>
      </w:pPr>
      <w:r>
        <w:fldChar w:fldCharType="begin"/>
      </w:r>
      <w:r>
        <w:instrText xml:space="preserve"> HYPERLINK \l "_Toc10768" </w:instrText>
      </w:r>
      <w:r>
        <w:fldChar w:fldCharType="separate"/>
      </w:r>
      <w:r>
        <w:rPr>
          <w:rFonts w:hint="eastAsia"/>
        </w:rPr>
        <w:t>十、 供应商业绩情况表</w:t>
      </w:r>
      <w:r>
        <w:tab/>
      </w:r>
      <w:r>
        <w:fldChar w:fldCharType="begin"/>
      </w:r>
      <w:r>
        <w:instrText xml:space="preserve"> PAGEREF _Toc10768 \h </w:instrText>
      </w:r>
      <w:r>
        <w:fldChar w:fldCharType="separate"/>
      </w:r>
      <w:r>
        <w:t>65</w:t>
      </w:r>
      <w:r>
        <w:fldChar w:fldCharType="end"/>
      </w:r>
      <w:r>
        <w:fldChar w:fldCharType="end"/>
      </w:r>
    </w:p>
    <w:p>
      <w:pPr>
        <w:pStyle w:val="15"/>
        <w:tabs>
          <w:tab w:val="right" w:leader="hyphen" w:pos="9072"/>
        </w:tabs>
        <w:ind w:firstLine="420"/>
      </w:pPr>
      <w:r>
        <w:fldChar w:fldCharType="begin"/>
      </w:r>
      <w:r>
        <w:instrText xml:space="preserve"> HYPERLINK \l "_Toc17592" </w:instrText>
      </w:r>
      <w:r>
        <w:fldChar w:fldCharType="separate"/>
      </w:r>
      <w:r>
        <w:rPr>
          <w:rFonts w:hint="eastAsia"/>
        </w:rPr>
        <w:t>10.1. 软件采购合同</w:t>
      </w:r>
      <w:r>
        <w:tab/>
      </w:r>
      <w:r>
        <w:fldChar w:fldCharType="begin"/>
      </w:r>
      <w:r>
        <w:instrText xml:space="preserve"> PAGEREF _Toc17592 \h </w:instrText>
      </w:r>
      <w:r>
        <w:fldChar w:fldCharType="separate"/>
      </w:r>
      <w:r>
        <w:t>66</w:t>
      </w:r>
      <w:r>
        <w:fldChar w:fldCharType="end"/>
      </w:r>
      <w:r>
        <w:fldChar w:fldCharType="end"/>
      </w:r>
    </w:p>
    <w:p>
      <w:pPr>
        <w:pStyle w:val="15"/>
        <w:tabs>
          <w:tab w:val="right" w:leader="hyphen" w:pos="9072"/>
        </w:tabs>
        <w:ind w:firstLine="420"/>
      </w:pPr>
      <w:r>
        <w:fldChar w:fldCharType="begin"/>
      </w:r>
      <w:r>
        <w:instrText xml:space="preserve"> HYPERLINK \l "_Toc7524" </w:instrText>
      </w:r>
      <w:r>
        <w:fldChar w:fldCharType="separate"/>
      </w:r>
      <w:r>
        <w:rPr>
          <w:rFonts w:hint="eastAsia"/>
        </w:rPr>
        <w:t>10.2. 销售合同</w:t>
      </w:r>
      <w:r>
        <w:tab/>
      </w:r>
      <w:r>
        <w:fldChar w:fldCharType="begin"/>
      </w:r>
      <w:r>
        <w:instrText xml:space="preserve"> PAGEREF _Toc7524 \h </w:instrText>
      </w:r>
      <w:r>
        <w:fldChar w:fldCharType="separate"/>
      </w:r>
      <w:r>
        <w:t>73</w:t>
      </w:r>
      <w:r>
        <w:fldChar w:fldCharType="end"/>
      </w:r>
      <w:r>
        <w:fldChar w:fldCharType="end"/>
      </w:r>
    </w:p>
    <w:p>
      <w:pPr>
        <w:pStyle w:val="14"/>
        <w:tabs>
          <w:tab w:val="right" w:leader="hyphen" w:pos="9072"/>
        </w:tabs>
      </w:pPr>
      <w:r>
        <w:fldChar w:fldCharType="begin"/>
      </w:r>
      <w:r>
        <w:instrText xml:space="preserve"> HYPERLINK \l "_Toc11942" </w:instrText>
      </w:r>
      <w:r>
        <w:fldChar w:fldCharType="separate"/>
      </w:r>
      <w:r>
        <w:rPr>
          <w:rFonts w:hint="eastAsia"/>
        </w:rPr>
        <w:t>十一、 各类证明材料</w:t>
      </w:r>
      <w:r>
        <w:tab/>
      </w:r>
      <w:r>
        <w:fldChar w:fldCharType="begin"/>
      </w:r>
      <w:r>
        <w:instrText xml:space="preserve"> PAGEREF _Toc11942 \h </w:instrText>
      </w:r>
      <w:r>
        <w:fldChar w:fldCharType="separate"/>
      </w:r>
      <w:r>
        <w:t>78</w:t>
      </w:r>
      <w:r>
        <w:fldChar w:fldCharType="end"/>
      </w:r>
      <w:r>
        <w:fldChar w:fldCharType="end"/>
      </w:r>
    </w:p>
    <w:p>
      <w:pPr>
        <w:pStyle w:val="15"/>
        <w:tabs>
          <w:tab w:val="right" w:leader="hyphen" w:pos="9072"/>
        </w:tabs>
        <w:ind w:firstLine="420"/>
      </w:pPr>
      <w:r>
        <w:fldChar w:fldCharType="begin"/>
      </w:r>
      <w:r>
        <w:instrText xml:space="preserve"> HYPERLINK \l "_Toc10625" </w:instrText>
      </w:r>
      <w:r>
        <w:fldChar w:fldCharType="separate"/>
      </w:r>
      <w:r>
        <w:rPr>
          <w:rFonts w:hint="eastAsia"/>
        </w:rPr>
        <w:t>11.1. 磋商文件要求提供的其他资料</w:t>
      </w:r>
      <w:r>
        <w:tab/>
      </w:r>
      <w:r>
        <w:fldChar w:fldCharType="begin"/>
      </w:r>
      <w:r>
        <w:instrText xml:space="preserve"> PAGEREF _Toc10625 \h </w:instrText>
      </w:r>
      <w:r>
        <w:fldChar w:fldCharType="separate"/>
      </w:r>
      <w:r>
        <w:t>78</w:t>
      </w:r>
      <w:r>
        <w:fldChar w:fldCharType="end"/>
      </w:r>
      <w:r>
        <w:fldChar w:fldCharType="end"/>
      </w:r>
    </w:p>
    <w:p>
      <w:pPr>
        <w:pStyle w:val="10"/>
        <w:tabs>
          <w:tab w:val="right" w:leader="hyphen" w:pos="9072"/>
        </w:tabs>
        <w:ind w:firstLine="420"/>
      </w:pPr>
      <w:r>
        <w:fldChar w:fldCharType="begin"/>
      </w:r>
      <w:r>
        <w:instrText xml:space="preserve"> HYPERLINK \l "_Toc27583" </w:instrText>
      </w:r>
      <w:r>
        <w:fldChar w:fldCharType="separate"/>
      </w:r>
      <w:r>
        <w:rPr>
          <w:rFonts w:hint="eastAsia"/>
        </w:rPr>
        <w:t>11.1.1. ★17.刷新率：≥4200Hz；【提供此功能的证明资料】</w:t>
      </w:r>
      <w:r>
        <w:tab/>
      </w:r>
      <w:r>
        <w:fldChar w:fldCharType="begin"/>
      </w:r>
      <w:r>
        <w:instrText xml:space="preserve"> PAGEREF _Toc27583 \h </w:instrText>
      </w:r>
      <w:r>
        <w:fldChar w:fldCharType="separate"/>
      </w:r>
      <w:r>
        <w:t>78</w:t>
      </w:r>
      <w:r>
        <w:fldChar w:fldCharType="end"/>
      </w:r>
      <w:r>
        <w:fldChar w:fldCharType="end"/>
      </w:r>
    </w:p>
    <w:p>
      <w:pPr>
        <w:pStyle w:val="10"/>
        <w:tabs>
          <w:tab w:val="right" w:leader="hyphen" w:pos="9072"/>
        </w:tabs>
        <w:ind w:firstLine="420"/>
      </w:pPr>
      <w:r>
        <w:fldChar w:fldCharType="begin"/>
      </w:r>
      <w:r>
        <w:instrText xml:space="preserve"> HYPERLINK \l "_Toc4230" </w:instrText>
      </w:r>
      <w:r>
        <w:fldChar w:fldCharType="separate"/>
      </w:r>
      <w:r>
        <w:rPr>
          <w:rFonts w:hint="eastAsia"/>
        </w:rPr>
        <w:t>11.1.2. ★4.支持不少于1路DP1.4、1路HDMI2.0输入；</w:t>
      </w:r>
      <w:r>
        <w:tab/>
      </w:r>
      <w:r>
        <w:fldChar w:fldCharType="begin"/>
      </w:r>
      <w:r>
        <w:instrText xml:space="preserve"> PAGEREF _Toc4230 \h </w:instrText>
      </w:r>
      <w:r>
        <w:fldChar w:fldCharType="separate"/>
      </w:r>
      <w:r>
        <w:t>81</w:t>
      </w:r>
      <w:r>
        <w:fldChar w:fldCharType="end"/>
      </w:r>
      <w:r>
        <w:fldChar w:fldCharType="end"/>
      </w:r>
    </w:p>
    <w:p>
      <w:pPr>
        <w:pStyle w:val="10"/>
        <w:tabs>
          <w:tab w:val="right" w:leader="hyphen" w:pos="9072"/>
        </w:tabs>
        <w:ind w:firstLine="420"/>
      </w:pPr>
      <w:r>
        <w:fldChar w:fldCharType="begin"/>
      </w:r>
      <w:r>
        <w:instrText xml:space="preserve"> HYPERLINK \l "_Toc5090" </w:instrText>
      </w:r>
      <w:r>
        <w:fldChar w:fldCharType="separate"/>
      </w:r>
      <w:r>
        <w:rPr>
          <w:rFonts w:hint="eastAsia"/>
        </w:rPr>
        <w:t>11.1.3. ★2.相机最高分辨率：≥1280×1024，最高分辨率（1280*1024）下的数据输出最高帧率≥210帧；【提供此功能的证明资料】</w:t>
      </w:r>
      <w:r>
        <w:tab/>
      </w:r>
      <w:r>
        <w:fldChar w:fldCharType="begin"/>
      </w:r>
      <w:r>
        <w:instrText xml:space="preserve"> PAGEREF _Toc5090 \h </w:instrText>
      </w:r>
      <w:r>
        <w:fldChar w:fldCharType="separate"/>
      </w:r>
      <w:r>
        <w:t>84</w:t>
      </w:r>
      <w:r>
        <w:fldChar w:fldCharType="end"/>
      </w:r>
      <w:r>
        <w:fldChar w:fldCharType="end"/>
      </w:r>
    </w:p>
    <w:p>
      <w:pPr>
        <w:pStyle w:val="10"/>
        <w:tabs>
          <w:tab w:val="right" w:leader="hyphen" w:pos="9072"/>
        </w:tabs>
        <w:ind w:firstLine="420"/>
      </w:pPr>
      <w:r>
        <w:fldChar w:fldCharType="begin"/>
      </w:r>
      <w:r>
        <w:instrText xml:space="preserve"> HYPERLINK \l "_Toc30205" </w:instrText>
      </w:r>
      <w:r>
        <w:fldChar w:fldCharType="separate"/>
      </w:r>
      <w:r>
        <w:rPr>
          <w:rFonts w:hint="eastAsia"/>
        </w:rPr>
        <w:t xml:space="preserve">11.1.4. </w:t>
      </w:r>
      <w:r>
        <w:t>9.</w:t>
      </w:r>
      <w:r>
        <w:rPr>
          <w:rFonts w:hint="eastAsia"/>
        </w:rPr>
        <w:t>拼接缝：</w:t>
      </w:r>
      <w:r>
        <w:t>≤0.03mm</w:t>
      </w:r>
      <w:r>
        <w:rPr>
          <w:rFonts w:hint="eastAsia"/>
        </w:rPr>
        <w:t>；【提供此功能的证明资料】</w:t>
      </w:r>
      <w:r>
        <w:tab/>
      </w:r>
      <w:r>
        <w:fldChar w:fldCharType="begin"/>
      </w:r>
      <w:r>
        <w:instrText xml:space="preserve"> PAGEREF _Toc30205 \h </w:instrText>
      </w:r>
      <w:r>
        <w:fldChar w:fldCharType="separate"/>
      </w:r>
      <w:r>
        <w:t>87</w:t>
      </w:r>
      <w:r>
        <w:fldChar w:fldCharType="end"/>
      </w:r>
      <w:r>
        <w:fldChar w:fldCharType="end"/>
      </w:r>
    </w:p>
    <w:p>
      <w:pPr>
        <w:pStyle w:val="10"/>
        <w:tabs>
          <w:tab w:val="right" w:leader="hyphen" w:pos="9072"/>
        </w:tabs>
        <w:ind w:firstLine="420"/>
      </w:pPr>
      <w:r>
        <w:fldChar w:fldCharType="begin"/>
      </w:r>
      <w:r>
        <w:instrText xml:space="preserve"> HYPERLINK \l "_Toc7039" </w:instrText>
      </w:r>
      <w:r>
        <w:fldChar w:fldCharType="separate"/>
      </w:r>
      <w:r>
        <w:rPr>
          <w:rFonts w:hint="eastAsia"/>
        </w:rPr>
        <w:t xml:space="preserve">11.1.5. </w:t>
      </w:r>
      <w:r>
        <w:t>16.</w:t>
      </w:r>
      <w:r>
        <w:rPr>
          <w:rFonts w:hint="eastAsia"/>
        </w:rPr>
        <w:t>对比度：</w:t>
      </w:r>
      <w:r>
        <w:t>≥9000</w:t>
      </w:r>
      <w:r>
        <w:rPr>
          <w:rFonts w:hint="eastAsia"/>
        </w:rPr>
        <w:t>：</w:t>
      </w:r>
      <w:r>
        <w:t>1</w:t>
      </w:r>
      <w:r>
        <w:rPr>
          <w:rFonts w:hint="eastAsia"/>
        </w:rPr>
        <w:t>；【提供此功能的证明资料】</w:t>
      </w:r>
      <w:r>
        <w:tab/>
      </w:r>
      <w:r>
        <w:fldChar w:fldCharType="begin"/>
      </w:r>
      <w:r>
        <w:instrText xml:space="preserve"> PAGEREF _Toc7039 \h </w:instrText>
      </w:r>
      <w:r>
        <w:fldChar w:fldCharType="separate"/>
      </w:r>
      <w:r>
        <w:t>88</w:t>
      </w:r>
      <w:r>
        <w:fldChar w:fldCharType="end"/>
      </w:r>
      <w:r>
        <w:fldChar w:fldCharType="end"/>
      </w:r>
    </w:p>
    <w:p>
      <w:pPr>
        <w:pStyle w:val="10"/>
        <w:tabs>
          <w:tab w:val="right" w:leader="hyphen" w:pos="9072"/>
        </w:tabs>
        <w:ind w:firstLine="420"/>
      </w:pPr>
      <w:r>
        <w:fldChar w:fldCharType="begin"/>
      </w:r>
      <w:r>
        <w:instrText xml:space="preserve"> HYPERLINK \l "_Toc12565" </w:instrText>
      </w:r>
      <w:r>
        <w:fldChar w:fldCharType="separate"/>
      </w:r>
      <w:r>
        <w:rPr>
          <w:rFonts w:hint="eastAsia"/>
        </w:rPr>
        <w:t xml:space="preserve">11.1.6. </w:t>
      </w:r>
      <w:r>
        <w:t>43.</w:t>
      </w:r>
      <w:r>
        <w:rPr>
          <w:rFonts w:hint="eastAsia"/>
        </w:rPr>
        <w:t>防护性能：具有防静电、防电磁干扰、防腐蚀、防霉菌、防虫、防潮、抗震动、抗雷击等功能；具有电源过压、过流、断电保护、分布上电措施、防护等级达到</w:t>
      </w:r>
      <w:r>
        <w:t>IP60</w:t>
      </w:r>
      <w:r>
        <w:rPr>
          <w:rFonts w:hint="eastAsia"/>
        </w:rPr>
        <w:t>；【提供此功能的证明资料】</w:t>
      </w:r>
      <w:r>
        <w:tab/>
      </w:r>
      <w:r>
        <w:fldChar w:fldCharType="begin"/>
      </w:r>
      <w:r>
        <w:instrText xml:space="preserve"> PAGEREF _Toc12565 \h </w:instrText>
      </w:r>
      <w:r>
        <w:fldChar w:fldCharType="separate"/>
      </w:r>
      <w:r>
        <w:t>89</w:t>
      </w:r>
      <w:r>
        <w:fldChar w:fldCharType="end"/>
      </w:r>
      <w:r>
        <w:fldChar w:fldCharType="end"/>
      </w:r>
    </w:p>
    <w:p>
      <w:pPr>
        <w:pStyle w:val="10"/>
        <w:tabs>
          <w:tab w:val="right" w:leader="hyphen" w:pos="9072"/>
        </w:tabs>
        <w:ind w:firstLine="420"/>
      </w:pPr>
      <w:r>
        <w:fldChar w:fldCharType="begin"/>
      </w:r>
      <w:r>
        <w:instrText xml:space="preserve"> HYPERLINK \l "_Toc5235" </w:instrText>
      </w:r>
      <w:r>
        <w:fldChar w:fldCharType="separate"/>
      </w:r>
      <w:r>
        <w:rPr>
          <w:rFonts w:hint="eastAsia"/>
        </w:rPr>
        <w:t xml:space="preserve">11.1.7. </w:t>
      </w:r>
      <w:r>
        <w:t>46.</w:t>
      </w:r>
      <w:r>
        <w:rPr>
          <w:rFonts w:hint="eastAsia"/>
        </w:rPr>
        <w:t>平均无故障时间：</w:t>
      </w:r>
      <w:r>
        <w:t>MTBF</w:t>
      </w:r>
      <w:r>
        <w:rPr>
          <w:rFonts w:hint="eastAsia"/>
        </w:rPr>
        <w:t>平均无故障时间</w:t>
      </w:r>
      <w:r>
        <w:t>≥20000h</w:t>
      </w:r>
      <w:r>
        <w:rPr>
          <w:rFonts w:hint="eastAsia"/>
        </w:rPr>
        <w:t>；</w:t>
      </w:r>
      <w:r>
        <w:t>MTTR</w:t>
      </w:r>
      <w:r>
        <w:rPr>
          <w:rFonts w:hint="eastAsia"/>
        </w:rPr>
        <w:t>平均修复时间</w:t>
      </w:r>
      <w:r>
        <w:t>≤4</w:t>
      </w:r>
      <w:r>
        <w:rPr>
          <w:rFonts w:hint="eastAsia"/>
        </w:rPr>
        <w:t>分钟；【提供此功能的证明资料】</w:t>
      </w:r>
      <w:r>
        <w:tab/>
      </w:r>
      <w:r>
        <w:fldChar w:fldCharType="begin"/>
      </w:r>
      <w:r>
        <w:instrText xml:space="preserve"> PAGEREF _Toc5235 \h </w:instrText>
      </w:r>
      <w:r>
        <w:fldChar w:fldCharType="separate"/>
      </w:r>
      <w:r>
        <w:t>92</w:t>
      </w:r>
      <w:r>
        <w:fldChar w:fldCharType="end"/>
      </w:r>
      <w:r>
        <w:fldChar w:fldCharType="end"/>
      </w:r>
    </w:p>
    <w:p>
      <w:pPr>
        <w:pStyle w:val="10"/>
        <w:tabs>
          <w:tab w:val="right" w:leader="hyphen" w:pos="9072"/>
        </w:tabs>
        <w:ind w:firstLine="420"/>
      </w:pPr>
      <w:r>
        <w:fldChar w:fldCharType="begin"/>
      </w:r>
      <w:r>
        <w:instrText xml:space="preserve"> HYPERLINK \l "_Toc6826" </w:instrText>
      </w:r>
      <w:r>
        <w:fldChar w:fldCharType="separate"/>
      </w:r>
      <w:r>
        <w:rPr>
          <w:rFonts w:hint="eastAsia"/>
        </w:rPr>
        <w:t xml:space="preserve">11.1.8. </w:t>
      </w:r>
      <w:r>
        <w:t>50.</w:t>
      </w:r>
      <w:r>
        <w:rPr>
          <w:rFonts w:hint="eastAsia"/>
        </w:rPr>
        <w:t>光生物安全检测：无危害类：</w:t>
      </w:r>
      <w:r>
        <w:t>8h</w:t>
      </w:r>
      <w:r>
        <w:rPr>
          <w:rFonts w:hint="eastAsia"/>
        </w:rPr>
        <w:t>（</w:t>
      </w:r>
      <w:r>
        <w:t>30000s</w:t>
      </w:r>
      <w:r>
        <w:rPr>
          <w:rFonts w:hint="eastAsia"/>
        </w:rPr>
        <w:t>）曝辐中不造成光化学紫外危害（</w:t>
      </w:r>
      <w:r>
        <w:t>ES</w:t>
      </w:r>
      <w:r>
        <w:rPr>
          <w:rFonts w:hint="eastAsia"/>
        </w:rPr>
        <w:t>），并在</w:t>
      </w:r>
      <w:r>
        <w:t>16min</w:t>
      </w:r>
      <w:r>
        <w:rPr>
          <w:rFonts w:hint="eastAsia"/>
        </w:rPr>
        <w:t>（</w:t>
      </w:r>
      <w:r>
        <w:t>1000s</w:t>
      </w:r>
      <w:r>
        <w:rPr>
          <w:rFonts w:hint="eastAsia"/>
        </w:rPr>
        <w:t>）内不造成近紫外危害（</w:t>
      </w:r>
      <w:r>
        <w:t>EUVA</w:t>
      </w:r>
      <w:r>
        <w:rPr>
          <w:rFonts w:hint="eastAsia"/>
        </w:rPr>
        <w:t>），并在</w:t>
      </w:r>
      <w:r>
        <w:t>2.8h</w:t>
      </w:r>
      <w:r>
        <w:rPr>
          <w:rFonts w:hint="eastAsia"/>
        </w:rPr>
        <w:t>（</w:t>
      </w:r>
      <w:r>
        <w:t>10000s</w:t>
      </w:r>
      <w:r>
        <w:rPr>
          <w:rFonts w:hint="eastAsia"/>
        </w:rPr>
        <w:t>）内不造成对视网膜蓝光危害（</w:t>
      </w:r>
      <w:r>
        <w:t>LB</w:t>
      </w:r>
      <w:r>
        <w:rPr>
          <w:rFonts w:hint="eastAsia"/>
        </w:rPr>
        <w:t>）并在</w:t>
      </w:r>
      <w:r>
        <w:t>10s</w:t>
      </w:r>
      <w:r>
        <w:rPr>
          <w:rFonts w:hint="eastAsia"/>
        </w:rPr>
        <w:t>内不造成对视网膜热危害（</w:t>
      </w:r>
      <w:r>
        <w:t>LR</w:t>
      </w:r>
      <w:r>
        <w:rPr>
          <w:rFonts w:hint="eastAsia"/>
        </w:rPr>
        <w:t>），且在</w:t>
      </w:r>
      <w:r>
        <w:t>1000s</w:t>
      </w:r>
      <w:r>
        <w:rPr>
          <w:rFonts w:hint="eastAsia"/>
        </w:rPr>
        <w:t>内不造成对眼睛的红外辐射危害（</w:t>
      </w:r>
      <w:r>
        <w:t>EIR</w:t>
      </w:r>
      <w:r>
        <w:rPr>
          <w:rFonts w:hint="eastAsia"/>
        </w:rPr>
        <w:t>）；【提供此功能的证明资料】</w:t>
      </w:r>
      <w:r>
        <w:tab/>
      </w:r>
      <w:r>
        <w:fldChar w:fldCharType="begin"/>
      </w:r>
      <w:r>
        <w:instrText xml:space="preserve"> PAGEREF _Toc6826 \h </w:instrText>
      </w:r>
      <w:r>
        <w:fldChar w:fldCharType="separate"/>
      </w:r>
      <w:r>
        <w:t>93</w:t>
      </w:r>
      <w:r>
        <w:fldChar w:fldCharType="end"/>
      </w:r>
      <w:r>
        <w:fldChar w:fldCharType="end"/>
      </w:r>
    </w:p>
    <w:p>
      <w:pPr>
        <w:pStyle w:val="10"/>
        <w:tabs>
          <w:tab w:val="right" w:leader="hyphen" w:pos="9072"/>
        </w:tabs>
        <w:ind w:firstLine="420"/>
      </w:pPr>
      <w:r>
        <w:fldChar w:fldCharType="begin"/>
      </w:r>
      <w:r>
        <w:instrText xml:space="preserve"> HYPERLINK \l "_Toc24831" </w:instrText>
      </w:r>
      <w:r>
        <w:fldChar w:fldCharType="separate"/>
      </w:r>
      <w:r>
        <w:rPr>
          <w:rFonts w:hint="eastAsia"/>
        </w:rPr>
        <w:t xml:space="preserve">11.1.9. </w:t>
      </w:r>
      <w:r>
        <w:t>8.</w:t>
      </w:r>
      <w:r>
        <w:rPr>
          <w:rFonts w:hint="eastAsia"/>
        </w:rPr>
        <w:t>支持不少于</w:t>
      </w:r>
      <w:r>
        <w:t>20</w:t>
      </w:r>
      <w:r>
        <w:rPr>
          <w:rFonts w:hint="eastAsia"/>
        </w:rPr>
        <w:t>路千兆网口输出；【提供此功能的证明资料】</w:t>
      </w:r>
      <w:r>
        <w:tab/>
      </w:r>
      <w:r>
        <w:fldChar w:fldCharType="begin"/>
      </w:r>
      <w:r>
        <w:instrText xml:space="preserve"> PAGEREF _Toc24831 \h </w:instrText>
      </w:r>
      <w:r>
        <w:fldChar w:fldCharType="separate"/>
      </w:r>
      <w:r>
        <w:t>94</w:t>
      </w:r>
      <w:r>
        <w:fldChar w:fldCharType="end"/>
      </w:r>
      <w:r>
        <w:fldChar w:fldCharType="end"/>
      </w:r>
    </w:p>
    <w:p>
      <w:pPr>
        <w:pStyle w:val="10"/>
        <w:tabs>
          <w:tab w:val="right" w:leader="hyphen" w:pos="9072"/>
        </w:tabs>
        <w:ind w:firstLine="420"/>
      </w:pPr>
      <w:r>
        <w:fldChar w:fldCharType="begin"/>
      </w:r>
      <w:r>
        <w:instrText xml:space="preserve"> HYPERLINK \l "_Toc1346" </w:instrText>
      </w:r>
      <w:r>
        <w:fldChar w:fldCharType="separate"/>
      </w:r>
      <w:r>
        <w:rPr>
          <w:rFonts w:hint="eastAsia"/>
        </w:rPr>
        <w:t xml:space="preserve">11.1.10. </w:t>
      </w:r>
      <w:r>
        <w:t>18.</w:t>
      </w:r>
      <w:r>
        <w:rPr>
          <w:rFonts w:hint="eastAsia"/>
        </w:rPr>
        <w:t>支持主动式</w:t>
      </w:r>
      <w:r>
        <w:t>3D</w:t>
      </w:r>
      <w:r>
        <w:rPr>
          <w:rFonts w:hint="eastAsia"/>
        </w:rPr>
        <w:t>显示功能；【提供此功能的证明资料】</w:t>
      </w:r>
      <w:r>
        <w:tab/>
      </w:r>
      <w:r>
        <w:fldChar w:fldCharType="begin"/>
      </w:r>
      <w:r>
        <w:instrText xml:space="preserve"> PAGEREF _Toc1346 \h </w:instrText>
      </w:r>
      <w:r>
        <w:fldChar w:fldCharType="separate"/>
      </w:r>
      <w:r>
        <w:t>95</w:t>
      </w:r>
      <w:r>
        <w:fldChar w:fldCharType="end"/>
      </w:r>
      <w:r>
        <w:fldChar w:fldCharType="end"/>
      </w:r>
    </w:p>
    <w:p>
      <w:pPr>
        <w:pStyle w:val="10"/>
        <w:tabs>
          <w:tab w:val="right" w:leader="hyphen" w:pos="9072"/>
        </w:tabs>
        <w:ind w:firstLine="420"/>
      </w:pPr>
      <w:r>
        <w:fldChar w:fldCharType="begin"/>
      </w:r>
      <w:r>
        <w:instrText xml:space="preserve"> HYPERLINK \l "_Toc27690" </w:instrText>
      </w:r>
      <w:r>
        <w:fldChar w:fldCharType="separate"/>
      </w:r>
      <w:r>
        <w:rPr>
          <w:rFonts w:hint="eastAsia"/>
        </w:rPr>
        <w:t>11.1.11. 22.可在局域网内实现通过</w:t>
      </w:r>
      <w:r>
        <w:t>web</w:t>
      </w:r>
      <w:r>
        <w:rPr>
          <w:rFonts w:hint="eastAsia"/>
        </w:rPr>
        <w:t>控制设备，支持</w:t>
      </w:r>
      <w:r>
        <w:t>Windows</w:t>
      </w:r>
      <w:r>
        <w:rPr>
          <w:rFonts w:hint="eastAsia"/>
        </w:rPr>
        <w:t>、</w:t>
      </w:r>
      <w:r>
        <w:t>macOS</w:t>
      </w:r>
      <w:r>
        <w:rPr>
          <w:rFonts w:hint="eastAsia"/>
        </w:rPr>
        <w:t>、</w:t>
      </w:r>
      <w:r>
        <w:t>Linux</w:t>
      </w:r>
      <w:r>
        <w:rPr>
          <w:rFonts w:hint="eastAsia"/>
        </w:rPr>
        <w:t>、麒麟系统、</w:t>
      </w:r>
      <w:r>
        <w:t>Android</w:t>
      </w:r>
      <w:r>
        <w:rPr>
          <w:rFonts w:hint="eastAsia"/>
        </w:rPr>
        <w:t>、</w:t>
      </w:r>
      <w:r>
        <w:t>iOS</w:t>
      </w:r>
      <w:r>
        <w:rPr>
          <w:rFonts w:hint="eastAsia"/>
        </w:rPr>
        <w:t>等系统平台，支持电脑、平板、手机等多种硬件平台；【提供此功能的证明资料】</w:t>
      </w:r>
      <w:r>
        <w:tab/>
      </w:r>
      <w:r>
        <w:fldChar w:fldCharType="begin"/>
      </w:r>
      <w:r>
        <w:instrText xml:space="preserve"> PAGEREF _Toc27690 \h </w:instrText>
      </w:r>
      <w:r>
        <w:fldChar w:fldCharType="separate"/>
      </w:r>
      <w:r>
        <w:t>96</w:t>
      </w:r>
      <w:r>
        <w:fldChar w:fldCharType="end"/>
      </w:r>
      <w:r>
        <w:fldChar w:fldCharType="end"/>
      </w:r>
    </w:p>
    <w:p>
      <w:pPr>
        <w:pStyle w:val="10"/>
        <w:tabs>
          <w:tab w:val="right" w:leader="hyphen" w:pos="9072"/>
        </w:tabs>
        <w:ind w:firstLine="420"/>
      </w:pPr>
      <w:r>
        <w:fldChar w:fldCharType="begin"/>
      </w:r>
      <w:r>
        <w:instrText xml:space="preserve"> HYPERLINK \l "_Toc20494" </w:instrText>
      </w:r>
      <w:r>
        <w:fldChar w:fldCharType="separate"/>
      </w:r>
      <w:r>
        <w:rPr>
          <w:rFonts w:hint="eastAsia"/>
        </w:rPr>
        <w:t xml:space="preserve">11.1.12. </w:t>
      </w:r>
      <w:r>
        <w:t>27.</w:t>
      </w:r>
      <w:r>
        <w:rPr>
          <w:rFonts w:hint="eastAsia"/>
        </w:rPr>
        <w:t>控制系统支持</w:t>
      </w:r>
      <w:r>
        <w:t>3D</w:t>
      </w:r>
      <w:r>
        <w:rPr>
          <w:rFonts w:hint="eastAsia"/>
        </w:rPr>
        <w:t>应用显示；【提供此功能的证明资料】</w:t>
      </w:r>
      <w:r>
        <w:tab/>
      </w:r>
      <w:r>
        <w:fldChar w:fldCharType="begin"/>
      </w:r>
      <w:r>
        <w:instrText xml:space="preserve"> PAGEREF _Toc20494 \h </w:instrText>
      </w:r>
      <w:r>
        <w:fldChar w:fldCharType="separate"/>
      </w:r>
      <w:r>
        <w:t>97</w:t>
      </w:r>
      <w:r>
        <w:fldChar w:fldCharType="end"/>
      </w:r>
      <w:r>
        <w:fldChar w:fldCharType="end"/>
      </w:r>
    </w:p>
    <w:p>
      <w:pPr>
        <w:pStyle w:val="10"/>
        <w:tabs>
          <w:tab w:val="right" w:leader="hyphen" w:pos="9072"/>
        </w:tabs>
        <w:ind w:firstLine="420"/>
      </w:pPr>
      <w:r>
        <w:fldChar w:fldCharType="begin"/>
      </w:r>
      <w:r>
        <w:instrText xml:space="preserve"> HYPERLINK \l "_Toc24444" </w:instrText>
      </w:r>
      <w:r>
        <w:fldChar w:fldCharType="separate"/>
      </w:r>
      <w:r>
        <w:rPr>
          <w:rFonts w:hint="eastAsia"/>
        </w:rPr>
        <w:t xml:space="preserve">11.1.13. </w:t>
      </w:r>
      <w:r>
        <w:t>3.</w:t>
      </w:r>
      <w:r>
        <w:rPr>
          <w:rFonts w:hint="eastAsia"/>
        </w:rPr>
        <w:t>延时：</w:t>
      </w:r>
      <w:r>
        <w:t>≤4.8ms</w:t>
      </w:r>
      <w:r>
        <w:rPr>
          <w:rFonts w:hint="eastAsia"/>
        </w:rPr>
        <w:t>；【提供此功能的证明资料】</w:t>
      </w:r>
      <w:r>
        <w:tab/>
      </w:r>
      <w:r>
        <w:fldChar w:fldCharType="begin"/>
      </w:r>
      <w:r>
        <w:instrText xml:space="preserve"> PAGEREF _Toc24444 \h </w:instrText>
      </w:r>
      <w:r>
        <w:fldChar w:fldCharType="separate"/>
      </w:r>
      <w:r>
        <w:t>98</w:t>
      </w:r>
      <w:r>
        <w:fldChar w:fldCharType="end"/>
      </w:r>
      <w:r>
        <w:fldChar w:fldCharType="end"/>
      </w:r>
    </w:p>
    <w:p>
      <w:pPr>
        <w:pStyle w:val="10"/>
        <w:tabs>
          <w:tab w:val="right" w:leader="hyphen" w:pos="9072"/>
        </w:tabs>
        <w:ind w:firstLine="420"/>
      </w:pPr>
      <w:r>
        <w:fldChar w:fldCharType="begin"/>
      </w:r>
      <w:r>
        <w:instrText xml:space="preserve"> HYPERLINK \l "_Toc12561" </w:instrText>
      </w:r>
      <w:r>
        <w:fldChar w:fldCharType="separate"/>
      </w:r>
      <w:r>
        <w:rPr>
          <w:rFonts w:hint="eastAsia"/>
        </w:rPr>
        <w:t xml:space="preserve">11.1.14. </w:t>
      </w:r>
      <w:r>
        <w:t>10.</w:t>
      </w:r>
      <w:r>
        <w:rPr>
          <w:rFonts w:hint="eastAsia"/>
        </w:rPr>
        <w:t>相机在</w:t>
      </w:r>
      <w:r>
        <w:t>60</w:t>
      </w:r>
      <w:r>
        <w:rPr>
          <w:rFonts w:hint="eastAsia"/>
        </w:rPr>
        <w:t>摄氏度环境温度下可连续正常工作</w:t>
      </w:r>
      <w:r>
        <w:t>8</w:t>
      </w:r>
      <w:r>
        <w:rPr>
          <w:rFonts w:hint="eastAsia"/>
        </w:rPr>
        <w:t>小时以上；相机在</w:t>
      </w:r>
      <w:r>
        <w:t>-25</w:t>
      </w:r>
      <w:r>
        <w:rPr>
          <w:rFonts w:hint="eastAsia"/>
        </w:rPr>
        <w:t>摄氏度环境温度下可连续正常工作</w:t>
      </w:r>
      <w:r>
        <w:t>8</w:t>
      </w:r>
      <w:r>
        <w:rPr>
          <w:rFonts w:hint="eastAsia"/>
        </w:rPr>
        <w:t>小时以上；相机在温度</w:t>
      </w:r>
      <w:r>
        <w:t>40</w:t>
      </w:r>
      <w:r>
        <w:rPr>
          <w:rFonts w:hint="eastAsia"/>
        </w:rPr>
        <w:t>摄氏度和湿度</w:t>
      </w:r>
      <w:r>
        <w:t>93%RH</w:t>
      </w:r>
      <w:r>
        <w:rPr>
          <w:rFonts w:hint="eastAsia"/>
        </w:rPr>
        <w:t>的环境下可连续正常工作</w:t>
      </w:r>
      <w:r>
        <w:t>48</w:t>
      </w:r>
      <w:r>
        <w:rPr>
          <w:rFonts w:hint="eastAsia"/>
        </w:rPr>
        <w:t>小时以上；【提供此功能的证明资料】</w:t>
      </w:r>
      <w:r>
        <w:tab/>
      </w:r>
      <w:r>
        <w:fldChar w:fldCharType="begin"/>
      </w:r>
      <w:r>
        <w:instrText xml:space="preserve"> PAGEREF _Toc12561 \h </w:instrText>
      </w:r>
      <w:r>
        <w:fldChar w:fldCharType="separate"/>
      </w:r>
      <w:r>
        <w:t>99</w:t>
      </w:r>
      <w:r>
        <w:fldChar w:fldCharType="end"/>
      </w:r>
      <w:r>
        <w:fldChar w:fldCharType="end"/>
      </w:r>
    </w:p>
    <w:p>
      <w:pPr>
        <w:pStyle w:val="10"/>
        <w:tabs>
          <w:tab w:val="right" w:leader="hyphen" w:pos="9072"/>
        </w:tabs>
        <w:ind w:firstLine="420"/>
      </w:pPr>
      <w:r>
        <w:fldChar w:fldCharType="begin"/>
      </w:r>
      <w:r>
        <w:instrText xml:space="preserve"> HYPERLINK \l "_Toc26913" </w:instrText>
      </w:r>
      <w:r>
        <w:fldChar w:fldCharType="separate"/>
      </w:r>
      <w:r>
        <w:rPr>
          <w:rFonts w:hint="eastAsia"/>
        </w:rPr>
        <w:t xml:space="preserve">11.1.15. </w:t>
      </w:r>
      <w:r>
        <w:t>13.</w:t>
      </w:r>
      <w:r>
        <w:rPr>
          <w:rFonts w:hint="eastAsia"/>
        </w:rPr>
        <w:t>每个相机搭载</w:t>
      </w:r>
      <w:r>
        <w:t>≥14</w:t>
      </w:r>
      <w:r>
        <w:rPr>
          <w:rFonts w:hint="eastAsia"/>
        </w:rPr>
        <w:t>个超大功率</w:t>
      </w:r>
      <w:r>
        <w:t>850nm</w:t>
      </w:r>
      <w:r>
        <w:rPr>
          <w:rFonts w:hint="eastAsia"/>
        </w:rPr>
        <w:t>红外</w:t>
      </w:r>
      <w:r>
        <w:t>LED</w:t>
      </w:r>
      <w:r>
        <w:rPr>
          <w:rFonts w:hint="eastAsia"/>
        </w:rPr>
        <w:t>，</w:t>
      </w:r>
      <w:r>
        <w:t>LED</w:t>
      </w:r>
      <w:r>
        <w:rPr>
          <w:rFonts w:hint="eastAsia"/>
        </w:rPr>
        <w:t>灯亮度可以随目标距离进行调整；【提供此功能的证明资料】</w:t>
      </w:r>
      <w:r>
        <w:tab/>
      </w:r>
      <w:r>
        <w:fldChar w:fldCharType="begin"/>
      </w:r>
      <w:r>
        <w:instrText xml:space="preserve"> PAGEREF _Toc26913 \h </w:instrText>
      </w:r>
      <w:r>
        <w:fldChar w:fldCharType="separate"/>
      </w:r>
      <w:r>
        <w:t>99</w:t>
      </w:r>
      <w:r>
        <w:fldChar w:fldCharType="end"/>
      </w:r>
      <w:r>
        <w:fldChar w:fldCharType="end"/>
      </w:r>
    </w:p>
    <w:p>
      <w:pPr>
        <w:pStyle w:val="10"/>
        <w:tabs>
          <w:tab w:val="right" w:leader="hyphen" w:pos="9072"/>
        </w:tabs>
        <w:ind w:firstLine="420"/>
      </w:pPr>
      <w:r>
        <w:fldChar w:fldCharType="begin"/>
      </w:r>
      <w:r>
        <w:instrText xml:space="preserve"> HYPERLINK \l "_Toc30006" </w:instrText>
      </w:r>
      <w:r>
        <w:fldChar w:fldCharType="separate"/>
      </w:r>
      <w:r>
        <w:rPr>
          <w:rFonts w:hint="eastAsia"/>
        </w:rPr>
        <w:t xml:space="preserve">11.1.16. </w:t>
      </w:r>
      <w:r>
        <w:t>19.</w:t>
      </w:r>
      <w:r>
        <w:rPr>
          <w:rFonts w:hint="eastAsia"/>
        </w:rPr>
        <w:t>一场地对应一个配置方案，能够根据实际场地灵活进行相机配置；【提供此功能的证明资料】</w:t>
      </w:r>
      <w:r>
        <w:tab/>
      </w:r>
      <w:r>
        <w:fldChar w:fldCharType="begin"/>
      </w:r>
      <w:r>
        <w:instrText xml:space="preserve"> PAGEREF _Toc30006 \h </w:instrText>
      </w:r>
      <w:r>
        <w:fldChar w:fldCharType="separate"/>
      </w:r>
      <w:r>
        <w:t>101</w:t>
      </w:r>
      <w:r>
        <w:fldChar w:fldCharType="end"/>
      </w:r>
      <w:r>
        <w:fldChar w:fldCharType="end"/>
      </w:r>
    </w:p>
    <w:p>
      <w:pPr>
        <w:pStyle w:val="10"/>
        <w:tabs>
          <w:tab w:val="right" w:leader="hyphen" w:pos="9072"/>
        </w:tabs>
        <w:ind w:firstLine="420"/>
      </w:pPr>
      <w:r>
        <w:fldChar w:fldCharType="begin"/>
      </w:r>
      <w:r>
        <w:instrText xml:space="preserve"> HYPERLINK \l "_Toc17437" </w:instrText>
      </w:r>
      <w:r>
        <w:fldChar w:fldCharType="separate"/>
      </w:r>
      <w:r>
        <w:rPr>
          <w:rFonts w:hint="eastAsia"/>
        </w:rPr>
        <w:t xml:space="preserve">11.1.17. </w:t>
      </w:r>
      <w:r>
        <w:t>5.1</w:t>
      </w:r>
      <w:r>
        <w:rPr>
          <w:rFonts w:hint="eastAsia"/>
        </w:rPr>
        <w:t>老师端：数据报告（每位学生的姓名、听课时长、练习步骤完成率、每个步骤的操作的时间、练习总时间）；【需提供软件截图】</w:t>
      </w:r>
      <w:r>
        <w:tab/>
      </w:r>
      <w:r>
        <w:fldChar w:fldCharType="begin"/>
      </w:r>
      <w:r>
        <w:instrText xml:space="preserve"> PAGEREF _Toc17437 \h </w:instrText>
      </w:r>
      <w:r>
        <w:fldChar w:fldCharType="separate"/>
      </w:r>
      <w:r>
        <w:t>102</w:t>
      </w:r>
      <w:r>
        <w:fldChar w:fldCharType="end"/>
      </w:r>
      <w:r>
        <w:fldChar w:fldCharType="end"/>
      </w:r>
    </w:p>
    <w:p>
      <w:pPr>
        <w:pStyle w:val="10"/>
        <w:tabs>
          <w:tab w:val="right" w:leader="hyphen" w:pos="9072"/>
        </w:tabs>
        <w:ind w:firstLine="420"/>
      </w:pPr>
      <w:r>
        <w:fldChar w:fldCharType="begin"/>
      </w:r>
      <w:r>
        <w:instrText xml:space="preserve"> HYPERLINK \l "_Toc3621" </w:instrText>
      </w:r>
      <w:r>
        <w:fldChar w:fldCharType="separate"/>
      </w:r>
      <w:r>
        <w:rPr>
          <w:rFonts w:hint="eastAsia"/>
        </w:rPr>
        <w:t xml:space="preserve">11.1.18. </w:t>
      </w:r>
      <w:r>
        <w:t>5.2</w:t>
      </w:r>
      <w:r>
        <w:rPr>
          <w:rFonts w:hint="eastAsia"/>
        </w:rPr>
        <w:t>学生端：数据报告（该学生的姓名、听课时长、举手</w:t>
      </w:r>
      <w:r>
        <w:t>/</w:t>
      </w:r>
      <w:r>
        <w:rPr>
          <w:rFonts w:hint="eastAsia"/>
        </w:rPr>
        <w:t>应答、练习步骤完成率、每个步骤的操作的时间、练习总时间；【需提供软件截图】</w:t>
      </w:r>
      <w:r>
        <w:tab/>
      </w:r>
      <w:r>
        <w:fldChar w:fldCharType="begin"/>
      </w:r>
      <w:r>
        <w:instrText xml:space="preserve"> PAGEREF _Toc3621 \h </w:instrText>
      </w:r>
      <w:r>
        <w:fldChar w:fldCharType="separate"/>
      </w:r>
      <w:r>
        <w:t>102</w:t>
      </w:r>
      <w:r>
        <w:fldChar w:fldCharType="end"/>
      </w:r>
      <w:r>
        <w:fldChar w:fldCharType="end"/>
      </w:r>
    </w:p>
    <w:p>
      <w:pPr>
        <w:pStyle w:val="15"/>
        <w:tabs>
          <w:tab w:val="right" w:leader="hyphen" w:pos="9072"/>
        </w:tabs>
        <w:ind w:firstLine="420"/>
      </w:pPr>
      <w:r>
        <w:fldChar w:fldCharType="begin"/>
      </w:r>
      <w:r>
        <w:instrText xml:space="preserve"> HYPERLINK \l "_Toc6981" </w:instrText>
      </w:r>
      <w:r>
        <w:fldChar w:fldCharType="separate"/>
      </w:r>
      <w:r>
        <w:rPr>
          <w:rFonts w:hint="eastAsia"/>
        </w:rPr>
        <w:t>11.2. 供应商认为需提供的其他资料</w:t>
      </w:r>
      <w:r>
        <w:tab/>
      </w:r>
      <w:r>
        <w:fldChar w:fldCharType="begin"/>
      </w:r>
      <w:r>
        <w:instrText xml:space="preserve"> PAGEREF _Toc6981 \h </w:instrText>
      </w:r>
      <w:r>
        <w:fldChar w:fldCharType="separate"/>
      </w:r>
      <w:r>
        <w:t>103</w:t>
      </w:r>
      <w:r>
        <w:fldChar w:fldCharType="end"/>
      </w:r>
      <w:r>
        <w:fldChar w:fldCharType="end"/>
      </w:r>
    </w:p>
    <w:p>
      <w:pPr>
        <w:pStyle w:val="10"/>
        <w:tabs>
          <w:tab w:val="right" w:leader="hyphen" w:pos="9072"/>
        </w:tabs>
        <w:ind w:firstLine="420"/>
      </w:pPr>
      <w:r>
        <w:fldChar w:fldCharType="begin"/>
      </w:r>
      <w:r>
        <w:instrText xml:space="preserve"> HYPERLINK \l "_Toc17387" </w:instrText>
      </w:r>
      <w:r>
        <w:fldChar w:fldCharType="separate"/>
      </w:r>
      <w:r>
        <w:rPr>
          <w:rFonts w:hint="eastAsia"/>
        </w:rPr>
        <w:t>11.2.1. 节能、环保产品相关资料</w:t>
      </w:r>
      <w:r>
        <w:tab/>
      </w:r>
      <w:r>
        <w:fldChar w:fldCharType="begin"/>
      </w:r>
      <w:r>
        <w:instrText xml:space="preserve"> PAGEREF _Toc17387 \h </w:instrText>
      </w:r>
      <w:r>
        <w:fldChar w:fldCharType="separate"/>
      </w:r>
      <w:r>
        <w:t>103</w:t>
      </w:r>
      <w:r>
        <w:fldChar w:fldCharType="end"/>
      </w:r>
      <w:r>
        <w:fldChar w:fldCharType="end"/>
      </w:r>
    </w:p>
    <w:p>
      <w:pPr>
        <w:pStyle w:val="10"/>
        <w:tabs>
          <w:tab w:val="right" w:leader="hyphen" w:pos="9072"/>
        </w:tabs>
        <w:ind w:firstLine="420"/>
      </w:pPr>
      <w:r>
        <w:fldChar w:fldCharType="begin"/>
      </w:r>
      <w:r>
        <w:instrText xml:space="preserve"> HYPERLINK \l "_Toc20650" </w:instrText>
      </w:r>
      <w:r>
        <w:fldChar w:fldCharType="separate"/>
      </w:r>
      <w:r>
        <w:rPr>
          <w:rFonts w:hint="eastAsia"/>
        </w:rPr>
        <w:t>11.2.2. 联合体投标</w:t>
      </w:r>
      <w:r>
        <w:tab/>
      </w:r>
      <w:r>
        <w:fldChar w:fldCharType="begin"/>
      </w:r>
      <w:r>
        <w:instrText xml:space="preserve"> PAGEREF _Toc20650 \h </w:instrText>
      </w:r>
      <w:r>
        <w:fldChar w:fldCharType="separate"/>
      </w:r>
      <w:r>
        <w:t>147</w:t>
      </w:r>
      <w:r>
        <w:fldChar w:fldCharType="end"/>
      </w:r>
      <w:r>
        <w:fldChar w:fldCharType="end"/>
      </w:r>
    </w:p>
    <w:p>
      <w:pPr>
        <w:pStyle w:val="10"/>
        <w:tabs>
          <w:tab w:val="right" w:leader="hyphen" w:pos="9072"/>
        </w:tabs>
        <w:ind w:firstLine="420"/>
      </w:pPr>
      <w:r>
        <w:fldChar w:fldCharType="begin"/>
      </w:r>
      <w:r>
        <w:instrText xml:space="preserve"> HYPERLINK \l "_Toc991" </w:instrText>
      </w:r>
      <w:r>
        <w:fldChar w:fldCharType="separate"/>
      </w:r>
      <w:r>
        <w:rPr>
          <w:rFonts w:hint="eastAsia"/>
        </w:rPr>
        <w:t>11.2.3. 其他要求</w:t>
      </w:r>
      <w:r>
        <w:tab/>
      </w:r>
      <w:r>
        <w:fldChar w:fldCharType="begin"/>
      </w:r>
      <w:r>
        <w:instrText xml:space="preserve"> PAGEREF _Toc991 \h </w:instrText>
      </w:r>
      <w:r>
        <w:fldChar w:fldCharType="separate"/>
      </w:r>
      <w:r>
        <w:t>148</w:t>
      </w:r>
      <w:r>
        <w:fldChar w:fldCharType="end"/>
      </w:r>
      <w:r>
        <w:fldChar w:fldCharType="end"/>
      </w:r>
    </w:p>
    <w:p>
      <w:pPr>
        <w:pStyle w:val="10"/>
        <w:tabs>
          <w:tab w:val="right" w:leader="hyphen" w:pos="9072"/>
        </w:tabs>
        <w:ind w:firstLine="420"/>
      </w:pPr>
      <w:r>
        <w:fldChar w:fldCharType="begin"/>
      </w:r>
      <w:r>
        <w:instrText xml:space="preserve"> HYPERLINK \l "_Toc7909" </w:instrText>
      </w:r>
      <w:r>
        <w:fldChar w:fldCharType="separate"/>
      </w:r>
      <w:r>
        <w:rPr>
          <w:rFonts w:hint="eastAsia"/>
        </w:rPr>
        <w:t>11.2.4. 价格扣除优惠政策</w:t>
      </w:r>
      <w:r>
        <w:tab/>
      </w:r>
      <w:r>
        <w:fldChar w:fldCharType="begin"/>
      </w:r>
      <w:r>
        <w:instrText xml:space="preserve"> PAGEREF _Toc7909 \h </w:instrText>
      </w:r>
      <w:r>
        <w:fldChar w:fldCharType="separate"/>
      </w:r>
      <w:r>
        <w:t>149</w:t>
      </w:r>
      <w:r>
        <w:fldChar w:fldCharType="end"/>
      </w:r>
      <w:r>
        <w:fldChar w:fldCharType="end"/>
      </w:r>
    </w:p>
    <w:p>
      <w:pPr>
        <w:ind w:firstLine="0" w:firstLineChars="0"/>
      </w:pPr>
      <w:r>
        <w:fldChar w:fldCharType="end"/>
      </w:r>
    </w:p>
    <w:p>
      <w:pPr>
        <w:ind w:firstLine="420"/>
        <w:sectPr>
          <w:footerReference r:id="rId17" w:type="default"/>
          <w:pgSz w:w="11906" w:h="16838"/>
          <w:pgMar w:top="1474" w:right="1417" w:bottom="1247" w:left="1417" w:header="851" w:footer="992" w:gutter="0"/>
          <w:pgNumType w:start="1"/>
          <w:cols w:space="720" w:num="1"/>
          <w:docGrid w:type="lines" w:linePitch="312" w:charSpace="0"/>
        </w:sectPr>
      </w:pPr>
    </w:p>
    <w:p>
      <w:pPr>
        <w:pStyle w:val="3"/>
        <w:spacing w:before="312" w:after="312"/>
      </w:pPr>
      <w:bookmarkStart w:id="0" w:name="_Toc23327"/>
      <w:bookmarkStart w:id="1" w:name="_Toc24597"/>
      <w:r>
        <w:rPr>
          <w:rFonts w:hint="eastAsia"/>
        </w:rPr>
        <w:t>投标承诺书</w:t>
      </w:r>
      <w:bookmarkEnd w:id="0"/>
      <w:bookmarkEnd w:id="1"/>
    </w:p>
    <w:p>
      <w:pPr>
        <w:shd w:val="clear" w:color="040000" w:fill="auto"/>
        <w:ind w:left="7480" w:leftChars="200" w:hanging="7040" w:hangingChars="3200"/>
        <w:rPr>
          <w:b/>
          <w:bCs/>
        </w:rPr>
      </w:pPr>
      <w:r>
        <w:drawing>
          <wp:inline distT="0" distB="0" distL="114300" distR="114300">
            <wp:extent cx="5923280" cy="7316470"/>
            <wp:effectExtent l="0" t="0" r="1270" b="1778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25"/>
                    <a:stretch>
                      <a:fillRect/>
                    </a:stretch>
                  </pic:blipFill>
                  <pic:spPr>
                    <a:xfrm>
                      <a:off x="0" y="0"/>
                      <a:ext cx="5923280" cy="7316470"/>
                    </a:xfrm>
                    <a:prstGeom prst="rect">
                      <a:avLst/>
                    </a:prstGeom>
                    <a:noFill/>
                    <a:ln>
                      <a:noFill/>
                    </a:ln>
                  </pic:spPr>
                </pic:pic>
              </a:graphicData>
            </a:graphic>
          </wp:inline>
        </w:drawing>
      </w:r>
      <w:r>
        <w:rPr>
          <w:b/>
          <w:bCs/>
        </w:rPr>
        <w:t>2023年</w:t>
      </w:r>
      <w:r>
        <w:rPr>
          <w:rFonts w:hint="eastAsia"/>
          <w:b/>
          <w:bCs/>
        </w:rPr>
        <w:t>12</w:t>
      </w:r>
      <w:r>
        <w:rPr>
          <w:b/>
          <w:bCs/>
        </w:rPr>
        <w:t>月</w:t>
      </w:r>
      <w:r>
        <w:rPr>
          <w:rFonts w:hint="eastAsia"/>
          <w:b/>
          <w:bCs/>
        </w:rPr>
        <w:t>28</w:t>
      </w:r>
      <w:r>
        <w:rPr>
          <w:b/>
          <w:bCs/>
        </w:rPr>
        <w:t>日</w:t>
      </w:r>
    </w:p>
    <w:p>
      <w:pPr>
        <w:spacing w:line="400" w:lineRule="exact"/>
        <w:ind w:firstLine="0" w:firstLineChars="0"/>
        <w:rPr>
          <w:b/>
          <w:bCs/>
        </w:rPr>
        <w:sectPr>
          <w:pgSz w:w="11906" w:h="16838"/>
          <w:pgMar w:top="1474" w:right="1417" w:bottom="1247" w:left="1417" w:header="851" w:footer="992" w:gutter="0"/>
          <w:cols w:space="720" w:num="1"/>
          <w:docGrid w:type="lines" w:linePitch="312" w:charSpace="0"/>
        </w:sectPr>
      </w:pPr>
    </w:p>
    <w:p>
      <w:pPr>
        <w:widowControl/>
        <w:spacing w:line="240" w:lineRule="auto"/>
        <w:ind w:firstLine="0" w:firstLineChars="0"/>
        <w:jc w:val="left"/>
        <w:rPr>
          <w:rFonts w:ascii="宋体" w:hAnsi="宋体"/>
          <w:b/>
          <w:bCs/>
          <w:kern w:val="44"/>
          <w:sz w:val="30"/>
          <w:szCs w:val="30"/>
        </w:rPr>
      </w:pPr>
      <w:bookmarkStart w:id="2" w:name="_Toc31297"/>
    </w:p>
    <w:p>
      <w:pPr>
        <w:pStyle w:val="3"/>
        <w:spacing w:before="312" w:after="312"/>
      </w:pPr>
      <w:bookmarkStart w:id="3" w:name="_Toc8733"/>
      <w:r>
        <w:rPr>
          <w:rFonts w:hint="eastAsia"/>
        </w:rPr>
        <w:t>资格承诺函</w:t>
      </w:r>
      <w:bookmarkEnd w:id="2"/>
      <w:bookmarkEnd w:id="3"/>
    </w:p>
    <w:p>
      <w:pPr>
        <w:spacing w:line="400" w:lineRule="exact"/>
        <w:ind w:firstLine="420"/>
      </w:pPr>
      <w:r>
        <w:t>我方作为政府采购供应商，类型为:☑企业□事业单位□社会团体□非企业专业服务机构□个体工商户□自然人（请据实在□中勾选一项），现郑重承诺如下:</w:t>
      </w:r>
    </w:p>
    <w:p>
      <w:pPr>
        <w:numPr>
          <w:ilvl w:val="0"/>
          <w:numId w:val="96"/>
        </w:numPr>
        <w:spacing w:line="400" w:lineRule="exact"/>
      </w:pPr>
      <w:r>
        <w:t>承诺具有独立承担民事责任的能力：</w:t>
      </w:r>
    </w:p>
    <w:p>
      <w:pPr>
        <w:numPr>
          <w:ilvl w:val="0"/>
          <w:numId w:val="97"/>
        </w:numPr>
        <w:spacing w:line="400" w:lineRule="exact"/>
      </w:pPr>
      <w:r>
        <w:t>供应商类型为企业的，承诺通过合法渠道可查证的信息为：</w:t>
      </w:r>
    </w:p>
    <w:p>
      <w:pPr>
        <w:numPr>
          <w:ilvl w:val="0"/>
          <w:numId w:val="98"/>
        </w:numPr>
        <w:spacing w:line="400" w:lineRule="exact"/>
        <w:ind w:firstLine="420"/>
      </w:pPr>
      <w:r>
        <w:t>“类型”为“有限责任公司”、“股份有限公司”、“股份合作制”、“集体所有制”、“联营”、“合伙企业”、“其他”等法人企业或合伙企业。</w:t>
      </w:r>
    </w:p>
    <w:p>
      <w:pPr>
        <w:numPr>
          <w:ilvl w:val="0"/>
          <w:numId w:val="98"/>
        </w:numPr>
        <w:spacing w:line="400" w:lineRule="exact"/>
        <w:ind w:firstLine="420"/>
      </w:pPr>
      <w:r>
        <w:t>“登记状态”为“存续（在营、开业、在册）”。</w:t>
      </w:r>
    </w:p>
    <w:p>
      <w:pPr>
        <w:numPr>
          <w:ilvl w:val="0"/>
          <w:numId w:val="98"/>
        </w:numPr>
        <w:spacing w:line="400" w:lineRule="exact"/>
        <w:ind w:firstLine="420"/>
      </w:pPr>
      <w:r>
        <w:t>“经营期限”不早于投标截止日期，或长期有效。</w:t>
      </w:r>
    </w:p>
    <w:p>
      <w:pPr>
        <w:numPr>
          <w:ilvl w:val="0"/>
          <w:numId w:val="97"/>
        </w:numPr>
        <w:spacing w:line="400" w:lineRule="exact"/>
      </w:pPr>
      <w:r>
        <w:t>供应商类型为事业单位或团体组织的，承诺通过合法渠道可查证的信息为：</w:t>
      </w:r>
    </w:p>
    <w:p>
      <w:pPr>
        <w:numPr>
          <w:ilvl w:val="0"/>
          <w:numId w:val="99"/>
        </w:numPr>
        <w:spacing w:line="400" w:lineRule="exact"/>
        <w:ind w:firstLine="420"/>
      </w:pPr>
      <w:r>
        <w:t>“类型”为“事业单位”或“社会团体”。</w:t>
      </w:r>
    </w:p>
    <w:p>
      <w:pPr>
        <w:numPr>
          <w:ilvl w:val="0"/>
          <w:numId w:val="99"/>
        </w:numPr>
        <w:spacing w:line="400" w:lineRule="exact"/>
        <w:ind w:firstLine="420"/>
      </w:pPr>
      <w:r>
        <w:t>“事业单位法人证书或社会团体法人登记证书有效期”不早于投标截止日期。</w:t>
      </w:r>
    </w:p>
    <w:p>
      <w:pPr>
        <w:numPr>
          <w:ilvl w:val="0"/>
          <w:numId w:val="97"/>
        </w:numPr>
        <w:spacing w:line="400" w:lineRule="exact"/>
      </w:pPr>
      <w:r>
        <w:t>供应商类型为非企业专业服务机构的，承诺通过合法渠道可查证“执业状态”为“正常”。</w:t>
      </w:r>
    </w:p>
    <w:p>
      <w:pPr>
        <w:numPr>
          <w:ilvl w:val="0"/>
          <w:numId w:val="97"/>
        </w:numPr>
        <w:spacing w:line="400" w:lineRule="exact"/>
      </w:pPr>
      <w:r>
        <w:t>供应商类型为自然人的，承诺满足《民法典》第二章第十八条、第六章第一百三十三条、第八章第一百七十六条等相关条款的规定，可独立承担民事责任。</w:t>
      </w:r>
    </w:p>
    <w:p>
      <w:pPr>
        <w:numPr>
          <w:ilvl w:val="0"/>
          <w:numId w:val="96"/>
        </w:numPr>
        <w:spacing w:line="400" w:lineRule="exact"/>
      </w:pPr>
      <w:r>
        <w:t>承诺具有良好的商业信誉和健全的财务会计制度：</w:t>
      </w:r>
    </w:p>
    <w:p>
      <w:pPr>
        <w:spacing w:line="400" w:lineRule="exact"/>
        <w:ind w:firstLine="420"/>
      </w:pPr>
      <w:r>
        <w:t>承诺通过合法渠道可查证的信息为：</w:t>
      </w:r>
    </w:p>
    <w:p>
      <w:pPr>
        <w:numPr>
          <w:ilvl w:val="0"/>
          <w:numId w:val="100"/>
        </w:numPr>
        <w:spacing w:line="400" w:lineRule="exact"/>
      </w:pPr>
      <w:r>
        <w:t>未被列入失信被执行人。</w:t>
      </w:r>
    </w:p>
    <w:p>
      <w:pPr>
        <w:numPr>
          <w:ilvl w:val="0"/>
          <w:numId w:val="100"/>
        </w:numPr>
        <w:spacing w:line="400" w:lineRule="exact"/>
      </w:pPr>
      <w:r>
        <w:t>未被列入税收违法黑名单。</w:t>
      </w:r>
    </w:p>
    <w:p>
      <w:pPr>
        <w:numPr>
          <w:ilvl w:val="0"/>
          <w:numId w:val="96"/>
        </w:numPr>
        <w:spacing w:line="400" w:lineRule="exact"/>
      </w:pPr>
      <w:r>
        <w:t>承诺具有履行合同所必需的设备和专业技术能力：</w:t>
      </w:r>
    </w:p>
    <w:p>
      <w:pPr>
        <w:spacing w:line="400" w:lineRule="exact"/>
        <w:ind w:firstLine="420"/>
      </w:pPr>
      <w:r>
        <w:t>承诺按照采购文件要求可提供相关设备和人员清单，以及辅助证明材料。</w:t>
      </w:r>
    </w:p>
    <w:p>
      <w:pPr>
        <w:numPr>
          <w:ilvl w:val="0"/>
          <w:numId w:val="96"/>
        </w:numPr>
        <w:spacing w:line="400" w:lineRule="exact"/>
      </w:pPr>
      <w:r>
        <w:t>承诺有依法缴纳税收的良好记录</w:t>
      </w:r>
    </w:p>
    <w:p>
      <w:pPr>
        <w:spacing w:line="400" w:lineRule="exact"/>
        <w:ind w:firstLine="420"/>
      </w:pPr>
      <w:r>
        <w:t>承诺通过合法渠道可查证的信息为：</w:t>
      </w:r>
    </w:p>
    <w:p>
      <w:pPr>
        <w:numPr>
          <w:ilvl w:val="0"/>
          <w:numId w:val="101"/>
        </w:numPr>
        <w:spacing w:line="400" w:lineRule="exact"/>
      </w:pPr>
      <w:r>
        <w:t>不存在欠税信息。</w:t>
      </w:r>
    </w:p>
    <w:p>
      <w:pPr>
        <w:numPr>
          <w:ilvl w:val="0"/>
          <w:numId w:val="101"/>
        </w:numPr>
        <w:spacing w:line="400" w:lineRule="exact"/>
      </w:pPr>
      <w:r>
        <w:t>不存在重大税收违法。</w:t>
      </w:r>
    </w:p>
    <w:p>
      <w:pPr>
        <w:numPr>
          <w:ilvl w:val="0"/>
          <w:numId w:val="101"/>
        </w:numPr>
        <w:spacing w:line="400" w:lineRule="exact"/>
      </w:pPr>
      <w:r>
        <w:t xml:space="preserve">不属于纳税“非正常户”(供应商类型为自然人的不适用本条 )。 </w:t>
      </w:r>
    </w:p>
    <w:p>
      <w:pPr>
        <w:numPr>
          <w:ilvl w:val="0"/>
          <w:numId w:val="96"/>
        </w:numPr>
        <w:spacing w:line="400" w:lineRule="exact"/>
      </w:pPr>
      <w:r>
        <w:t>承诺有依法缴纳社会保障资金的良好记录</w:t>
      </w:r>
    </w:p>
    <w:p>
      <w:pPr>
        <w:spacing w:line="400" w:lineRule="exact"/>
        <w:ind w:firstLine="420"/>
      </w:pPr>
      <w:r>
        <w:t>在承诺函中以附件形式提供至少开标前三个月依法缴纳社会保障资金的证明材料，其中基本养老保险、基本医疗保险（含生育保险）、工伤保险、失业保险均须依法缴纳。</w:t>
      </w:r>
    </w:p>
    <w:p>
      <w:pPr>
        <w:numPr>
          <w:ilvl w:val="0"/>
          <w:numId w:val="96"/>
        </w:numPr>
        <w:spacing w:line="400" w:lineRule="exact"/>
      </w:pPr>
      <w:r>
        <w:t>承诺参加本次政府采购活动前三年内，在经营活动中没有重大违法记录在（处罚期限已经届满的视同没有重大违法记处录）</w:t>
      </w:r>
    </w:p>
    <w:p>
      <w:pPr>
        <w:spacing w:line="400" w:lineRule="exact"/>
        <w:ind w:firstLine="420"/>
      </w:pPr>
      <w:r>
        <w:t>供应商需承诺通过合法渠道可查证的信息为：（本条源自《中华人民共和国政府采购法实施条例》第十九条）</w:t>
      </w:r>
    </w:p>
    <w:p>
      <w:pPr>
        <w:numPr>
          <w:ilvl w:val="0"/>
          <w:numId w:val="102"/>
        </w:numPr>
        <w:spacing w:line="400" w:lineRule="exact"/>
      </w:pPr>
      <w:r>
        <w:t>在投标截止日期前三年内未因违法经营受到刑事处罚。</w:t>
      </w:r>
    </w:p>
    <w:p>
      <w:pPr>
        <w:numPr>
          <w:ilvl w:val="0"/>
          <w:numId w:val="102"/>
        </w:numPr>
        <w:spacing w:line="400" w:lineRule="exact"/>
      </w:pPr>
      <w:r>
        <w:t>在投标截止日期前三年内未因违法经营受到县级以上行政机关做出的较大金额罚款（二百万元以上）的行政处罚。</w:t>
      </w:r>
    </w:p>
    <w:p>
      <w:pPr>
        <w:numPr>
          <w:ilvl w:val="0"/>
          <w:numId w:val="102"/>
        </w:numPr>
        <w:spacing w:line="400" w:lineRule="exact"/>
      </w:pPr>
      <w:r>
        <w:t>在投标截止日期前三年内未因违法经营受到县级以上行政机关做出的责令停产停业、吊销许可证或者执照等行政处罚。</w:t>
      </w:r>
    </w:p>
    <w:p>
      <w:pPr>
        <w:numPr>
          <w:ilvl w:val="0"/>
          <w:numId w:val="96"/>
        </w:numPr>
        <w:spacing w:line="400" w:lineRule="exact"/>
      </w:pPr>
      <w:r>
        <w:t>承诺参加本次政府采购活动不存在下列情形：</w:t>
      </w:r>
    </w:p>
    <w:p>
      <w:pPr>
        <w:numPr>
          <w:ilvl w:val="0"/>
          <w:numId w:val="103"/>
        </w:numPr>
        <w:spacing w:line="400" w:lineRule="exact"/>
      </w:pPr>
      <w:r>
        <w:t>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p>
      <w:pPr>
        <w:numPr>
          <w:ilvl w:val="0"/>
          <w:numId w:val="103"/>
        </w:numPr>
        <w:spacing w:line="400" w:lineRule="exact"/>
      </w:pPr>
      <w:r>
        <w:t>承诺通过合法渠道可查证未被列入失信被执行人名单、重大税收违法案件当事人名单、政府采购严重违法失信行为记录名单。</w:t>
      </w:r>
    </w:p>
    <w:p>
      <w:pPr>
        <w:numPr>
          <w:ilvl w:val="0"/>
          <w:numId w:val="96"/>
        </w:numPr>
        <w:spacing w:line="400" w:lineRule="exact"/>
      </w:pPr>
      <w:r>
        <w:t>承诺通过下列合法渠道，可查证在投标截止日期前一至七款承诺信息真实有效。</w:t>
      </w:r>
    </w:p>
    <w:p>
      <w:pPr>
        <w:numPr>
          <w:ilvl w:val="0"/>
          <w:numId w:val="104"/>
        </w:numPr>
        <w:spacing w:line="400" w:lineRule="exact"/>
      </w:pPr>
      <w:r>
        <w:t>全国企业信用信息公示系统（https://www.gsxt.gov.cn）；</w:t>
      </w:r>
    </w:p>
    <w:p>
      <w:pPr>
        <w:numPr>
          <w:ilvl w:val="0"/>
          <w:numId w:val="104"/>
        </w:numPr>
        <w:spacing w:line="400" w:lineRule="exact"/>
      </w:pPr>
      <w:r>
        <w:t>中国执行信息公开网（http://zxgk.court.gov.cn）；</w:t>
      </w:r>
    </w:p>
    <w:p>
      <w:pPr>
        <w:numPr>
          <w:ilvl w:val="0"/>
          <w:numId w:val="104"/>
        </w:numPr>
        <w:spacing w:line="400" w:lineRule="exact"/>
      </w:pPr>
      <w:r>
        <w:t>中国裁判文书网（https://wenshu.court.gov.cn）；</w:t>
      </w:r>
    </w:p>
    <w:p>
      <w:pPr>
        <w:numPr>
          <w:ilvl w:val="0"/>
          <w:numId w:val="104"/>
        </w:numPr>
        <w:spacing w:line="400" w:lineRule="exact"/>
      </w:pPr>
      <w:r>
        <w:t>信用中国（https://www.creditchina.gov.cn）；</w:t>
      </w:r>
    </w:p>
    <w:p>
      <w:pPr>
        <w:numPr>
          <w:ilvl w:val="0"/>
          <w:numId w:val="104"/>
        </w:numPr>
        <w:spacing w:line="400" w:lineRule="exact"/>
      </w:pPr>
      <w:r>
        <w:t>中国政府采购网（https://www.ccgp.gov.cn）；</w:t>
      </w:r>
    </w:p>
    <w:p>
      <w:pPr>
        <w:numPr>
          <w:ilvl w:val="0"/>
          <w:numId w:val="104"/>
        </w:numPr>
        <w:spacing w:line="400" w:lineRule="exact"/>
      </w:pPr>
      <w:r>
        <w:t>(其他具备法律效力的合法渠道。</w:t>
      </w:r>
    </w:p>
    <w:p>
      <w:pPr>
        <w:spacing w:line="400" w:lineRule="exact"/>
        <w:ind w:firstLine="420"/>
      </w:pPr>
      <w:r>
        <w:t>我方对上述承诺事项的真实性负责，授权并配合采购人所在同级财政部门及其委托机构，对上述承诺事项进行查证。如不属实，属于供应商提供虚假材料谋取中标、成交的情形，按照《中华人民共和国政府采购法》第七十七条第一款的规定，接受采购金额千分之五以上千分之十以下的罚款,列入不良行为记录名单，在一至三年内禁止参加政府采购活动等行政处罚。有违法所得的!并处没收违法所得，情节严重的，由市场监督管理部门吊销营业执照;构成犯罪的，依法追究刑事责任。</w:t>
      </w:r>
    </w:p>
    <w:p>
      <w:pPr>
        <w:spacing w:line="400" w:lineRule="exact"/>
        <w:ind w:firstLine="420"/>
      </w:pPr>
      <w:r>
        <w:t>附件：缴纳社会保障资金的证明材料清单</w:t>
      </w:r>
    </w:p>
    <w:p>
      <w:pPr>
        <w:ind w:firstLine="0" w:firstLineChars="0"/>
        <w:jc w:val="right"/>
        <w:rPr>
          <w:b/>
          <w:bCs/>
        </w:rPr>
      </w:pPr>
    </w:p>
    <w:p>
      <w:pPr>
        <w:ind w:firstLine="0" w:firstLineChars="0"/>
        <w:jc w:val="right"/>
        <w:rPr>
          <w:b/>
          <w:bCs/>
        </w:rPr>
      </w:pPr>
      <w:r>
        <w:rPr>
          <w:b/>
          <w:bCs/>
        </w:rPr>
        <w:t>承诺人（供应商或自然人CA签章）：明臻智慧科技（北京）有限责任公司</w:t>
      </w:r>
    </w:p>
    <w:p>
      <w:pPr>
        <w:wordWrap w:val="0"/>
        <w:ind w:firstLine="0" w:firstLineChars="0"/>
        <w:jc w:val="right"/>
        <w:rPr>
          <w:b/>
          <w:bCs/>
        </w:rPr>
      </w:pPr>
      <w:r>
        <w:rPr>
          <w:b/>
          <w:bCs/>
        </w:rPr>
        <w:t>日期：2023年12月</w:t>
      </w:r>
      <w:r>
        <w:rPr>
          <w:rFonts w:hint="eastAsia"/>
          <w:b/>
          <w:bCs/>
        </w:rPr>
        <w:t>28</w:t>
      </w:r>
      <w:r>
        <w:rPr>
          <w:b/>
          <w:bCs/>
        </w:rPr>
        <w:t>日</w:t>
      </w:r>
    </w:p>
    <w:p>
      <w:pPr>
        <w:ind w:firstLine="0" w:firstLineChars="0"/>
        <w:jc w:val="right"/>
        <w:rPr>
          <w:b/>
          <w:bCs/>
        </w:rPr>
      </w:pPr>
    </w:p>
    <w:p>
      <w:pPr>
        <w:widowControl/>
        <w:spacing w:line="240" w:lineRule="auto"/>
        <w:ind w:firstLine="0" w:firstLineChars="0"/>
        <w:jc w:val="left"/>
        <w:rPr>
          <w:color w:val="FF0000"/>
        </w:rPr>
      </w:pPr>
      <w:r>
        <w:rPr>
          <w:color w:val="FF0000"/>
        </w:rPr>
        <w:br w:type="page"/>
      </w:r>
    </w:p>
    <w:p>
      <w:pPr>
        <w:pStyle w:val="4"/>
        <w:tabs>
          <w:tab w:val="left" w:pos="0"/>
        </w:tabs>
        <w:spacing w:before="156" w:after="156"/>
        <w:ind w:firstLine="560"/>
      </w:pPr>
      <w:bookmarkStart w:id="4" w:name="_Toc24878"/>
      <w:r>
        <w:t>缴纳社会保障资金的证明材料清单</w:t>
      </w:r>
      <w:bookmarkEnd w:id="4"/>
    </w:p>
    <w:p>
      <w:pPr>
        <w:numPr>
          <w:ilvl w:val="0"/>
          <w:numId w:val="105"/>
        </w:numPr>
      </w:pPr>
      <w:r>
        <w:rPr>
          <w:rFonts w:hint="eastAsia"/>
        </w:rPr>
        <w:t>社保经办机构出具的本单位职工社会保障资金缴纳证明。</w:t>
      </w:r>
    </w:p>
    <w:p>
      <w:pPr>
        <w:numPr>
          <w:ilvl w:val="0"/>
          <w:numId w:val="106"/>
        </w:numPr>
        <w:spacing w:line="400" w:lineRule="exact"/>
        <w:ind w:firstLine="420"/>
      </w:pPr>
      <w:r>
        <w:rPr>
          <w:rFonts w:hint="eastAsia"/>
        </w:rPr>
        <w:t>基本养老保险缴纳证明或基本养老保险缴费清单。</w:t>
      </w:r>
    </w:p>
    <w:p>
      <w:pPr>
        <w:numPr>
          <w:ilvl w:val="0"/>
          <w:numId w:val="106"/>
        </w:numPr>
        <w:spacing w:line="400" w:lineRule="exact"/>
        <w:ind w:firstLine="420"/>
      </w:pPr>
      <w:r>
        <w:rPr>
          <w:rFonts w:hint="eastAsia"/>
        </w:rPr>
        <w:t>基本医疗保险缴纳证明或基本医疗保险缴费清单。</w:t>
      </w:r>
    </w:p>
    <w:p>
      <w:pPr>
        <w:numPr>
          <w:ilvl w:val="0"/>
          <w:numId w:val="106"/>
        </w:numPr>
        <w:spacing w:line="400" w:lineRule="exact"/>
        <w:ind w:firstLine="420"/>
      </w:pPr>
      <w:r>
        <w:rPr>
          <w:rFonts w:hint="eastAsia"/>
        </w:rPr>
        <w:t>工伤保险缴纳证明或工伤保险缴费清单。</w:t>
      </w:r>
    </w:p>
    <w:p>
      <w:pPr>
        <w:numPr>
          <w:ilvl w:val="0"/>
          <w:numId w:val="106"/>
        </w:numPr>
        <w:spacing w:line="400" w:lineRule="exact"/>
        <w:ind w:firstLine="420"/>
      </w:pPr>
      <w:r>
        <w:rPr>
          <w:rFonts w:hint="eastAsia"/>
        </w:rPr>
        <w:t>失业保险缴纳证明或失业保险缴费清单。</w:t>
      </w:r>
    </w:p>
    <w:p>
      <w:pPr>
        <w:numPr>
          <w:ilvl w:val="0"/>
          <w:numId w:val="106"/>
        </w:numPr>
        <w:spacing w:line="400" w:lineRule="exact"/>
        <w:ind w:firstLine="420"/>
      </w:pPr>
      <w:r>
        <w:rPr>
          <w:rFonts w:hint="eastAsia"/>
        </w:rPr>
        <w:t>生育保险缴纳证明或生育保险缴费清单。</w:t>
      </w:r>
    </w:p>
    <w:p>
      <w:pPr>
        <w:numPr>
          <w:ilvl w:val="0"/>
          <w:numId w:val="105"/>
        </w:numPr>
      </w:pPr>
      <w:r>
        <w:rPr>
          <w:rFonts w:hint="eastAsia"/>
        </w:rPr>
        <w:t>新成立的企业或在法规范围内不需提供的机构，应提供书面说明和有关佐证文件。</w:t>
      </w:r>
    </w:p>
    <w:p>
      <w:pPr>
        <w:spacing w:line="240" w:lineRule="auto"/>
        <w:ind w:firstLine="0" w:firstLineChars="0"/>
        <w:jc w:val="center"/>
        <w:rPr>
          <w:color w:val="FF0000"/>
        </w:rPr>
      </w:pPr>
    </w:p>
    <w:p>
      <w:pPr>
        <w:spacing w:line="240" w:lineRule="auto"/>
        <w:ind w:firstLine="0" w:firstLineChars="0"/>
        <w:rPr>
          <w:color w:val="FF0000"/>
        </w:rPr>
      </w:pPr>
    </w:p>
    <w:p>
      <w:pPr>
        <w:spacing w:line="240" w:lineRule="auto"/>
        <w:ind w:firstLine="0" w:firstLineChars="0"/>
        <w:rPr>
          <w:color w:val="FF0000"/>
        </w:rPr>
        <w:sectPr>
          <w:type w:val="continuous"/>
          <w:pgSz w:w="11906" w:h="16838"/>
          <w:pgMar w:top="1474" w:right="1417" w:bottom="1247" w:left="1417" w:header="851" w:footer="992" w:gutter="0"/>
          <w:cols w:space="720" w:num="1"/>
          <w:docGrid w:type="lines" w:linePitch="312" w:charSpace="0"/>
        </w:sectPr>
      </w:pPr>
      <w:r>
        <w:drawing>
          <wp:inline distT="0" distB="0" distL="0" distR="0">
            <wp:extent cx="5760720" cy="5338445"/>
            <wp:effectExtent l="0" t="0" r="11430" b="14605"/>
            <wp:docPr id="1810073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73525" name="图片 1"/>
                    <pic:cNvPicPr>
                      <a:picLocks noChangeAspect="1"/>
                    </pic:cNvPicPr>
                  </pic:nvPicPr>
                  <pic:blipFill>
                    <a:blip r:embed="rId26"/>
                    <a:stretch>
                      <a:fillRect/>
                    </a:stretch>
                  </pic:blipFill>
                  <pic:spPr>
                    <a:xfrm>
                      <a:off x="0" y="0"/>
                      <a:ext cx="5760720" cy="5338445"/>
                    </a:xfrm>
                    <a:prstGeom prst="rect">
                      <a:avLst/>
                    </a:prstGeom>
                  </pic:spPr>
                </pic:pic>
              </a:graphicData>
            </a:graphic>
          </wp:inline>
        </w:drawing>
      </w:r>
    </w:p>
    <w:p>
      <w:pPr>
        <w:ind w:firstLine="0" w:firstLineChars="0"/>
        <w:jc w:val="right"/>
        <w:rPr>
          <w:color w:val="FF0000"/>
        </w:rPr>
        <w:sectPr>
          <w:type w:val="continuous"/>
          <w:pgSz w:w="11906" w:h="16838"/>
          <w:pgMar w:top="1474" w:right="1417" w:bottom="1247" w:left="1417" w:header="851" w:footer="992" w:gutter="0"/>
          <w:cols w:space="720" w:num="1"/>
          <w:docGrid w:type="lines" w:linePitch="312" w:charSpace="0"/>
        </w:sectPr>
      </w:pPr>
    </w:p>
    <w:p>
      <w:pPr>
        <w:pStyle w:val="4"/>
        <w:tabs>
          <w:tab w:val="left" w:pos="0"/>
        </w:tabs>
        <w:spacing w:before="156" w:after="156"/>
        <w:ind w:firstLine="560"/>
      </w:pPr>
      <w:bookmarkStart w:id="5" w:name="_Toc20023"/>
      <w:bookmarkStart w:id="6" w:name="_Toc109"/>
      <w:r>
        <w:rPr>
          <w:rFonts w:hint="eastAsia"/>
        </w:rPr>
        <w:t>公司基本信息</w:t>
      </w:r>
      <w:bookmarkEnd w:id="5"/>
      <w:bookmarkEnd w:id="6"/>
    </w:p>
    <w:p>
      <w:pPr>
        <w:ind w:firstLine="420"/>
      </w:pPr>
      <w:r>
        <w:rPr>
          <w:rFonts w:hint="eastAsia"/>
        </w:rPr>
        <w:t>公司介绍：</w:t>
      </w:r>
      <w:r>
        <w:t>明臻智慧科技（北京）有限责任公司成立于2019年05月21日，注册地位于北京市通州区聚和四街5号5幢1层101，法定代表人为李雪明。经营范围包括技术推广、技术开发、技术咨询、技术转让、技术服务；软件开发；基础软件服务；应用软件服务；计算机系统服务；货物进出口、技术进出口、代理进出口；零售化妆品、玩具、文化用品、日用品、体育用品（不含弩）、第一类医疗器械、家用电器、电子产品、五金交电（不含电动自行车）、专用设备、通用设备；企业管理；市场调查；经济贸易咨询；企业管理咨询；设计、制作、代理、发布广告；承办展览展示；会议服务；旅游信息咨询；翻译服务；包装装潢设计；模型设计；企业策划。（市场主体依法自主选择经营项目，开展经营活动；依法须经批准的项目，经相关部门批准后依批准的内容开展经营活动；不得从事国家和本市产业政策禁止和限制类项目的经营活动。）</w:t>
      </w:r>
    </w:p>
    <w:p>
      <w:pPr>
        <w:ind w:firstLine="420"/>
        <w:rPr>
          <w:b/>
          <w:bCs/>
        </w:rPr>
      </w:pPr>
      <w:r>
        <w:rPr>
          <w:rFonts w:hint="eastAsia"/>
          <w:b/>
          <w:bCs/>
        </w:rPr>
        <w:t>企业营业执照：</w:t>
      </w:r>
    </w:p>
    <w:p>
      <w:pPr>
        <w:spacing w:line="240" w:lineRule="auto"/>
        <w:ind w:firstLine="0" w:firstLineChars="0"/>
        <w:jc w:val="center"/>
        <w:rPr>
          <w:b/>
          <w:bCs/>
        </w:rPr>
      </w:pPr>
      <w:r>
        <w:rPr>
          <w:rFonts w:ascii="Times New Roman" w:hAnsi="Times New Roman" w:cs="Times New Roman"/>
          <w:sz w:val="30"/>
          <w:szCs w:val="30"/>
        </w:rPr>
        <w:drawing>
          <wp:inline distT="0" distB="0" distL="114300" distR="114300">
            <wp:extent cx="5579745" cy="3945255"/>
            <wp:effectExtent l="0" t="0" r="1905" b="17145"/>
            <wp:docPr id="1" name="图片框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框 1026"/>
                    <pic:cNvPicPr>
                      <a:picLocks noChangeAspect="1"/>
                    </pic:cNvPicPr>
                  </pic:nvPicPr>
                  <pic:blipFill>
                    <a:blip r:embed="rId27">
                      <a:lum/>
                    </a:blip>
                    <a:stretch>
                      <a:fillRect/>
                    </a:stretch>
                  </pic:blipFill>
                  <pic:spPr>
                    <a:xfrm>
                      <a:off x="0" y="0"/>
                      <a:ext cx="5579745" cy="3945255"/>
                    </a:xfrm>
                    <a:prstGeom prst="rect">
                      <a:avLst/>
                    </a:prstGeom>
                    <a:noFill/>
                    <a:ln>
                      <a:noFill/>
                    </a:ln>
                  </pic:spPr>
                </pic:pic>
              </a:graphicData>
            </a:graphic>
          </wp:inline>
        </w:drawing>
      </w:r>
    </w:p>
    <w:p>
      <w:pPr>
        <w:ind w:firstLine="420"/>
        <w:rPr>
          <w:b/>
          <w:bCs/>
        </w:rPr>
      </w:pPr>
    </w:p>
    <w:p>
      <w:pPr>
        <w:ind w:firstLine="420"/>
        <w:rPr>
          <w:b/>
          <w:bCs/>
        </w:rPr>
      </w:pPr>
      <w:r>
        <w:rPr>
          <w:rFonts w:hint="eastAsia"/>
          <w:b/>
          <w:bCs/>
        </w:rPr>
        <w:t>企业法人信息：</w:t>
      </w:r>
    </w:p>
    <w:p>
      <w:pPr>
        <w:adjustRightInd w:val="0"/>
        <w:snapToGrid w:val="0"/>
        <w:spacing w:line="240" w:lineRule="auto"/>
        <w:ind w:firstLine="0" w:firstLineChars="0"/>
        <w:jc w:val="center"/>
        <w:rPr>
          <w:rFonts w:ascii="Times New Roman" w:hAnsi="Times New Roman" w:cs="Times New Roman"/>
          <w:sz w:val="30"/>
          <w:szCs w:val="30"/>
        </w:rPr>
      </w:pPr>
      <w:r>
        <w:rPr>
          <w:rFonts w:ascii="Times New Roman" w:hAnsi="Times New Roman" w:cs="Times New Roman"/>
          <w:sz w:val="30"/>
          <w:szCs w:val="30"/>
        </w:rPr>
        <w:drawing>
          <wp:inline distT="0" distB="0" distL="114300" distR="114300">
            <wp:extent cx="2860675" cy="1800225"/>
            <wp:effectExtent l="0" t="0" r="15875" b="9525"/>
            <wp:docPr id="116" name="图片框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框 1109"/>
                    <pic:cNvPicPr>
                      <a:picLocks noChangeAspect="1"/>
                    </pic:cNvPicPr>
                  </pic:nvPicPr>
                  <pic:blipFill>
                    <a:blip r:embed="rId28">
                      <a:lum/>
                    </a:blip>
                    <a:stretch>
                      <a:fillRect/>
                    </a:stretch>
                  </pic:blipFill>
                  <pic:spPr>
                    <a:xfrm>
                      <a:off x="0" y="0"/>
                      <a:ext cx="2860675" cy="1800225"/>
                    </a:xfrm>
                    <a:prstGeom prst="rect">
                      <a:avLst/>
                    </a:prstGeom>
                    <a:noFill/>
                    <a:ln>
                      <a:noFill/>
                    </a:ln>
                  </pic:spPr>
                </pic:pic>
              </a:graphicData>
            </a:graphic>
          </wp:inline>
        </w:drawing>
      </w:r>
      <w:r>
        <w:rPr>
          <w:rFonts w:ascii="Times New Roman" w:hAnsi="Times New Roman" w:cs="Times New Roman"/>
          <w:sz w:val="30"/>
          <w:szCs w:val="30"/>
        </w:rPr>
        <w:drawing>
          <wp:inline distT="0" distB="0" distL="114300" distR="114300">
            <wp:extent cx="2717800" cy="1800225"/>
            <wp:effectExtent l="0" t="0" r="6350" b="9525"/>
            <wp:docPr id="117" name="图片框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框 1111"/>
                    <pic:cNvPicPr>
                      <a:picLocks noChangeAspect="1"/>
                    </pic:cNvPicPr>
                  </pic:nvPicPr>
                  <pic:blipFill>
                    <a:blip r:embed="rId29">
                      <a:lum/>
                    </a:blip>
                    <a:stretch>
                      <a:fillRect/>
                    </a:stretch>
                  </pic:blipFill>
                  <pic:spPr>
                    <a:xfrm>
                      <a:off x="0" y="0"/>
                      <a:ext cx="2717800" cy="1800225"/>
                    </a:xfrm>
                    <a:prstGeom prst="rect">
                      <a:avLst/>
                    </a:prstGeom>
                    <a:noFill/>
                    <a:ln>
                      <a:noFill/>
                    </a:ln>
                  </pic:spPr>
                </pic:pic>
              </a:graphicData>
            </a:graphic>
          </wp:inline>
        </w:drawing>
      </w:r>
    </w:p>
    <w:p>
      <w:pPr>
        <w:ind w:firstLine="0" w:firstLineChars="0"/>
        <w:jc w:val="right"/>
        <w:rPr>
          <w:b/>
          <w:bCs/>
        </w:rPr>
      </w:pPr>
    </w:p>
    <w:p>
      <w:pPr>
        <w:ind w:firstLine="0" w:firstLineChars="0"/>
        <w:jc w:val="right"/>
        <w:rPr>
          <w:b/>
          <w:bCs/>
        </w:rPr>
      </w:pPr>
      <w:r>
        <w:rPr>
          <w:rFonts w:hint="eastAsia"/>
          <w:b/>
          <w:bCs/>
        </w:rPr>
        <w:t>投标人</w:t>
      </w:r>
      <w:r>
        <w:rPr>
          <w:b/>
          <w:bCs/>
        </w:rPr>
        <w:t>：明臻智慧科技（北京）有限责任公司</w:t>
      </w:r>
    </w:p>
    <w:p>
      <w:pPr>
        <w:wordWrap w:val="0"/>
        <w:ind w:firstLine="0" w:firstLineChars="0"/>
        <w:jc w:val="right"/>
        <w:rPr>
          <w:b/>
          <w:bCs/>
        </w:rPr>
      </w:pPr>
      <w:r>
        <w:rPr>
          <w:b/>
          <w:bCs/>
        </w:rPr>
        <w:t>日期：2023年12月</w:t>
      </w:r>
      <w:r>
        <w:rPr>
          <w:rFonts w:hint="eastAsia"/>
          <w:b/>
          <w:bCs/>
        </w:rPr>
        <w:t>28</w:t>
      </w:r>
      <w:r>
        <w:rPr>
          <w:b/>
          <w:bCs/>
        </w:rPr>
        <w:t>日</w:t>
      </w:r>
    </w:p>
    <w:p>
      <w:pPr>
        <w:ind w:firstLine="0" w:firstLineChars="0"/>
        <w:jc w:val="right"/>
        <w:rPr>
          <w:b/>
          <w:bCs/>
        </w:rPr>
      </w:pPr>
    </w:p>
    <w:p>
      <w:pPr>
        <w:adjustRightInd w:val="0"/>
        <w:snapToGrid w:val="0"/>
        <w:spacing w:line="240" w:lineRule="auto"/>
        <w:ind w:firstLine="0" w:firstLineChars="0"/>
        <w:rPr>
          <w:rFonts w:ascii="Times New Roman" w:hAnsi="Times New Roman" w:cs="Times New Roman"/>
          <w:sz w:val="30"/>
          <w:szCs w:val="30"/>
        </w:rPr>
      </w:pPr>
    </w:p>
    <w:p>
      <w:pPr>
        <w:adjustRightInd w:val="0"/>
        <w:snapToGrid w:val="0"/>
        <w:spacing w:line="240" w:lineRule="auto"/>
        <w:ind w:firstLine="0" w:firstLineChars="0"/>
        <w:jc w:val="center"/>
        <w:rPr>
          <w:rFonts w:ascii="Times New Roman" w:hAnsi="Times New Roman" w:cs="Times New Roman"/>
          <w:sz w:val="30"/>
          <w:szCs w:val="30"/>
        </w:rPr>
        <w:sectPr>
          <w:pgSz w:w="11906" w:h="16838"/>
          <w:pgMar w:top="1474" w:right="1417" w:bottom="1247" w:left="1417" w:header="851" w:footer="992" w:gutter="0"/>
          <w:cols w:space="720" w:num="1"/>
          <w:docGrid w:type="lines" w:linePitch="312" w:charSpace="0"/>
        </w:sectPr>
      </w:pPr>
    </w:p>
    <w:p>
      <w:pPr>
        <w:pStyle w:val="4"/>
        <w:tabs>
          <w:tab w:val="left" w:pos="0"/>
        </w:tabs>
        <w:spacing w:before="156" w:after="156"/>
        <w:ind w:firstLine="560"/>
      </w:pPr>
      <w:bookmarkStart w:id="7" w:name="_Toc25903"/>
      <w:bookmarkStart w:id="8" w:name="_Toc2445"/>
      <w:r>
        <w:rPr>
          <w:rFonts w:hint="eastAsia"/>
        </w:rPr>
        <w:t>企业资格承诺函</w:t>
      </w:r>
      <w:bookmarkEnd w:id="7"/>
      <w:bookmarkEnd w:id="8"/>
    </w:p>
    <w:p>
      <w:pPr>
        <w:spacing w:before="156" w:beforeLines="50" w:after="156" w:afterLines="50" w:line="240" w:lineRule="auto"/>
        <w:ind w:firstLine="0" w:firstLineChars="0"/>
        <w:jc w:val="center"/>
        <w:rPr>
          <w:b/>
          <w:bCs/>
          <w:sz w:val="32"/>
          <w:szCs w:val="32"/>
        </w:rPr>
      </w:pPr>
      <w:r>
        <w:rPr>
          <w:rFonts w:hint="eastAsia"/>
          <w:b/>
          <w:bCs/>
          <w:sz w:val="32"/>
          <w:szCs w:val="32"/>
        </w:rPr>
        <w:t>承诺函</w:t>
      </w:r>
    </w:p>
    <w:p>
      <w:pPr>
        <w:ind w:firstLine="420"/>
      </w:pPr>
      <w:r>
        <w:rPr>
          <w:rFonts w:hint="eastAsia"/>
        </w:rPr>
        <w:t>（一）我单位对该《政府采购法》第二十二条规定条件做出如下服务承诺：</w:t>
      </w:r>
    </w:p>
    <w:p>
      <w:pPr>
        <w:numPr>
          <w:ilvl w:val="0"/>
          <w:numId w:val="107"/>
        </w:numPr>
        <w:ind w:firstLine="420"/>
      </w:pPr>
      <w:r>
        <w:t>我单位具有独立承担民事责任的能力；</w:t>
      </w:r>
    </w:p>
    <w:p>
      <w:pPr>
        <w:numPr>
          <w:ilvl w:val="0"/>
          <w:numId w:val="107"/>
        </w:numPr>
        <w:ind w:firstLine="420"/>
      </w:pPr>
      <w:r>
        <w:t>我单位具有良好的商业信誉和健全的财务会计制度；</w:t>
      </w:r>
    </w:p>
    <w:p>
      <w:pPr>
        <w:numPr>
          <w:ilvl w:val="0"/>
          <w:numId w:val="107"/>
        </w:numPr>
        <w:ind w:firstLine="420"/>
      </w:pPr>
      <w:r>
        <w:t>我单位具有履行合同所必需的设备和专业技术能力；</w:t>
      </w:r>
    </w:p>
    <w:p>
      <w:pPr>
        <w:numPr>
          <w:ilvl w:val="0"/>
          <w:numId w:val="107"/>
        </w:numPr>
        <w:ind w:firstLine="420"/>
      </w:pPr>
      <w:r>
        <w:t>我单位有依法缴纳税收和社会保障资金的良好记录；</w:t>
      </w:r>
    </w:p>
    <w:p>
      <w:pPr>
        <w:numPr>
          <w:ilvl w:val="0"/>
          <w:numId w:val="107"/>
        </w:numPr>
        <w:ind w:firstLine="420"/>
      </w:pPr>
      <w:r>
        <w:t>我单位参加政府采购活动前三年内，在经营活动中没有重大违法记录</w:t>
      </w:r>
    </w:p>
    <w:p>
      <w:pPr>
        <w:numPr>
          <w:ilvl w:val="0"/>
          <w:numId w:val="107"/>
        </w:numPr>
        <w:ind w:firstLine="420"/>
      </w:pPr>
      <w:r>
        <w:t>我单位符合法律、行政法规规定的其他条件。</w:t>
      </w:r>
    </w:p>
    <w:p>
      <w:pPr>
        <w:ind w:firstLine="420"/>
      </w:pPr>
      <w:r>
        <w:rPr>
          <w:rFonts w:hint="eastAsia"/>
        </w:rPr>
        <w:t>（二）我公司承诺通过合法渠道，可查证不存在违反《中华人民共和国政府采购法实施条例》第十八条“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规定的情形。</w:t>
      </w:r>
    </w:p>
    <w:p>
      <w:pPr>
        <w:ind w:firstLine="420"/>
      </w:pPr>
      <w:r>
        <w:rPr>
          <w:rFonts w:hint="eastAsia"/>
        </w:rPr>
        <w:t>（三）我单位承诺通过“全国企业信用信息公示系统”、“中国执行信息公开网”、“中国裁判文书网”、“信用中国”、“中国政府采购网”等合法渠道，可查证在投标截止日期前未被列入失信被执行人名单、重大税收违法案件当事人名单、政府采购严重违法失信行为记录名单。</w:t>
      </w:r>
    </w:p>
    <w:p>
      <w:pPr>
        <w:ind w:firstLine="420"/>
      </w:pPr>
      <w:r>
        <w:rPr>
          <w:rFonts w:hint="eastAsia"/>
        </w:rPr>
        <w:t>（四）我单位承诺通过“中国执行信息公开网”（</w:t>
      </w:r>
      <w:r>
        <w:t>http://zxgk.court.gov.cn</w:t>
      </w:r>
      <w:r>
        <w:rPr>
          <w:rFonts w:hint="eastAsia"/>
        </w:rPr>
        <w:t>）等合法渠道，可查证法定代表人和负责人近三年内无行贿犯罪记录。</w:t>
      </w:r>
    </w:p>
    <w:p>
      <w:pPr>
        <w:ind w:firstLine="420"/>
      </w:pPr>
      <w:r>
        <w:rPr>
          <w:rFonts w:hint="eastAsia"/>
        </w:rPr>
        <w:t>（五）我单位承诺通过合法渠道，事业单位或社会团体可查证不属于《政府购买服务管理办法》（财政部令第</w:t>
      </w:r>
      <w:r>
        <w:t>102</w:t>
      </w:r>
      <w:r>
        <w:rPr>
          <w:rFonts w:hint="eastAsia"/>
        </w:rPr>
        <w:t>号）第八条“公益一类事业单位、使用事业编制且由财政拨款保障的群团组织，不作为政府购买服务的购买主体和承接主体。”规定的情形。</w:t>
      </w:r>
    </w:p>
    <w:p>
      <w:pPr>
        <w:ind w:firstLine="0" w:firstLineChars="0"/>
        <w:jc w:val="right"/>
      </w:pPr>
    </w:p>
    <w:p>
      <w:pPr>
        <w:ind w:firstLine="0" w:firstLineChars="0"/>
        <w:jc w:val="right"/>
        <w:rPr>
          <w:b/>
          <w:bCs/>
        </w:rPr>
      </w:pPr>
      <w:r>
        <w:rPr>
          <w:rFonts w:hint="eastAsia"/>
          <w:b/>
          <w:bCs/>
        </w:rPr>
        <w:t>承诺人（供应商或自然人CA签章）：明臻智慧科技（北京）有限责任公司</w:t>
      </w:r>
    </w:p>
    <w:p>
      <w:pPr>
        <w:wordWrap w:val="0"/>
        <w:ind w:firstLine="0" w:firstLineChars="0"/>
        <w:jc w:val="right"/>
        <w:rPr>
          <w:b/>
          <w:bCs/>
        </w:rPr>
      </w:pPr>
      <w:r>
        <w:rPr>
          <w:rFonts w:hint="eastAsia"/>
          <w:b/>
          <w:bCs/>
        </w:rPr>
        <w:t>日期：2023年12月28日</w:t>
      </w:r>
    </w:p>
    <w:p>
      <w:pPr>
        <w:ind w:firstLine="0" w:firstLineChars="0"/>
        <w:jc w:val="right"/>
      </w:pPr>
    </w:p>
    <w:p>
      <w:pPr>
        <w:ind w:firstLine="0" w:firstLineChars="0"/>
      </w:pPr>
    </w:p>
    <w:p>
      <w:pPr>
        <w:ind w:firstLine="0" w:firstLineChars="0"/>
        <w:jc w:val="right"/>
        <w:sectPr>
          <w:pgSz w:w="11906" w:h="16838"/>
          <w:pgMar w:top="1474" w:right="1417" w:bottom="1247" w:left="1417" w:header="851" w:footer="992" w:gutter="0"/>
          <w:cols w:space="720" w:num="1"/>
          <w:docGrid w:type="lines" w:linePitch="312" w:charSpace="0"/>
        </w:sectPr>
      </w:pPr>
    </w:p>
    <w:p>
      <w:pPr>
        <w:pStyle w:val="3"/>
        <w:spacing w:before="312" w:after="312"/>
      </w:pPr>
      <w:bookmarkStart w:id="9" w:name="_Toc1287"/>
      <w:bookmarkStart w:id="10" w:name="_Toc13038"/>
      <w:r>
        <w:rPr>
          <w:rFonts w:hint="eastAsia"/>
        </w:rPr>
        <w:t>法定代表人授权书</w:t>
      </w:r>
      <w:bookmarkEnd w:id="9"/>
      <w:bookmarkEnd w:id="10"/>
    </w:p>
    <w:p>
      <w:pPr>
        <w:ind w:firstLine="0" w:firstLineChars="0"/>
        <w:jc w:val="right"/>
        <w:rPr>
          <w:b/>
          <w:bCs/>
        </w:rPr>
      </w:pPr>
      <w:r>
        <w:drawing>
          <wp:inline distT="0" distB="0" distL="0" distR="0">
            <wp:extent cx="5760720" cy="6912610"/>
            <wp:effectExtent l="0" t="0" r="11430" b="2540"/>
            <wp:docPr id="1545534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34917" name="图片 1"/>
                    <pic:cNvPicPr>
                      <a:picLocks noChangeAspect="1"/>
                    </pic:cNvPicPr>
                  </pic:nvPicPr>
                  <pic:blipFill>
                    <a:blip r:embed="rId30"/>
                    <a:stretch>
                      <a:fillRect/>
                    </a:stretch>
                  </pic:blipFill>
                  <pic:spPr>
                    <a:xfrm>
                      <a:off x="0" y="0"/>
                      <a:ext cx="5760720" cy="6912610"/>
                    </a:xfrm>
                    <a:prstGeom prst="rect">
                      <a:avLst/>
                    </a:prstGeom>
                  </pic:spPr>
                </pic:pic>
              </a:graphicData>
            </a:graphic>
          </wp:inline>
        </w:drawing>
      </w:r>
    </w:p>
    <w:p>
      <w:pPr>
        <w:ind w:firstLine="0" w:firstLineChars="0"/>
        <w:sectPr>
          <w:pgSz w:w="11906" w:h="16838"/>
          <w:pgMar w:top="1474" w:right="1417" w:bottom="1247" w:left="1417" w:header="851" w:footer="992" w:gutter="0"/>
          <w:cols w:space="720" w:num="1"/>
          <w:docGrid w:type="lines" w:linePitch="312" w:charSpace="0"/>
        </w:sectPr>
      </w:pPr>
    </w:p>
    <w:p>
      <w:pPr>
        <w:pStyle w:val="3"/>
        <w:spacing w:before="312" w:after="312"/>
      </w:pPr>
      <w:bookmarkStart w:id="11" w:name="_Toc11192"/>
      <w:bookmarkStart w:id="12" w:name="_Toc28722"/>
      <w:r>
        <w:rPr>
          <w:rFonts w:hint="eastAsia"/>
        </w:rPr>
        <w:t>主要商务要求承诺书</w:t>
      </w:r>
      <w:bookmarkEnd w:id="11"/>
      <w:bookmarkEnd w:id="12"/>
    </w:p>
    <w:p>
      <w:pPr>
        <w:ind w:firstLine="420"/>
      </w:pPr>
      <w:r>
        <w:rPr>
          <w:rFonts w:hint="eastAsia"/>
        </w:rPr>
        <w:t>我公司（</w:t>
      </w:r>
      <w:r>
        <w:t>明臻智慧科技（北京）有限责任公司</w:t>
      </w:r>
      <w:r>
        <w:rPr>
          <w:rFonts w:hint="eastAsia"/>
        </w:rPr>
        <w:t>）承诺可以完全满足本次采购项目的所有主要商务条款要求（如标的提供的时间、标的提供的地点、投标有效期、采购资金支付、验收要求、履约保证金等）。若有不符合或未按承诺履行的，后果和责任自负。</w:t>
      </w:r>
    </w:p>
    <w:p>
      <w:pPr>
        <w:ind w:firstLine="420"/>
      </w:pPr>
    </w:p>
    <w:p>
      <w:pPr>
        <w:ind w:firstLine="420"/>
      </w:pPr>
    </w:p>
    <w:p>
      <w:pPr>
        <w:ind w:firstLine="420"/>
      </w:pPr>
      <w:r>
        <w:rPr>
          <w:rFonts w:hint="eastAsia"/>
        </w:rPr>
        <w:t>特此承诺。</w:t>
      </w:r>
    </w:p>
    <w:p>
      <w:pPr>
        <w:ind w:firstLine="420"/>
        <w:jc w:val="right"/>
      </w:pPr>
    </w:p>
    <w:p>
      <w:pPr>
        <w:ind w:firstLine="420"/>
        <w:jc w:val="right"/>
        <w:rPr>
          <w:b/>
          <w:bCs/>
        </w:rPr>
      </w:pPr>
      <w:r>
        <w:rPr>
          <w:rFonts w:hint="eastAsia"/>
          <w:b/>
          <w:bCs/>
        </w:rPr>
        <w:t>供应商名称：明臻智慧科技（北京）有限责任公司（加盖公章）</w:t>
      </w:r>
    </w:p>
    <w:p>
      <w:pPr>
        <w:wordWrap w:val="0"/>
        <w:ind w:firstLine="420"/>
        <w:jc w:val="right"/>
        <w:rPr>
          <w:rFonts w:eastAsia="宋体"/>
          <w:b/>
          <w:bCs/>
        </w:rPr>
      </w:pPr>
      <w:r>
        <w:rPr>
          <w:rFonts w:hint="eastAsia"/>
          <w:b/>
          <w:bCs/>
        </w:rPr>
        <w:t>日期：2023年12月28日</w:t>
      </w:r>
    </w:p>
    <w:p>
      <w:pPr>
        <w:ind w:firstLine="420"/>
        <w:jc w:val="right"/>
        <w:rPr>
          <w:b/>
          <w:bCs/>
        </w:rPr>
      </w:pPr>
    </w:p>
    <w:p>
      <w:pPr>
        <w:ind w:firstLine="0" w:firstLineChars="0"/>
      </w:pP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3"/>
        <w:spacing w:before="312" w:after="312"/>
      </w:pPr>
      <w:bookmarkStart w:id="13" w:name="_Toc27024"/>
      <w:bookmarkStart w:id="14" w:name="_Toc4925"/>
      <w:r>
        <w:rPr>
          <w:rFonts w:hint="eastAsia"/>
        </w:rPr>
        <w:t>技术偏离表</w:t>
      </w:r>
      <w:bookmarkEnd w:id="13"/>
      <w:bookmarkEnd w:id="14"/>
    </w:p>
    <w:tbl>
      <w:tblPr>
        <w:tblStyle w:val="16"/>
        <w:tblW w:w="9071" w:type="dxa"/>
        <w:jc w:val="center"/>
        <w:tblLayout w:type="fixed"/>
        <w:tblCellMar>
          <w:top w:w="0" w:type="dxa"/>
          <w:left w:w="108" w:type="dxa"/>
          <w:bottom w:w="0" w:type="dxa"/>
          <w:right w:w="108" w:type="dxa"/>
        </w:tblCellMar>
      </w:tblPr>
      <w:tblGrid>
        <w:gridCol w:w="409"/>
        <w:gridCol w:w="594"/>
        <w:gridCol w:w="450"/>
        <w:gridCol w:w="3160"/>
        <w:gridCol w:w="3160"/>
        <w:gridCol w:w="662"/>
        <w:gridCol w:w="636"/>
      </w:tblGrid>
      <w:tr>
        <w:tblPrEx>
          <w:tblCellMar>
            <w:top w:w="0" w:type="dxa"/>
            <w:left w:w="108" w:type="dxa"/>
            <w:bottom w:w="0" w:type="dxa"/>
            <w:right w:w="108" w:type="dxa"/>
          </w:tblCellMar>
        </w:tblPrEx>
        <w:trPr>
          <w:trHeight w:val="567" w:hRule="atLeast"/>
          <w:jc w:val="center"/>
        </w:trPr>
        <w:tc>
          <w:tcPr>
            <w:tcW w:w="409" w:type="dxa"/>
            <w:tcBorders>
              <w:top w:val="single" w:color="auto" w:sz="12"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序号</w:t>
            </w:r>
          </w:p>
        </w:tc>
        <w:tc>
          <w:tcPr>
            <w:tcW w:w="594" w:type="dxa"/>
            <w:tcBorders>
              <w:top w:val="single" w:color="auto" w:sz="12"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标的名称</w:t>
            </w:r>
          </w:p>
        </w:tc>
        <w:tc>
          <w:tcPr>
            <w:tcW w:w="3610" w:type="dxa"/>
            <w:gridSpan w:val="2"/>
            <w:tcBorders>
              <w:top w:val="single" w:color="auto" w:sz="12"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技术参数要求</w:t>
            </w:r>
          </w:p>
        </w:tc>
        <w:tc>
          <w:tcPr>
            <w:tcW w:w="3160" w:type="dxa"/>
            <w:tcBorders>
              <w:top w:val="single" w:color="auto" w:sz="12" w:space="0"/>
              <w:left w:val="nil"/>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投标人提供响应内容</w:t>
            </w:r>
          </w:p>
        </w:tc>
        <w:tc>
          <w:tcPr>
            <w:tcW w:w="662" w:type="dxa"/>
            <w:tcBorders>
              <w:top w:val="single" w:color="auto" w:sz="12"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偏离程度</w:t>
            </w:r>
          </w:p>
        </w:tc>
        <w:tc>
          <w:tcPr>
            <w:tcW w:w="636" w:type="dxa"/>
            <w:tcBorders>
              <w:top w:val="single" w:color="auto" w:sz="12"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备注</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LED显示屏幕</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1.像素点间距：≤1.86mm；</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1.像素点间距：1.86mm；</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2.像素密度：≥288906Dots/m2；</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2.像素密度：288906Dots/m2；</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3.单元板分辨率：≥14792Dots；</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3.单元板分辨率：14792Dots；</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4.显示效果：4K超清显示、色温均匀性好、亮度均匀性好，对比度高、色域广；</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4.显示效果：4K超清显示、色温均匀性好、亮度均匀性好，对比度高、色域广；</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5.驱动方式：恒流驱动；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5.驱动方式：恒流驱动；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6.供电方式：支持电源均流DC4.2V～DC5V，供电支持电源双输出电压DC2.8V/DC3.8V；</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6.供电方式：支持电源均流DC4.2V～DC5V，供电支持电源双输出电压DC2.8V/DC3.8V；</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7.整屏平整度：≤0.04mm；</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7.整屏平整度：0.04mm；</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8.模组平整度：≤0.03mm；</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8.模组平整度：0.03mm；</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9.拼接缝：≤0.03mm；【提供此功能的证明资料】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9.拼接缝：0.03mm；【提供此功能的证明资料】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第87页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10.白平衡亮度：≥750Cd/m²；</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10.白平衡亮度：750Cd/m²；</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11.亮度均匀性：≥99%；</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11.亮度均匀性：99%；</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12.色度均匀性：±0.001Cx、Cy内；</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12.色度均匀性：±0.001Cx、Cy内；</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13.色温：800-18000K；</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13.色温：800-18000K；</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14.水平视角：≥170°；</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14.水平视角：170°；</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15.垂直视角：≥170°；</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15.垂直视角：170°；</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16.对比度：≥9000：1；【提供此功能的证明资料】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16.对比度：≥9000：1；【提供此功能的证明资料】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第88页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★17.刷新率：≥4200Hz；【提供此功能的证明资料】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17.刷新率：4200Hz；【提供此功能的证明资料】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第78-80页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18.像素失控率：&lt;1/100000；</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18.像素失控率：&lt;1/100000；</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19.发光点中心偏距：＜0.8%；</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19.发光点中心偏距：＜0.8%；</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20.峰值功耗：≤300W/m²；</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20.峰值功耗：300W/m²；</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21.平均功耗：≤120W/m²；</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21.平均功耗：20W/m²；</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22.最大电流：≤5A；</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22.最大电流：5A；</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23.电流增益：电流增益调节范围：1%～199%，电流增益调节级别≥8位；</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23.电流增益：电流增益调节范围：1%～199%，电流增益调节级别≥8位；</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24.具有列下消隐功能、倍频刷新率提升2/4/8倍、低灰偏色改善；</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24.具有列下消隐功能、倍频刷新率提升2/4/8倍、低灰偏色改善；</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25.色温为6500K时，100%、75%、50%、25%四档电平白场调节色温误差≤200K；</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25.色温为6500K时，100%、75%、50%、25%四档电平白场调节色温误差≤200K；</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26.PCB板材采用玻璃化温度≥150℃的覆铜板；PCB板采用FR-4材质，电路采用多层设计，符合CQC13-471301-2018国家标准；</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26.PCB板材采用玻璃化温度≥150℃的覆铜板；PCB板采用FR-4材质，电路采用多层设计，符合CQC13-471301-2018国家标准；</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27.每个灯芯的波长误差值在±1nm以内，每个灯芯的亮度误差在5%以内；</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27.每个灯芯的波长误差值在±1nm以内，每个灯芯的亮度误差在5%以内；</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28.具有H2S宽动态处理技术，解决主控机二次重复播放时的衰减等现象；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28.具有H2S宽动态处理技术，解决主控机二次重复播放时的衰减等现象；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29.屏幕表面光反射率：照度=10Lux/5600K条件下，显示屏屏幕表面光反射率（单位面积反射亮度）＜3.0cd/m²；</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29.屏幕表面光反射率：照度=10Lux/5600K条件下，显示屏屏幕表面光反射率（单位面积反射亮度）＜3.0cd/m²；</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30.绝缘电阻：在器具输入插座端或者电源引入端子与外壳裸露金属部件之间的绝缘电阻在正常大气条件下应≥100MΩ，湿热条件下应≥2MΩ；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30.绝缘电阻：在器具输入插座端或者电源引入端子与外壳裸露金属部件之间的绝缘电阻在正常大气条件下应≥100MΩ，湿热条件下应≥2MΩ；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31.抗拉强度：≥230Mpa；</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31.抗拉强度：230Mpa；</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32.屈服强度：≥170Mpa；</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32.屈服强度：170Mpa；</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33.灰度等级：采用16bit技术；</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33.灰度等级：采用16bit技术；</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34.采用EPWM灰阶控制技术提升低灰视觉效果，100%亮度时，16bit灰度；70%亮度，16bit灰度；50%亮度，16bit灰度；20%亮度，14bit灰度，显示画面无单列或单行像素失控现象；支持0-100%亮度时，8-16bits灰度自定义设置；</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34.采用EPWM灰阶控制技术提升低灰视觉效果，100%亮度时，16bit灰度；70%亮度，16bit灰度；50%亮度，16bit灰度；20%亮度，14bit灰度，显示画面无单列或单行像素失控现象；支持0-100%亮度时，8-16bits灰度自定义设置；</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35.支持鬼影消除、首行暗亮消除、低灰偏色补偿、低灰均匀性、低灰横条纹消除、慢速开启、十字架消除、去坏点、毛毛虫消除、余辉消除、亮度缓慢变亮功能；</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35.支持鬼影消除、首行暗亮消除、低灰偏色补偿、低灰均匀性、低灰横条纹消除、慢速开启、十字架消除、去坏点、毛毛虫消除、余辉消除、亮度缓慢变亮功能；</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36.抗电强度：在器具输入插座端与屏正面之间施加试验电压3kv/50Hz，保持1min，不应出现飞弧和击穿现象；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36.抗电强度：在器具输入插座端与屏正面之间施加试验电压3kv/50Hz，保持1min，不应出现飞弧和击穿现象；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37.LED显示屏图像质量主观评价优、支持4K超清技术、HDR高动态光照渲染技术；符合LED显示屏绿色健康分级认证技术；</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37.LED显示屏图像质量主观评价优、支持4K超清技术、HDR高动态光照渲染技术；符合LED显示屏绿色健康分级认证技术；</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38.具有多点测温系统、通讯检测、电源检测、可实现远程监督控制，对可能发生的潜在故障记录日志，并向操作员发出警报信息；</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38.具有多点测温系统、通讯检测、电源检测、可实现远程监督控制，对可能发生的潜在故障记录日志，并向操作员发出警报信息；</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39.具有单点亮度校正，校正后亮度损失≤8%；具有颜色校正功能，具有灰度校正，支持模组校正，具有校正数据存储及自动回读功能；</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39.具有单点亮度校正，校正后亮度损失≤8%；具有颜色校正功能，具有灰度校正，支持模组校正，具有校正数据存储及自动回读功能；</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40.可实现LED单点检测，通讯检测、温度检测、电源检测、温度监控等功能；</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40.可实现LED单点检测，通讯检测、温度检测、电源检测、温度监控等功能；</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41.数据备份：数据记忆储存于LED显示模块箱体中，更换箱体设备时，无需重新设定参数；</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41.数据备份：数据记忆储存于LED显示模块箱体中，更换箱体设备时，无需重新设定参数；</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42.产品采用高端芯片，可智能调节正常工作与睡眠状态下的节能效果（动态节能，智能息屏），开启智能节电功能比没有开启节能45%以上；</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42.产品采用高端芯片，可智能调节正常工作与睡眠状态下的节能效果（动态节能，智能息屏），开启智能节电功能比没有开启节能45%以上；</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43.防护性能：具有防静电、防电磁干扰、防腐蚀、防霉菌、防虫、防潮、抗震动、抗雷击等功能；具有电源过压、过流、断电保护、分布上电措施、防护等级达到IP60；【提供此功能的证明资料】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43.防护性能：具有防静电、防电磁干扰、防腐蚀、防霉菌、防虫、防潮、抗震动、抗雷击等功能；具有电源过压、过流、断电保护、分布上电措施、防护等级达到IP60；【提供此功能的证明资料】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第89-91页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44.LED显示屏通过在正常环境下168h不间断运行无故障的老化测试；</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44.LED显示屏通过在正常环境下168h不间断运行无故障的老化测试；</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45.使用寿命：≥100000h；</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45.使用寿命：100000h；</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46.平均无故障时间：MTBF平均无故障时间≥20000h；MTTR平均修复时间≤4分钟；【提供此功能的证明资料】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46.平均无故障时间：MTBF平均无故障时间20000h；MTTR平均修复时间4分钟；【提供此功能的证明资料】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第92页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47.屏幕温升：最高亮度（白平衡）持续工作4小时，模组表面温升小于20K；</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47.屏幕温升：最高亮度（白平衡）持续工作4小时，模组表面温升小于20K；</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48.为确保屏体在不同的环境下仍可正常启动工作，要求投标人所投LED显示屏须通过零下40℃和高温80℃的环境运行12h产品能正常工作。</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48.为确保屏体在不同的环境下仍可正常启动工作，要求投标人所投LED显示屏须通过零下40℃和高温80℃的环境运行12h产品能正常工作。</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49.支持自动GAMMA校正技术，16bit自动调节，通过构造非线性校正曲线和色坐标变换系数矩阵实现了显示效果的不断改善，各项重要指标如色彩还原性、色温调节范围、亮度均匀性、色度均匀性、刷新率、换帧频率等，均符合广电级标准；</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49.支持自动GAMMA校正技术，16bit自动调节，通过构造非线性校正曲线和色坐标变换系数矩阵实现了显示效果的不断改善，各项重要指标如色彩还原性、色温调节范围、亮度均匀性、色度均匀性、刷新率、换帧频率等，均符合广电级标准；</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132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50.光生物安全检测：无危害类：8h（30000s）曝辐中不造成光化学紫外危害（ES），并在16min（1000s）内不造成近紫外危害（EUVA），并在2.8h（10000s）内不造成对视网膜蓝光危害（LB）并在10s内不造成对视网膜热危害（LR），且在1000s内不造成对眼睛的红外辐射危害（EIR）；【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50.光生物安全检测：无危害类：8h（30000s）曝辐中不造成光化学紫外危害（ES），并在16min（1000s）内不造成近紫外危害（EUVA），并在2.8h（10000s）内不造成对视网膜蓝光危害（LB）并在10s内不造成对视网膜热危害（LR），且在1000s内不造成对眼睛的红外辐射危害（EIR）；【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第93页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51.盐雾：盐雾10级；</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51.盐雾：盐雾10级；</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52.阻燃：PCB板、防火保护外壳及内部其他元器件均达到V-0等级；</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52.阻燃：PCB板、防火保护外壳及内部其他元器件均达到V-0等级；</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132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53.产品通过GB/T9254-2008《信息技术设备的无线电骚扰限值和测量方法》试验，辐射干扰检测结果符合标准规范要求，符合ClassB限值要求。在30-230MHz频率范围内，峰值限值dB≤41μV/m；在230-1000MHz频率范围内，峰值限值dB≤46μV/m；</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53.产品通过GB/T9254-2008《信息技术设备的无线电骚扰限值和测量方法》试验，辐射干扰检测结果符合标准规范要求，符合ClassB限值要求。在30-230MHz频率范围内，峰值限值dB≤41μV/m；在230-1000MHz频率范围内，峰值限值dB≤46μV/m；</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54.支持一键点屏技术，开机后自动识别系统连接，无需重置系统配置；</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54.支持一键点屏技术，开机后自动识别系统连接，无需重置系统配置；</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55.箱体防护等级：IK10；</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55.箱体防护等级：IK10；</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56.抗震实验：显示屏通过YD5083-2005标准抗震测试，测试结果满足抗震10级；</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56.抗震实验：显示屏通过YD5083-2005标准抗震测试，测试结果满足抗震10级；</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57.防呆设计：模组电源接口采用4P接插头，免工具维护,同时有防呆设计；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57.防呆设计：模组电源接口采用4P接插头，免工具维护,同时有防呆设计；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58.摩尔纹抑制功能：显示屏支持抑制摩尔纹功能，减轻摩尔纹视觉主观效果80%；</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58.摩尔纹抑制功能：显示屏支持抑制摩尔纹功能，减轻摩尔纹视觉主观效果80%；</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59.高海拔工作试验：5000米海拔环境下，产品可正常工作</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59.高海拔工作试验：5000米海拔环境下，产品可正常工作</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60.表面硬度：具备划痕性能技术,表面硬度≥15H</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60.表面硬度：具备划痕性能技术,表面硬度≥15H</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61.浪涌（冲击）抗扰度：LED显示屏通过符合GB/T17626.5-2008标准的浪涌（冲击）抗扰度试验</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61.浪涌（冲击）抗扰度：LED显示屏通过符合GB/T17626.5-2008标准的浪涌（冲击）抗扰度试验</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62.具备防蓝光护眼功能，蓝光辐射能量≤20%。蓝光辐射能量值对人眼视网膜无伤害，LED显示屏蓝光辐亮度≤80W.m-2.sr-1,符合肉眼观看标准。</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62.具备防蓝光护眼功能，蓝光辐射能量20%。蓝光辐射能量值对人眼视网膜无伤害，LED显示屏蓝光辐亮度80W.m-2.sr-1,符合肉眼观看标准。</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63.IPX6滑石粉密度：2KG/m3网孔径75um使用次数：小于20次，实验时间8H。试验后检查样品无进尘现象。屏幕防尘等级符合IP6X（防尘）；</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63.IPX6滑石粉密度：2KG/m3网孔径75um使用次数：小于20次，实验时间8H。试验后检查样品无进尘现象。屏幕防尘等级符合IP6X（防尘）；</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64.产品符合TIRT-GK-JS-55-2020《显示设备显示性能视觉健康认证技术规范第5部分：室内图像显示系统显示屏》技术标准；</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64.产品符合TIRT-GK-JS-55-2020《显示设备显示性能视觉健康认证技术规范第5部分：室内图像显示系统显示屏》技术标准；</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65.要求投标人所投LED显示屏支持DVI、VGA输入、支持HDMI视频输入、支持视频PAL/NTSC制式自适应、支持复合视频信号、支持USB输入、支持IP输入、支持CVBS/DP/HDBASE输入、支持光纤/网络等接口输入；</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65.要求投标人所投LED显示屏支持DVI、VGA输入、支持HDMI视频输入、支持视频PAL/NTSC制式自适应、支持复合视频信号、支持USB输入、支持IP输入、支持CVBS/DP/HDBASE输入、支持光纤/网络等接口输入；</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66.所投LED显示屏产品在1×105～1×109Ω技术要求下满足点对点电阻（A面）≤2.89×108；点对点电阻（B面）≤2.43×108；并且在（±1000-±100V）≤2S的技术要求下满足静电电压衰减期值：（+V：≤0.26S，-V：≤0.32S）</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66.所投LED显示屏产品在1×105～1×109Ω技术要求下满足点对点电阻（A面）2.89×108；点对点电阻（B面）2.43×108；并且在（±1000-±100V）≤2S的技术要求下满足静电电压衰减期值：（+V：≤0.26S，-V：≤0.32S）</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67.所投LED显示屏的灯管耐焊耐热：灯珠引脚无氧化,焊接正常,灯珠胶体正常,点亮正常；灯管抗静电(ESD)测试：HBM模式:ESD&gt;2000V，灯珠点亮无异常；灯管红墨水试验：纯红墨水常温浸泡24h,无渗透,灯管气密性良好。</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67.所投LED显示屏的灯管耐焊耐热：灯珠引脚无氧化,焊接正常,灯珠胶体正常,点亮正常；灯管抗静电(ESD)测试：HBM模式:ESD&gt;2000V，灯珠点亮无异常；灯管红墨水试验：纯红墨水常温浸泡24h,无渗透,灯管气密性良好。</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68.为不影响屏体周边人员的健康，要求投标人所投LED显示屏在正常工作中，显示屏1m范围内，前后左右4个位置噪音不大于1.4dB；所投LED显示屏观看舒适度需符合：</w:t>
            </w:r>
            <w:r>
              <w:rPr>
                <w:rFonts w:hint="eastAsia"/>
                <w:color w:val="000000"/>
                <w:kern w:val="0"/>
                <w:sz w:val="18"/>
                <w:szCs w:val="18"/>
              </w:rPr>
              <w:t>“</w:t>
            </w:r>
            <w:r>
              <w:rPr>
                <w:color w:val="000000"/>
                <w:kern w:val="0"/>
                <w:sz w:val="18"/>
                <w:szCs w:val="18"/>
              </w:rPr>
              <w:t>人眼视觉舒适度(VICO)1级，基本无疲劳感。</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68.为不影响屏体周边人员的健康，要求投标人所投LED显示屏在正常工作中，显示屏1m范围内，前后左右4个位置噪音不大于1.4dB；所投LED显示屏观看舒适度需符合：</w:t>
            </w:r>
            <w:r>
              <w:rPr>
                <w:rFonts w:hint="eastAsia"/>
                <w:color w:val="000000"/>
                <w:kern w:val="0"/>
                <w:sz w:val="18"/>
                <w:szCs w:val="18"/>
              </w:rPr>
              <w:t>“</w:t>
            </w:r>
            <w:r>
              <w:rPr>
                <w:color w:val="000000"/>
                <w:kern w:val="0"/>
                <w:sz w:val="18"/>
                <w:szCs w:val="18"/>
              </w:rPr>
              <w:t>人眼视觉舒适度(VICO)1级，基本无疲劳感。</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69.所投产品具备高光效集成线路控制系统、集成泛光灯线路控制系统；</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69.所投产品具备高光效集成线路控制系统、集成泛光灯线路控制系统；</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70.所投产品支持坏点逐级校正检测；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70.所投产品支持坏点逐级校正检测；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71.提供LED显示屏老化测试软件；</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71.提供LED显示屏老化测试软件；</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72.所投产品支持屏幕智能组态电源检测；</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72.所投产品支持屏幕智能组态电源检测；</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视频处理器</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1.支持3D、2D两种显示模式，可在普通LED显示屏实现3D效果；</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1.支持3D、2D两种显示模式，可在普通LED显示屏实现3D效果；</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2.3D模式，最大带载650万像素，最宽4096像素，最高4096像素；</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2.3D模式，最大带载650万像素，最宽4096像素，最高4096像素；</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3.2D模式，最大带载1300万像素，最宽8192像素，最高4096像素；</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3.2D模式，最大带载1300万像素，最宽8192像素，最高4096像素；</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★4.支持不少于1路DP1.4、1路HDMI2.0输入；</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★4.支持1路DP1.4、1路HDMI2.0输入；</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w:t>
            </w:r>
            <w:r>
              <w:rPr>
                <w:b/>
                <w:bCs/>
                <w:color w:val="000000"/>
                <w:sz w:val="18"/>
                <w:szCs w:val="18"/>
              </w:rPr>
              <w:t>8</w:t>
            </w:r>
            <w:r>
              <w:rPr>
                <w:rFonts w:hint="eastAsia"/>
                <w:b/>
                <w:bCs/>
                <w:color w:val="000000"/>
                <w:sz w:val="18"/>
                <w:szCs w:val="18"/>
              </w:rPr>
              <w:t>1-83页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5.支持不少于2路HDMI1.4和2路DVI输入；</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5.支持2路HDMI1.4和2路DVI输入；</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6.支持最大带载1300万像素，最宽16384像素，或最高8192像素；</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6.支持最大带载</w:t>
            </w:r>
            <w:r>
              <w:rPr>
                <w:rFonts w:hint="eastAsia"/>
                <w:color w:val="000000"/>
                <w:kern w:val="0"/>
                <w:sz w:val="18"/>
                <w:szCs w:val="18"/>
              </w:rPr>
              <w:t>1560</w:t>
            </w:r>
            <w:r>
              <w:rPr>
                <w:color w:val="000000"/>
                <w:kern w:val="0"/>
                <w:sz w:val="18"/>
                <w:szCs w:val="18"/>
              </w:rPr>
              <w:t>万像素，最宽16384像素，或最高8192像素；</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7.支持最大输入分辨率4096×2160@60Hz，支持自定义分辨率设置；</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7.支持最大输入分辨率4096×2160@60Hz，支持自定义分辨率设置；</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8.支持不少于20路千兆网口输出；【提供此功能的证明资料】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8.支持2</w:t>
            </w:r>
            <w:r>
              <w:rPr>
                <w:rFonts w:hint="eastAsia"/>
                <w:b/>
                <w:bCs/>
                <w:color w:val="000000"/>
                <w:kern w:val="0"/>
                <w:sz w:val="18"/>
                <w:szCs w:val="18"/>
              </w:rPr>
              <w:t>4</w:t>
            </w:r>
            <w:r>
              <w:rPr>
                <w:b/>
                <w:bCs/>
                <w:color w:val="000000"/>
                <w:kern w:val="0"/>
                <w:sz w:val="18"/>
                <w:szCs w:val="18"/>
              </w:rPr>
              <w:t>路千兆网口输出；【提供此功能的证明资料】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第94页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9.支持对视频信号任意切换，裁剪，拼接，缩放；</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9.支持对视频信号任意切换，裁剪，拼接，缩放；</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10.支持不少于6画面显示，位置，大小可自由调节；</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10.支持6画面显示，位置，大小可自由调节；</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11.支持精确颜色管理，调整显示屏色域；</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11.支持精确颜色管理，调整显示屏色域；</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12.支持视频同步锁相技术；</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12.支持视频同步锁相技术；</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13.支持独立音频输入输出；</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13.支持独立音频输入输出；</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14.支持HDMI和DP音频解析输出；</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14.支持HDMI和DP音频解析输出；</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15.支持LAN口控制；</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15.支持LAN口控制；</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16.支持手机端APP控制；</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16.支持手机端APP控制；</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17.支持RS232串口协议控制；</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17.支持RS232串口协议控制；</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18.支持主动式3D显示功能；【提供此功能的证明资料】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18.支持主动式3D显示功能；【提供此功能的证明资料】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第95页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19.支持HDCP协议的高带宽数字内容保护技术；</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19.支持HDCP协议的高带宽数字内容保护技术；</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20.支持亮度和色温调节；</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20.支持亮度和色温调节；</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21.通过该发送可调试显示屏的色域坐标显示不同坐标值色温，进行精确颜色管理；可任意改变0-255灰阶不同灰度值的亮度显示并进行任意调节；色温调整精度在100K以内；</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21.通过该发送可调试显示屏的色域坐标显示不同坐标值色温，进行精确颜色管理；可任意改变0-255灰阶不同灰度值的亮度显示并进行任意调节；色温调整精度在100K以内；</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22.可在局域网内实现通过web控制设备，支持Windows、macOS、Linux、麒麟系统、Android、iOS等系统平台，支持电脑、平板、手机等多种硬件平台；【提供此功能的证明资料】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22.可在局域网内实现通过web控制设备，支持Windows、macOS、Linux、麒麟系统、Android、iOS等系统平台，支持电脑、平板、手机等多种硬件平台；【提供此功能的证明资料】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第96页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23.可稳定的兼容显卡，网络盒子，会议系统，拼接器，DVD，信号发生器等多种信号源；</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23.可稳定的兼容显卡，网络盒子，会议系统，拼接器，DVD，信号发生器等多种信号源；</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24.支持HDR、HDR-HLG,输出色彩空间支持SRGB、NTSC、Rec.2020、AdobeRGB、Rec.601、DCI-P3、PAL、Rec.709；</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24.支持HDR、HDR-HLG,输出色彩空间支持SRGB、NTSC、Rec.2020、AdobeRGB、Rec.601、DCI-P3、PAL、Rec.709；</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25.支持通过网络控制设备，支持TCP和UDP；</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25.支持通过网络控制设备，支持TCP和UDP；</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26.为防止他人误操作，控制系统具有管理权限；</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26.为防止他人误操作，控制系统具有管理权限；</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27.控制系统支持3D应用显示；【提供此功能的证明资料】</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27.控制系统支持3D应用显示；【提供此功能的证明资料】</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第97页</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屏幕支架</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1.主框架采用：角铁、方管、槽钢、铁板、化学螺栓、膨胀螺钉和辅材；主框架为保证安全以及平整度，需要采用焊接方式，牢固焊接制作；</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1.主框架采用：角铁、方管、槽钢、铁板、化学螺栓、膨胀螺钉和辅材；主框架为保证安全以及平整度，需要采用焊接方式，牢固焊接制作；</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2.因该项目使用单位和场合的特殊性；</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2.因该项目使用单位和场合的特殊性；</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3.显示屏为贴墙安装，显示屏的厚度≤25CM；</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3.显示屏为贴墙安装，显示屏的厚度≤25CM；</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4.包含动力电缆，音频线，网线等综合；</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4.包含动力电缆，音频线，网线等综合；</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5.包含不锈钢包边；</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5.包含不锈钢包边；</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立体眼镜发射器</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1.频率：2.45G+-500MHz；</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1.频率：2.45G+-500MHz；</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2.发射功率：0.3WMAX；</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2.发射功率：0.3WMAX；</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3.传输速度：100KHz；</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3.传输速度：100KHz；</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4.峰值功率：0.3W；</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4.峰值功率：0.3W；</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5.工作电流：≤100mA；</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5.工作电流：100mA；</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6.天线增益：2DB5DB8DB12DB14DB可选；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6.天线增益：2DB5DB8DB12DB14DB可选；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7.工作温度：-10℃~70℃；</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7.工作温度：-10℃~70℃；</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8.传输角度：360°±5%；</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8.传输角度：360°±5%；</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9.传输距离：正向不大于110米，反向不大于90米；</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9.传输距离：正向不大于110米，反向不大于90米；</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5</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立体眼镜</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1.光学特性：工作模式为液晶快门式，透过率：40±2%（TYP.），对比度1000：1；</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1.光学特性：工作模式为液晶快门式，透过率：40±2%（TYP.），对比度1000：1；</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2.场频：96-480Hz；</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2.场频：96-480Hz；</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3.供电方式：充电型眼镜，电池类型为3.7V锂电池，容量≥45Mah；</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3.供电方式：充电型眼镜，电池类型为3.7V锂电池，容量45Mah；</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4.连续工作时间：≥60小时；</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4.连续工作时间：60小时；</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5.响应时间：≤1.5ms；</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5.响应时间：1.5ms；</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6.额定工作电流：≤0.8mA；</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6.额定工作电流：0.8mA；</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7.充电时间：2小时以内；</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7.充电时间：2小时以内；</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8.射频传输特性：接收距离≥80M；（配合立体信号发射器使用）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8.射频传输特性：接收距离≥80M；（配合立体信号发射器使用）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9.温度特性：工作温度为0℃~50℃，存储温度为-30℃~70℃；</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9.温度特性：工作温度为0℃~50℃，存储温度为-30℃~70℃；</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10.待机时间：≥45天；</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10.待机时间：≥45天；</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11.轻量级眼镜重量：≤40g；</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11.轻量级眼镜重量：≤40g；</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6</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图形工作站</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1.专业绘图设计3D渲染型台式机，流畅播放3D场景及3D程序，专门针对虚拟现实高强度三维应用所优化，在64位Windows平台上实现高性能专业图形运算；</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1.专业绘图设计3D渲染型台式机，流畅播放3D场景及3D程序，专门针对虚拟现实高强度三维应用所优化，在64位Windows平台上实现高性能专业图形运算；</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2.支持500万面超大规模虚拟现实场景实时漫游，帧率不低于30FPS，支持16倍抗锯齿，32倍各项异性过滤；</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2.支持500万面超大规模虚拟现实场景实时漫游，帧率30FPS，支持16倍抗锯齿，32倍各项异性过滤；</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3.预装Windows1064位专业中文版操作系统，免费提供虚拟仿真实验教学软件安装调试服务；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3.预装Windows1064位专业中文版操作系统，免费提供虚拟仿真实验教学软件安装调试服务；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4.整机一年质量保证，三年上门维修服务；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4.整机一年质量保证，三年上门维修服务；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5.搭载最新一代英特尔志强主流处理器，主频不低于3.0GHz；</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5.搭载最新一代英特尔志强主流处理器，主频不低于3.0GHz；</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6.支持64GBDDR4MHz内存，助力各项操作流畅进行，本机配置32GB；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6.支持64GBDDR4MHz内存，助力各项操作流畅进行，本机配置32GB；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7.采用NVIDIAQuadroRTX系列专业图形处理显卡，显存不低于16GB，具备高分辨率及图像处理能力；</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7.采用NVIDIAQuadroRTX系列专业图形处理显卡，显存16GB，具备高分辨率及图像处理能力；</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8.系统运行硬盘采用512GB固态硬盘，搭配1TB独立存储空间；</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8.系统运行硬盘采用512GB固态硬盘，搭配1TB独立存储空间；</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9.支持maya/3dmax建模软件实时渲染开窗口：支持窗口位置自定义、分辨率自定义，显示方式支持上下格式/左右格式/深度图像；</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9.支持maya/3dmax建模软件实时渲染开窗口：支持窗口位置自定义、分辨率自定义，显示方式支持上下格式/左右格式/深度图像；</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7</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虚拟现实桥接软件</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1.支持多通道立体显示环境的桥接软件；</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1.支持多通道立体显示环境的桥接软件；</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2.软件提供方便、简洁、完善的图像化界面；</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2.软件提供方便、简洁、完善的图像化界面；</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3.支持主动立体方式；</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3.支持主动立体方式；</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4.支持多通道配置和渲染，使基于沉浸式系统的多个屏幕和多个电脑的高分辨率图像信号同步；</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4.支持多通道配置和渲染，使基于沉浸式系统的多个屏幕和多个电脑的高分辨率图像信号同步；</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5.支持以用户为中心的视角；</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5.支持以用户为中心的视角；</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6.提供现成的交互应用，如导航或物体抓取，提供简单的应用程序编程接口，可以很容易创建自己的复杂交互应用；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6.提供现成的交互应用，如导航或物体抓取，提供简单的应用程序编程接口，可以很容易创建自己的复杂交互应用；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7.支持虚拟现实应用程序从一个单通道VR系统到另一个多通道VR系统的移植，无需修改应用程序，而只需设定一个新的配置即可在新的VR系统启用应用程序；</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7.支持虚拟现实应用程序从一个单通道VR系统到另一个多通道VR系统的移植，无需修改应用程序，而只需设定一个新的配置即可在新的VR系统启用应用程序；</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8.支持集中管理所有的虚拟现实相关运算，如交互设备接口、立体视觉和集群等；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8.支持集中管理所有的虚拟现实相关运算，如交互设备接口、立体视觉和集群等；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9.支持大部分虚拟现实系统，如LED大屏、多通道投影显示交互系统等；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9.支持大部分虚拟现实系统，如LED大屏、多通道投影显示交互系统等；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10.支持大多数通过VRPN协议运行的交互设备，如三维手柄，追踪Marker点等；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10.支持大多数通过VRPN协议运行的交互设备，如三维手柄，追踪Marker点等；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11.软件需支持光学追踪系统；</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11.软件需支持光学追踪系统；</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8</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3D眼镜充电柜</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1.主体材质：1.0-1.8mmSPCC冷轧碳素钢与环保ABS工程塑料相结合；</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1.主体材质：1.0-1.8mmSPCC冷轧碳素钢与环保ABS工程塑料相结合；</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2.采用全封闭防盗结构、工艺上耐酸碱腐蚀、耐磨、防静电等；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2.采用全封闭防盗结构、工艺上耐酸碱腐蚀、耐磨、防静电等；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3.分三/四层前后放置设计，每层可容纳多位VR设备同时充电，采用USB充电模式，同时赠送安卓数据线方便安全；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3.分三/四层前后放置设计，每层可容纳多位VR设备同时充电，采用USB充电模式，同时赠送安卓数据线方便安全；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4.高品质超静音脚轮（四轮万向，两轮带刹车）和左右人体工学把手；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4.高品质超静音脚轮（四轮万向，两轮带刹车）和左右人体工学把手；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5.环保ABS工程塑料单机隔断，其中内置隔板上带有卡线槽且不划伤屏幕，同时又预留凹槽方便拿取电脑；</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5.环保ABS工程塑料单机隔断，其中内置隔板上带有卡线槽且不划伤屏幕，同时又预留凹槽方便拿取电脑；</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3"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6.一体化电源管理系统：</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1)USB供电，5V/2A直接输出，全电源管理芯片式集成电路设计，自动检测平板允许输入电流，优先供应低电位设备，根据电池电量自动以普通，快速，涓流三种模式供电，满电自动断电；</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2)过载保护：当功率过大或电流不稳定时自动断电，防止损坏设备；</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3)带有定时时长显示屏，数码显示定时时长；</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4)互循环散热结构，自动控制风扇在一定温度区域内启动风扇强制散热，充电过程中产生热量由风扇强制排出，保证设备在安全温度运行，整体安全可靠，节能环保；</w:t>
            </w:r>
          </w:p>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5)满足宽频电压输入，范围为110V-240V；</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6.一体化电源管理系统：</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1)USB供电，5V/2A直接输出，全电源管理芯片式集成电路设计，自动检测平板允许输入电流，优先供应低电位设备，根据电池电量自动以普通，快速，涓流三种模式供电，满电自动断电；</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2)过载保护：当功率过大或电流不稳定时自动断电，防止损坏设备；</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3)带有定时时长显示屏，数码显示定时时长；</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4)互循环散热结构，自动控制风扇在一定温度区域内启动风扇强制散热，充电过程中产生热量由风扇强制排出，保证设备在安全温度运行，整体安全可靠，节能环保；</w:t>
            </w:r>
          </w:p>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5)满足宽频电压输入，范围为110V-240V；</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7.标配防漏电、防短路多重保护系统，确保使用者人身安全；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7.标配防漏电、防短路多重保护系统，确保使用者人身安全；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8.柜体侧面带有置物槽，可存放电源线，无线AP等；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8.柜体侧面带有置物槽，可存放电源线，无线AP等；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9.标配消毒功能；</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9.标配消毒功能；</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9</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服务器机柜</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1.符合ANSI/EIARS-310-D、IEC297-2、DIN41491、PART1、DIN41494、PART7、GB/T3047.2-92标准，兼容ETSI标准；</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1.符合ANSI/EIARS-310-D、IEC297-2、DIN41491、PART1、DIN41494、PART7、GB/T3047.2-92标准，兼容ETSI标准；</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2.外观设计高贵典雅，工艺精湛，尺寸精密，全数控精密加工；</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2.外观设计高贵典雅，工艺精湛，尺寸精密，全数控精密加工；</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3.单开平板六角网孔前门，双开平板六角网孔后门；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3.单开平板六角网孔前门，双开平板六角网孔后门；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4.镀铝锌板材质方孔条与安装梁，设备安装时自动等电位；</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4.镀铝锌板材质方孔条与安装梁，设备安装时自动等电位；</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5.无锐边方孔条,使您在安装维护中不割伤手；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5.无锐边方孔条,使您在安装维护中不割伤手；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6.三段式底板部件，中间盖板可按需打开，三段式快开侧门，每段可单独打开，各主要部件预置有接地钉，接地钉带护罩；</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6.三段式底板部件，中间盖板可按需打开，三段式快开侧门，每段可单独打开，各主要部件预置有接地钉，接地钉带护罩；</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7.前后门配高级典雅锁；</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7.前后门配高级典雅锁；</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8.轧制九折成材，承重能力≥1000KG；</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8.轧制九折成材，承重能力1000KG；</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9.规格尺寸≥宽600mm，深800mm，高2000mm，容量42U；</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9.规格尺寸宽600mm，深800mm，高2000mm，容量42U；</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主扩音箱</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1.音箱采用≥6支3寸全频喇叭单元；</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1.音箱采用6支3寸全频喇叭单元；</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2.箱体采用厚度≥12mm优质高密度板，精密CNC加工，耐磨喷漆处理；</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2.箱体采用厚度12mm优质高密度板，精密CNC加工，耐磨喷漆处理；</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3.拼接排列扬声器设计；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3.拼接排列扬声器设计；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4.额定功率≥200W，灵敏度≥95dB(1M/2W)；</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4.额定功率：200W，灵敏度95dB(1M/2W)；</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11</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音箱支架</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1.固定面板孔位尺寸（长*宽）：≥140mm*65mm；</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1.固定面板孔位尺寸（长*宽）：140mm*65mm；</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2.箱体固定面板孔位尺寸（长*宽）：≥128mm*70mm；</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2.箱体固定面板孔位尺寸（长*宽）：128mm*70mm；</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3.设备面板尺寸：≥160mm*90mm；</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3.设备面板尺寸：160mm*90mm；</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12</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主扩功放</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1.两声道功放有三档输入灵敏度选择（支持0.775V/1V/1.44V），可轻松接纳宽幅度范围信号源输入（提供产品接口界面截图），输入座接地脚接地和悬浮控制；</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1.两声道功放有三档输入灵敏度选择（支持0.775V/1V/1.44V），可轻松接纳宽幅度范围信号源输入（提供产品接口界面截图），输入座接地脚接地和悬浮控制；</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2.采用强制散热设计；具有安全保护措施和工作状态指示（短路、过载、直流和过热保护，变压器过热保护）；</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2.采用强制散热设计；具有安全保护措施和工作状态指示（短路、过载、直流和过热保护，变压器过热保护）；</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3.输出功率：立体声/并联8Ω：350W*2，立体声/并联4Ω：530W*2，桥接8Ω：1060W；</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3.输出功率：立体声/并联8Ω：350W*2，立体声/并联4Ω：530W*2，桥接8Ω：1060W；</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4.标准XLR+TRS1/4"复合多功能输入接口，智能削峰限幅器，控制功率模块及扬声器系统在安全范围内工作；</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textAlignment w:val="center"/>
              <w:rPr>
                <w:color w:val="000000"/>
                <w:sz w:val="18"/>
                <w:szCs w:val="18"/>
              </w:rPr>
            </w:pPr>
            <w:r>
              <w:rPr>
                <w:color w:val="000000"/>
                <w:kern w:val="0"/>
                <w:sz w:val="18"/>
                <w:szCs w:val="18"/>
              </w:rPr>
              <w:t>4.标准XLR+TRS1/4"复合多功能输入接口，智能削峰限幅器，控制功率模块及扬声器系统在安全范围内工作；</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13</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环绕音箱</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1.额定功率：≥100W；</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1.额定功率：100W；</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2.峰值功率：≥400W；</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2.峰值功率：400W；</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3.阻抗：8Ω；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3.阻抗：8Ω；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4.灵敏度(1W/1M)：≥91dB；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4.灵敏度(1W/1M)：91dB；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5.最大声压级（额定/峰值）：≥111dB/117dB；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5.最大声压级（额定/峰值）：111dB/117dB；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6.频率响应(-10dB)：50-20KHz；</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6.频率响应(-10dB)：50-20KHz；</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7.喇叭单元：8"×1，1.5"×1；</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7.喇叭单元：8"×1，1.5"×1；</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14</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环绕功放</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1.额定输出功率：2x350W4R；2x180W8R；</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1.额定输出功率：2x350W4R；2x180W8R；</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2.输入灵敏度与阻抗：MIC1,2,3：±2.5mV/600Ω-±200mV/10KΩ,带幻象平衡输入；DVD：350mV/10KΩ（非平衡输入）；VCD：350mV/10KΩ（非平衡输入）；BMG：350mV/10KΩ（非平衡输入）；光纤、同轴：1000mV；</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2.输入灵敏度与阻抗：MIC1,2,3：±2.5mV/600Ω-±200mV/10KΩ,带幻象平衡输入；DVD：350mV/10KΩ（非平衡输入）；VCD：350mV/10KΩ（非平衡输入）；BMG：350mV/10KΩ（非平衡输入）；光纤、同轴：1000mV；</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3.输出：S.W(150Hz):1V/470Ω；PRE:1V±50mv/470Ω；REC:200mV±20mv/470Ω；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3.输出：S.W(150Hz):1V/470Ω；PRE:1V±50mv/470Ω；REC:200mV±20mv/470Ω；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4.话筒音调：低频:±10dBat100Hz；中频:±10dBat2KHz；高频:±10dBat10KHz；</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4.话筒音调：低频:±10dBat100Hz；中频:±10dBat2KHz；高频:±10dBat10KHz；</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5.音乐音调：低频:±10dBat100Hz；中频:±10dBat2KHz；高频:±10dBat10KHz；</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5.音乐音调：低频:±10dBat100Hz；中频:±10dBat2KHz；高频:±10dBat10KHz；</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6.谐波失真：功放额定输出功率1Kz(1/8A功率条件下）≤0.1%；</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6.谐波失真：功放额定输出功率1Kz(1/8A功率条件下）≤0.1%；</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7.USB播放：支持MP3、WAV、APE、FLAC；</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7.USB播放：支持MP3、WAV、APE、FLAC；</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8.通讯：RS485通讯中控集成控制能；</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8.通讯：RS485通讯中控集成控制能；</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9.频率响应：DVD,VCD,BGM:20HZ（±3dB）--20KHZ（±3dB）；Mic:50HZ（±3dB）--16KHZ（±3dB）；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9.频率响应：DVD,VCD,BGM:20HZ（±3dB）--20KHZ（±3dB）；Mic:50HZ（±3dB）--16KHZ（±3dB）；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10.信噪比：Mic:≥85dB；音乐:≥85dB；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10.信噪比：Mic:≥85dB；音乐:≥85dB；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11.保护：过载、短路、过压、欠压保护；</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11.保护：过载、短路、过压、欠压保护；</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12.指示灯：电源,输出电平；</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12.指示灯：电源,输出电平；</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13.供电电压：~220V50Hz；</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13.供电电压：~220V50Hz；</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15</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调音台</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1.麦克风输入：4路（4个卡侬接口）；</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1.麦克风输入：4路（4个卡侬接口）；</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2.线路输入：4路单插单声道/立体声自动切换混合接口；</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2.线路输入：4路单插单声道/立体声自动切换混合接口；</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3.立体声输入：4组（8路单声道）；</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3.立体声输入：4组（8路单声道）；</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4.CD/Tape输入：1路CD/TAPERCA立体声输入接口；</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4.CD/Tape输入：1路CD/TAPERCA立体声输入接口；</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5.输出通路：1组立体声主输出、1组辅助输出、1组立体声监听输出、1路耳机监听输出、1组CD/Tape输出；</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5.输出通路：1组立体声主输出、1组辅助输出、1组立体声监听输出、1路耳机监听输出、1组CD/Tape输出；</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6.效果器：24位DSP效果器（包括人声、小房子、大厅、回声、回声+回响、盘子、声乐板、合唱GTR，旋转GTR、颤音GTR类型），100种预设效果；</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6.效果器：24位DSP效果器（包括人声、小房子、大厅、回声、回声+回响、盘子、声乐板、合唱GTR，旋转GTR、颤音GTR类型），100种预设效果；</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7.幻象电源：+48V带开关；</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7.幻象电源：+48V带开关；</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8.频率响应：20Hz-20kHz，±3dB；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8.频率响应：20Hz-20kHz，±3dB；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9.失真度：&lt;0.003%（A-weighted）；</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9.失真度：&lt;0.003%（A-weighted）；</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10.麦克风均衡输入噪音：-119dB（A-weighted）；</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10.麦克风均衡输入噪音：-119dB（A-weighted）；</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11.共模抑制比：60dB；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11.共模抑制比：60dB；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12.单通道输入增益：MIC：0to48dB，LINE:-33to+15dB；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12.单通道输入增益：MIC：0to48dB，LINE:-33to+15dB；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13.立体通道输入增益：LINE：-8to+6dB；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13.立体通道输入增益：LINE：-8to+6dB；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14.主混音串音：-87dBu（A-weighted）；</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14.主混音串音：-87dBu（A-weighted）；</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15.通道串音：-85dBu（A-weighted）；</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15.通道串音：-85dBu（A-weighted）；</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16.最大输出水平：+20dBu；</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16.最大输出水平：+20dBu；</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17.MIC输入高通滤波：75Hz，18dB/oct；</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17.MIC输入高通滤波：75Hz，18dB/oct；</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18.单通道均衡：高频：±15dB12KHz；中频：±12dB2.5KHz；低频：±15dB80Hz；</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18.单通道均衡：高频：±15dB12KHz；中频：±12dB2.5KHz；低频：±15dB80Hz；</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19.电源：外接AC18V/1A（AC230-240V50/60Hz）电源适配器；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19.电源：外接AC18V/1A（AC230-240V50/60Hz）电源适配器；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20.功耗：≤18W；</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20.功耗：≤18W；</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16</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无线麦克</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1.频率指标：支持470-510MHz、540-590MHz、640-690MHz、807-830MHz；</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1.频率指标：支持470-510MHz、540-590MHz、640-690MHz、807-830MHz；</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2.配套有1台接收主机和2个无线手持话筒；</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2.配套有1台接收主机和2个无线手持话筒；</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采用UHF超高频段双真分集接收，并采用PLL锁相环多信道频率合成技术；V/A显示屏在任何角度观察字体清晰同时显示信道号与工作频率。红外对频功能，能使发射机与接收机频率同步，能有效抑制外部噪音干扰及同频干扰；</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采用UHF超高频段双真分集接收，并采用PLL锁相环多信道频率合成技术；V/A显示屏在任何角度观察字体清晰同时显示信道号与工作频率。红外对频功能，能使发射机与接收机频率同步，能有效抑制外部噪音干扰及同频干扰；</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4.带8级射频电平显示，8级音频电平显示，频道菜单显示，静音显示；具有SCAN自动扫频功能；</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4.带8级射频电平显示，8级音频电平显示，频道菜单显示，静音显示；具有SCAN自动扫频功能；</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5.支持平衡和非平衡两种输出端口选择，适应不同的设备连接需求；</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5.支持平衡和非平衡两种输出端口选择，适应不同的设备连接需求；</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6.接收机指标：采用二次变频超外差的接收机方式，灵敏度:≥12dBμV（80dBS/N)，灵敏度调节范围:12-32dBμV，频率响应:80Hz-18KHz（±3dB）；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6.接收机指标：采用二次变频超外差的接收机方式，灵敏度:12dBμV（80dBS/N)，灵敏度调节范围:12-32dBμV，频率响应:80Hz-18KHz（±3dB）；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7.发射机指标：音头采用动圈式麦克风；</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7.发射机指标：音头采用动圈式麦克风；</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17</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电源管理器</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1.机柜式设计（2U）；</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1.机柜式设计（2U）；</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2.支持≥16路电源输出，具有≥14个AC220V(10A)，≥2个AC220V(16A)接口，电源插口总容量≥6KVA；</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2.支持16路电源输出，具有14个AC220V(10A)，2个AC220V(16A)接口，电源插口总容量6KVA；</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3.带网络管理，可控电源≥16路通道，带电压显示、带延时开关、电脑远程控制、带自动切断、多重防护内置智能芯片、统筹管理支持多台联机；</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3.带网络管理，可控电源16路通道，带电压显示、带延时开关、电脑远程控制、带自动切断、多重防护内置智能芯片、统筹管理支持多台联机；</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4.支持≥16路电源插座依次间隔1秒打开；</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4.支持16路电源插座依次间隔1秒打开；</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5.有≥1路24V消防信号输入接口；≥1路消防短路报警触发信号输出。</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5.有1路24V消防信号输入接口；1路消防短路报警触发信号输出。</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18</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行为捕捉相机</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1.产品类型：红外光学动捕相机；</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1.产品类型：红外光学动捕相机；</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★2.相机最高分辨率：≥1280×1024，最高分辨率（1280*1024）下的数据输出最高帧率≥210帧；【提供此功能的证明资料】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★2.相机最高分辨率：1280×1024，最高分辨率（1280*1024）下的数据输出最高帧率2</w:t>
            </w:r>
            <w:r>
              <w:rPr>
                <w:rFonts w:hint="eastAsia"/>
                <w:b/>
                <w:bCs/>
                <w:color w:val="000000"/>
                <w:kern w:val="0"/>
                <w:sz w:val="18"/>
                <w:szCs w:val="18"/>
              </w:rPr>
              <w:t>4</w:t>
            </w:r>
            <w:r>
              <w:rPr>
                <w:b/>
                <w:bCs/>
                <w:color w:val="000000"/>
                <w:kern w:val="0"/>
                <w:sz w:val="18"/>
                <w:szCs w:val="18"/>
              </w:rPr>
              <w:t>0帧；【提供此功能的证明资料】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w:t>
            </w:r>
            <w:r>
              <w:rPr>
                <w:b/>
                <w:bCs/>
                <w:color w:val="000000"/>
                <w:sz w:val="18"/>
                <w:szCs w:val="18"/>
              </w:rPr>
              <w:t>8</w:t>
            </w:r>
            <w:r>
              <w:rPr>
                <w:rFonts w:hint="eastAsia"/>
                <w:b/>
                <w:bCs/>
                <w:color w:val="000000"/>
                <w:sz w:val="18"/>
                <w:szCs w:val="18"/>
              </w:rPr>
              <w:t>4-86页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3.延时：≤4.8ms；【提供此功能的证明资料】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3.延时：</w:t>
            </w:r>
            <w:r>
              <w:rPr>
                <w:rFonts w:hint="eastAsia"/>
                <w:b/>
                <w:bCs/>
                <w:color w:val="000000"/>
                <w:kern w:val="0"/>
                <w:sz w:val="18"/>
                <w:szCs w:val="18"/>
              </w:rPr>
              <w:t>4</w:t>
            </w:r>
            <w:r>
              <w:rPr>
                <w:b/>
                <w:bCs/>
                <w:color w:val="000000"/>
                <w:kern w:val="0"/>
                <w:sz w:val="18"/>
                <w:szCs w:val="18"/>
              </w:rPr>
              <w:t>ms；【提供此功能的证明资料】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第98页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4.捕捉精度：亚毫米级，捕捉精度&lt;1mm；</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4.捕捉精度：亚毫米级，捕捉精度&lt;1mm；</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5.快门类型：全局快门；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5.快门类型：全局快门；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6.图像处理模式：marker点二维坐标模式/原图灰度模式；</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6.图像处理模式：marker点二维坐标模式/原图灰度模式；</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7.最远捕捉距离≥8米，最佳捕捉距离：5-8米；</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7.最远捕捉距离≥8米，最佳捕捉距离：5-8米；</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8.有效捕捉视角：≥82°*70°；</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8.有效捕捉视角：</w:t>
            </w:r>
            <w:r>
              <w:rPr>
                <w:rFonts w:hint="eastAsia"/>
                <w:color w:val="000000"/>
                <w:kern w:val="0"/>
                <w:sz w:val="18"/>
                <w:szCs w:val="18"/>
              </w:rPr>
              <w:t>95</w:t>
            </w:r>
            <w:r>
              <w:rPr>
                <w:color w:val="000000"/>
                <w:kern w:val="0"/>
                <w:sz w:val="18"/>
                <w:szCs w:val="18"/>
              </w:rPr>
              <w:t>°*7</w:t>
            </w:r>
            <w:r>
              <w:rPr>
                <w:rFonts w:hint="eastAsia"/>
                <w:color w:val="000000"/>
                <w:kern w:val="0"/>
                <w:sz w:val="18"/>
                <w:szCs w:val="18"/>
              </w:rPr>
              <w:t>4</w:t>
            </w:r>
            <w:r>
              <w:rPr>
                <w:color w:val="000000"/>
                <w:kern w:val="0"/>
                <w:sz w:val="18"/>
                <w:szCs w:val="18"/>
              </w:rPr>
              <w:t>°；</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9.机身材质：铝合金；</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9.机身材质：铝合金；</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10.相机在60摄氏度环境温度下可连续正常工作8小时以上；相机在-25摄氏度环境温度下可连续正常工作8小时以上；相机在温度40摄氏度和湿度93%RH的环境下可连续正常工作48小时以上；【提供此功能的证明资料】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10.相机在60摄氏度环境温度下可连续正常工作8小时以上；相机在-25摄氏度环境温度下可连续正常工作8小时以上；相机在温度40摄氏度和湿度93%RH的环境下可连续正常工作48小时以上；【提供此功能的证明资料】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第99页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11.镜头类型：≥3.5mmF#2.4；</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11.镜头类型：3.5mmF#2.4；</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12.捕捉红外波长：≥850nm；</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12.捕捉红外波长：850nm；</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13.每个相机搭载≥14个超大功率850nm红外LED，LED灯亮度可以随目标距离进行调整；【提供此功能的证明资料】</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13.每个相机搭载14个超大功率850nm红外LED，LED灯亮度可以随目标距离进行调整；【提供此功能的证明资料】</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第100页</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14.捕捉方式：被动式；</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14.捕捉方式：被动式；</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15.滤光片：≥850nm窄带通；</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15.滤光片：850nm窄带通；</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16.接口与传输方式：POE-GbE/USB-WIFI（WIFI模式需外接无线网卡）；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16.接口与传输方式：POE-GbE/USB-WIFI（WIFI模式需外接无线网卡）；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17.相机供电方式：兼容DC12V供电和POE供电；</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17.相机供电方式：兼容DC12V供电和POE供电；</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18.状态显示：数字LED显示摄像机编号；</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18.状态显示：数字LED显示摄像机编号；</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19.一场地对应一个配置方案，能够根据实际场地灵活进行相机配置；【提供此功能的证明资料】</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19.一场地对应一个配置方案，能够根据实际场地灵活进行相机配置；【提供此功能的证明资料】</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第101页</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19</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行为捕捉软件</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1.专用捕捉软件，能够快速完成系统校准、精确数据的捕获、运动数据的编辑，并且可以控制最终的输出数据的格式；</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1.专用捕捉软件，能够快速完成系统校准、精确数据的捕获、运动数据的编辑，并且可以控制最终的输出数据的格式；</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2.软件支持不同型号镜头、新旧不同版本镜头程序的镜头混搭使用；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2.软件支持不同型号镜头、新旧不同版本镜头程序的镜头混搭使用；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3.一键式快速同时创建多副骨骼，支持编辑骨骼属性，已创建的骨骼能够自由进出场地，并能被快速自动识别；</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3.一键式快速同时创建多副骨骼，支持编辑骨骼属性，已创建的骨骼能够自由进出场地，并能被快速自动识别；</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4.动作捕捉软件自动匹配默认53点骨骼模型；支持骨骼、蒙皮、骨骼+蒙皮的三维人体显示方式；</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4.动作捕捉软件自动匹配默认53点骨骼模型；支持骨骼、蒙皮、骨骼+蒙皮的三维人体显示方式；</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5.高精度骨骼解算：稳定可靠的骨骼解算器，即使标记点被遮挡，软件实时分析解算保证骨骼保持稳定的动作和完整性；</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5.高精度骨骼解算：稳定可靠的骨骼解算器，即使标记点被遮挡，软件实时分析解算保证骨骼保持稳定的动作和完整性；</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6.多角色跟踪识别，系统自动识别多角色，并可以通过为每个角色设定性别、唯一性的颜色进行区分；</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6.多角色跟踪识别，系统自动识别多角色，并可以通过为每个角色设定性别、唯一性的颜色进行区分；</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7.系统实施前，可自定义摄像机配置，规划自定义动捕空间的摄像机布局；</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7.系统实施前，可自定义摄像机配置，规划自定义动捕空间的摄像机布局；</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8.支持计算空间覆盖率，支持实时计算捕捉精度；</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8.支持计算空间覆盖率，支持实时计算捕捉精度；</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9.手指捕捉：≥10个双轴柔性传感器，≥6个九轴惯性测量单元，≥6个光学反光标记点，软件可直接实时预览、记录全身和手指动作数据；</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9.手指捕捉：10个双轴柔性传感器，6个九轴惯性测量单元，6个光学反光标记点，软件可直接实时预览、记录全身和手指动作数据；</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10.支持利用体积可视化和测量工具来评估体积健康和系统准确性；</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10.支持利用体积可视化和测量工具来评估体积健康和系统准确性；</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11.精确的点云重建，标定重建精度高达0.1mm，最优可达0.02mm，支持实时自动优化标定质量，整个过程无需人为介入；</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11.精确的点云重建，标定重建精度高达0.1mm，最优可达0.02mm，支持实时自动优化标定质量，整个过程无需人为介入；</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12.支持系统健康状况监视、事件日志记录；支持实时查看刚体运动轨迹曲线；</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12.支持系统健康状况监视、事件日志记录；支持实时查看刚体运动轨迹曲线；</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13.内置动作轨迹交换工具、间隙填充工具、平滑工具和移动轨迹工具能极大的提高动作捕捉数据修复的准确性和效率；</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13.内置动作轨迹交换工具、间隙填充工具、平滑工具和移动轨迹工具能极大的提高动作捕捉数据修复的准确性和效率；</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14.智能便捷的数据修复，可一键修复数据；</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14.智能便捷的数据修复，可一键修复数据；</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15.可一键自动遮蔽场地内所有干扰噪点（即具备自动噪点遮蔽功能），同时也支持手动遮蔽操作；</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15.可一键自动遮蔽场地内所有干扰噪点（即具备自动噪点遮蔽功能），同时也支持手动遮蔽操作；</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16.捕捉的数据在MotionBuilder、UE4、Unity3d软件中可实时显示；</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16.捕捉的数据在MotionBuilder、UE4、Unity3d软件中可实时显示；</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17.支持相机帧速率、曝光、阈值、照明、增益等参数设置；</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17.支持相机帧速率、曝光、阈值、照明、增益等参数设置；</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18.捕捉的数据可导出为C3D、CSV、FBX、BVH等格式；</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18.捕捉的数据可导出为C3D、CSV、FBX、BVH等格式；</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19.可选择视图显示个数和方式（单个视图或是多个视图），可选择和切换视图类型应包括参考视频、2D视图、3D视图、MarkerXYZ图表、模拟图表、骨骼图表、分析图表、空白视图；</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19.可选择视图显示个数和方式（单个视图或是多个视图），可选择和切换视图类型应包括参考视频、2D视图、3D视图、MarkerXYZ图表、模拟图表、骨骼图表、分析图表、空白视图；</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165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20.通过该SDK实时获取到的数据应包括：</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①标志点（Marker）坐标；</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②刚体的名称、坐标、四元数、包含的Marker的数量和Marker坐标；</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③支持模拟通道数据传输；</w:t>
            </w:r>
          </w:p>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④帧数据中包含绝对时间戳。</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20.通过该SDK实时获取到的数据应包括：</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①标志点（Marker）坐标；</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②刚体的名称、坐标、四元数、包含的Marker的数量和Marker坐标</w:t>
            </w:r>
            <w:r>
              <w:rPr>
                <w:rFonts w:hint="eastAsia"/>
                <w:color w:val="000000"/>
                <w:kern w:val="0"/>
                <w:sz w:val="18"/>
                <w:szCs w:val="18"/>
              </w:rPr>
              <w:t>；</w:t>
            </w:r>
          </w:p>
          <w:p>
            <w:pPr>
              <w:widowControl/>
              <w:adjustRightInd w:val="0"/>
              <w:snapToGrid w:val="0"/>
              <w:spacing w:line="240" w:lineRule="auto"/>
              <w:ind w:firstLine="0" w:firstLineChars="0"/>
              <w:jc w:val="left"/>
              <w:textAlignment w:val="center"/>
              <w:rPr>
                <w:color w:val="000000"/>
                <w:kern w:val="0"/>
                <w:sz w:val="18"/>
                <w:szCs w:val="18"/>
              </w:rPr>
            </w:pPr>
            <w:r>
              <w:rPr>
                <w:color w:val="000000"/>
                <w:kern w:val="0"/>
                <w:sz w:val="18"/>
                <w:szCs w:val="18"/>
              </w:rPr>
              <w:t>③支持模拟通道数据传输；</w:t>
            </w:r>
          </w:p>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④帧数据中包含绝对时间戳。</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21.支持主动和被动标记点的同时光学捕捉；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21.支持主动和被动标记点的同时光学捕捉；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22.64位多线程架构，最多支持数百个捕捉相机；</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22.64位多线程架构，最多支持数百个捕捉相机；</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23.可实时显示相机捕捉的区域，便于校准相机；</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23.可实时显示相机捕捉的区域，便于校准相机；</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24.实时获取动捕软件捕获的数据，并以任意形式存储；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24.实时获取动捕软件捕获的数据，并以任意形式存储；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25.支持系统内完成捕捉数据的实时展示和数据格式的存储；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25.支持系统内完成捕捉数据的实时展示和数据格式的存储；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26.支持主流的国外虚拟现实软件或游戏引擎软件（Unity3D,UE4）可直接显示或控制本动作捕捉系统中角色的运动；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26.支持主流的国外虚拟现实软件或游戏引擎软件（Unity3D,UE4）可直接显示或控制本动作捕捉系统中角色的运动；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27.可以捕捉任何类型的骨骼在两足和四足动物；</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27.可以捕捉任何类型的骨骼在两足和四足动物；</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28.当骨骼点的连接丢失后，通过全选丢失的部分进行一键修理，完成修复连接；</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28.当骨骼点的连接丢失后，通过全选丢失的部分进行一键修理，完成修复连接；</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29.状态显示：软件自带的状态面板可实时查看的六自由度数据与精度、延迟、数据量等；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29.状态显示：软件自带的状态面板可实时查看的六自由度数据与精度、延迟、数据量等；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30.具备独特的刚体变形测量功能，可实现一定形变的刚体实时定位跟踪；</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30.具备独特的刚体变形测量功能，可实现一定形变的刚体实时定位跟踪；</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31.支持VRPN、ZMQ、TCP、UDP协议完成实时数据流传输；</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31.支持VRPN、ZMQ、TCP、UDP协议完成实时数据流传输；</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32.支持LuMOSDK开发自定义数据接口；</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32.支持LuMOSDK开发自定义数据接口；</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教学工作站</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1.虚拟现实专业应用型台式机，流畅播放3D场景及3D程序，专门针对虚拟现实高强度三维应用所优化，在64位Windows平台上实现高性能专业图形运算；</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1.虚拟现实专业应用型台式机，流畅播放3D场景及3D程序，专门针对虚拟现实高强度三维应用所优化，在64位Windows平台上实现高性能专业图形运算；</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2.支持500万面超大规模虚拟现实场景实时漫游，帧率不低于30FPS，支持16倍抗锯齿，32倍各项异性过滤；</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2.支持500万面超大规模虚拟现实场景实时漫游，帧率30FPS，支持16倍抗锯齿，32倍各项异性过滤；</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3.预装Windows1064位专业中文版操作系统，免费提供虚拟仿真实验教学软件安装调试服务；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3.预装Windows1064位专业中文版操作系统，免费提供虚拟仿真实验教学软件安装调试服务；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4.整机一年质量保证，三年上门维修服务；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4.整机一年质量保证，三年上门维修服务；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5.搭载最新一代英特尔酷睿I7处理器，性能不低于8核心20线程；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5.搭载最新一代英特尔酷睿I7处理器，性能8核心20线程；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6.支持64GB内存，助力各项操作流畅进行，本机配置32GB；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6.支持64GB内存，助力各项操作流畅进行，本机配置32GB；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7.采用NVIDIA系列高配置图形处理显卡，显存不低于8GB，具备高分辨率及图像处理能力；</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7.采用NVIDIA系列高配置图形处理显卡，显存8GB，具备高分辨率及图像处理能力；</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8.系统运行硬盘采用512GB固态硬盘，搭配2TB独立存储空间；</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8.系统运行硬盘采用512GB固态硬盘，搭配2TB独立存储空间；</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9.专业绘图专用显示器，高清宽屏图像显示，超窄边设计；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9.专业绘图专用显示器，高清宽屏图像显示，超窄边设计；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202"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预装软件：编辑器操作面板主要对模型进行编辑，支持外部模型导入，在线模型库编辑，通过可视化图表界面，简单的拖拽功能，为模型添加知识点功能，模型制作完成后会形成微课发布到平台首页，同时平台需要包含模型内容总数不低于3200个，涵盖军工、交通、工业、人物、植物、家具、建筑、文旅、动物等不少于11类模型资源；</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预装软件：编辑器操作面板主要对模型进行编辑，支持外部模型导入，在线模型库编辑，通过可视化图表界面，简单的拖拽功能，为模型添加知识点功能，模型制作完成后会形成微课发布到平台首页，同时平台需要包含模型内容总数3200个，涵盖军工、交通、工业、人物、植物、家具、建筑、文旅、动物等11类模型资源；</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21</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实训工作站</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1.专业绘图设计3D渲染型台式机，流畅播放3D场景及3D程序，专门针对虚拟现实高强度三维应用所优化，在64位Windows平台上实现高性能专业图形运算；</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1.专业绘图设计3D渲染型台式机，流畅播放3D场景及3D程序，专门针对虚拟现实高强度三维应用所优化，在64位Windows平台上实现高性能专业图形运算；</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2.支持500万面超大规模虚拟现实场景实时漫游，帧率不低于30FPS，支持16倍抗锯齿，32倍各项异性过滤；</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2.支持500万面超大规模虚拟现实场景实时漫游，帧率不低于30FPS，支持16倍抗锯齿，32倍各项异性过滤；</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3.预装Windows1064位专业中文版操作系统，免费提供虚拟仿真实验教学软件安装调试服务；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3.预装Windows1064位专业中文版操作系统，免费提供虚拟仿真实验教学软件安装调试服务；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4.整机一年质量保证，三年上门维修服务；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4.整机一年质量保证，三年上门维修服务；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5.搭载最新一代英特尔酷睿I7处理器，性能不低于8核心16线程；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5.搭载最新一代英特尔酷睿I7处理器，性能8核心16线程；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6.支持64GB内存，助力各项操作流畅进行，本机配置16GB；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6.支持64GB内存，助力各项操作流畅进行，本机配置16GB；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7.采用NVIDIA专业图形处理显卡，显存不低于6GB，具备高分辨率及图像处理能力；</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7.采用NVIDIA专业图形处理显卡，显存6GB，具备高分辨率及图像处理能力；</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8.系统运行硬盘采用256GB固态硬盘，搭配1TB独立存储空间；</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8.系统运行硬盘采用256GB固态硬盘，搭配1TB独立存储空间；</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9.支持maya/3dmax建模软件实时渲染开窗口：支持窗口位置自定义、分辨率自定义，显示方式支持上下格式/左右格式/深度图像；</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9.支持maya/3dmax建模软件实时渲染开窗口：支持窗口位置自定义、分辨率自定义，显示方式支持上下格式/左右格式/深度图像；</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165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预装软件：编辑器操作面板主要对模型进行编辑，支持外部模型导入，在线模型库编辑，通过可视化图表界面，简单的拖拽功能，为模型添加知识点功能，模型制作完成后会形成微课发布到平台首页，同时平台需要包含模型内容总数不低于3200个，涵盖军工、交通、工业、人物、植物、家具、建筑、文旅、动物等不少于11类模型资源；不低于3200个，涵盖军工、交通、工业、人物、植物、家具、建筑、文旅、动物等不少于11类模型资源；</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10.预装软件：编辑器操作面板主要对模型进行编辑，支持外部模型导入，在线模型库编辑，通过可视化图表界面，简单的拖拽功能，为模型添加知识点功能，模型制作完成后会形成微课发布到平台首页，同时平台需要包含模型内容总数3200个，涵盖军工、交通、工业、人物、植物、家具、建筑、文旅、动物等11类模型资源；3200个，涵盖军工、交通、工业、人物、植物、家具、建筑、文旅、动物等11类模型资源；</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22</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研发工作站</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1.专业绘图设计3D渲染型台式机，流畅播放3D场景及3D程序，专门针对虚拟现实高强度三维应用所优化，在64位Windows平台上实现高性能专业图形运算；</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1.专业绘图设计3D渲染型台式机，流畅播放3D场景及3D程序，专门针对虚拟现实高强度三维应用所优化，在64位Windows平台上实现高性能专业图形运算；</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2.支持500万面超大规模虚拟现实场景实时漫游，帧率不低于30FPS，支持16倍抗锯齿，32倍各项异性过滤；</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2.支持500万面超大规模虚拟现实场景实时漫游，帧率30FPS，支持16倍抗锯齿，32倍各项异性过滤；</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3.预装Windows1064位专业中文版操作系统，免费提供虚拟仿真实验教学软件安装调试服务；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3.预装Windows1064位专业中文版操作系统，免费提供虚拟仿真实验教学软件安装调试服务；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4.整机一年质量保证，三年上门维修服务；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4.整机一年质量保证，三年上门维修服务；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5.搭载最新一代英特尔酷睿I7处理器，性能不低于8核心16线程；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5.搭载最新一代英特尔酷睿I7处理器，性能8核心16线程；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6.支持64GB内存，助力各项操作流畅进行，本机配置32GB；</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6.支持64GB内存，助力各项操作流畅进行，本机配置32GB；</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7.采用NVIDIA专业图形处理显卡，显存不低于16GB，具备高分辨率及图像处理能力；</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7.采用NVIDIA专业图形处理显卡，显存16GB，具备高分辨率及图像处理能力；</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8.系统运行硬盘采用512GB固态硬盘，搭配1TB独立存储空间；</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8.系统运行硬盘采用512GB固态硬盘，搭配1TB独立存储空间；</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9.支持maya/3dmax建模软件实时渲染开窗口：支持窗口位置自定义、分辨率自定义，显示方式支持上下格式/左右格式/深度图像；</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9.支持maya/3dmax建模软件实时渲染开窗口：支持窗口位置自定义、分辨率自定义，显示方式支持上下格式/左右格式/深度图像；</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23</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路由器</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1.通信标准：3GPPRelease15；</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1.通信标准：3GPPRelease15；</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2.适用网络：5G/4G；</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2.适用网络：5G/4G；</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3.组网模式：NSA/SA；</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3.组网模式：NSA/SA；</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4.网络频段：5G全网通、4G全网通；</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4.网络频段：5G全网通、4G全网通；</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5.无线速率：双频并发，1167Mbps；</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5.无线速率：双频并发，1167Mbps；</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6.无线频段：2.4GHz&amp;5GHz，支持5GHz优选；</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6.无线频段：2.4GHz&amp;5GHz，支持5GHz优选；</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7.支持设备数量：能满足XR教室正常使用；</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7.支持设备数量：能满足XR教室正常使用；</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24</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交换机</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1.固定端口：8个10/100/1000Base-T电口(包含两个uplink口，可作为上行口)2个10GBase-XSFP+光口；</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1.固定端口：48个10/100/1000Base-T电口(包含两个uplink口，可作为上行口)2个10GBase-XSFP+光口；</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2.模式切换：标准交换、端口隔离、汇聚上联网络克隆；</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2.模式切换：标准交换、端口隔离、汇聚上联网络克隆；</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3.MAC地址表：16K；</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3.MAC地址表：16K；</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4.端口交换容量：136Gbps；</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4.端口交换容量：136Gbps；</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5.转发能力：101.4Mpps；</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5.转发能力：101.4Mpps；</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6.包缓存：12M；</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6.包缓存：12M；</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7.交换模式：存储转发模式；</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7.交换模式：存储转发模式；</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25</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多媒体讲台</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1.支持双人同时操作，桌面银闪光台面，可以定制；</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1.支持双人同时操作，桌面银闪光台面，可以定制；</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2.可调节托盘、高级锁具、鼠标走线孔；</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2.可调节托盘、高级锁具、鼠标走线孔；</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3.宽1250MM*高600MM*深950MM，根据现场定制；</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3.宽1250MM*高600MM*深950MM，根据现场定制；</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4.带并机孔，支持多台级联；</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4.带并机孔，支持多台级联；</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5.标准19机架；</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5.标准19机架；</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6.主体框架≥1.5MM，承重梁≥2.0MM，台面防火板≥25MM。</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6.主体框架1.5MM，承重梁2.0MM，台面防火板25MM。</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26</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教训操作台</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1.尺寸至少达到2200*2070*750，单桌面尺寸：≥1200mm，桌面厚度：≥24mm；</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1.尺寸至少达到2200*2070*750，单桌面尺寸：1200mm，桌面厚度：24mm；</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2.桌面材质：需采用优质防火板，六边形倒角拼接处理，切割处以聚氰胺贴纸板封边，安全不刮手；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2.桌面材质：需采用优质防火板，六边形倒角拼接处理，切割处以聚氰胺贴纸板封边，安全不刮手；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267"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造型设计：采用六边形桌面设计，2梯形拼接，接缝平整、光洁，满足多人使用，简洁的造型颜色搭配，满足各类场地要求，桌面整体效果美观，电脑机箱高储存设计，可放置机箱和VR头戴设备，保证桌面清洁满足人工工程学设计；</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造型设计：采用六边形桌面设计，2梯形拼接，接缝平整、光洁，满足多人使用，简洁的造型颜色搭配，满足各类场地要求，桌面整体效果美观，电脑机箱高储存设计，可放置机箱和VR头戴设备，保证桌面清洁满足人工工程学设计；</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99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六边形凸台设计，侧面有usb和电源插口设计，顶部可放置全息头盔、3D打印机等共享设备。教学模式时候可以开启桌面，为满足学生看清桌面，显示器距离桌子边沿距不大于65cm；VR模式开启后，显示桌面可折叠收起，解决学生对屏幕的误伤；</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六边形凸台设计，侧面有usb和电源插口设计，顶部可放置全息头盔、3D打印机等共享设备。教学模式时候可以开启桌面，为满足学生看清桌面，显示器距离桌子边沿距不大于65cm；VR模式开启后，显示桌面可折叠收起，解决学生对屏幕的误伤；</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5.环保耐用：桌面材质采用高密度纤维板，兼容中纤板的所有优点，厚度为25mm，组织结构均匀，内外一致，抗静电能力强</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5.环保耐用：桌面材质采用高密度纤维板，兼容中纤板的所有优点，厚度为25mm，组织结构均匀，内外一致，抗静电能力强</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27</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多功能座椅</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1.五脚转椅或弓型座椅；</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1.五脚转椅或弓型座椅；</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2.配合六边桌，可进行收纳；</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2.配合六边桌，可进行收纳；</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28</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综合布线</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1.采用国标六类网线进行网络布防，线缆品牌选用国标优质品牌，每个工位配置1路；</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1.采用国标六类网线进行网络布防，线缆品牌选用国标优质品牌，每个工位配置1路；</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2.采用国标RVV3*4/BV4做主线缆铺设，线缆选用国标优质品牌，每个工位保证不低于2.5KW供电需求；</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2.采用国标RVV3*4/BV4做主线缆铺设，线缆选用国标优质品牌，每个工位保证2.5KW供电需求；</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3.线槽、线管布防规整、线路标记清晰、保障网络数据传输稳定高效，电源供应稳定；</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3.线槽、线管布防规整、线路标记清晰、保障网络数据传输稳定高效，电源供应稳定；</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4.网络设备端采用标准网络面板，支持多次插拔；</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4.网络设备端采用标准网络面板，支持多次插拔；</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5.网络交换端预留充足预留线缆，机柜线缆排放整齐，标记清楚，便于后期维护；</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5.网络交换端预留充足预留线缆，机柜线缆排放整齐，标记清楚，便于后期维护；</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6.机柜配电采用独立线缆铺放，供电功率保证不低于5KW；</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6.机柜配电采用独立线缆铺放，供电功率保证5KW；</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29</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实验室配套环境调整</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1.墙面环境处理：交钥匙工程。墙面平整光滑，无异味，无甲醛漆，VR设备可以完美嵌入式安装，不影响交互过程；</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1.墙面环境处理：交钥匙工程。墙面平整光滑，无异味，无甲醛漆，VR设备可以完美嵌入式安装，不影响交互过程；</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2.顶面环境处理：轻钢主骨通过8厘的吊筋固定于顶面，生态木方通扣于轻钢主骨上，可以固定虚拟现实定位系统，线缆安装不裸露；</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2.顶面环境处理：轻钢主骨通过8厘的吊筋固定于顶面，生态木方通扣于轻钢主骨上，可以固定虚拟现实定位系统，线缆安装不裸露；</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3.地面环境处理：2mm厚防潮垫铺于地砖，防潮垫上直接铺装国内知名品牌强化木地板，能配合位置追踪系统捕捉，使系统无杂点，保证系统稳定运行；</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3.地面环境处理：2mm厚防潮垫铺于地砖，防潮垫上直接铺装国内知名品牌强化木地板，能配合位置追踪系统捕捉，使系统无杂点，保证系统稳定运行；</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4.电气环境处理：暗装部位需加固处理，明装部位做保护处理，接线规范，符合智慧中控系统要求，对灯箱、筒灯、照明分离设计，支持大屏幕观看需求；</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4.电气环境处理：暗装部位需加固处理，明装部位做保护处理，接线规范，符合智慧中控系统要求，对灯箱、筒灯、照明分离设计，支持大屏幕观看需求；</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5.灯光环境处理：暗装部位需加固处理，明装部位做保护处理，接线规范，符合智慧中控系统要求，对灯箱、筒灯、照明分离设计，支持大屏幕观看需求；</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5.灯光环境处理：暗装部位需加固处理，明装部位做保护处理，接线规范，符合智慧中控系统要求，对灯箱、筒灯、照明分离设计，支持大屏幕观看需求；</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restart"/>
            <w:tcBorders>
              <w:top w:val="single" w:color="auto" w:sz="12"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30</w:t>
            </w:r>
          </w:p>
        </w:tc>
        <w:tc>
          <w:tcPr>
            <w:tcW w:w="594" w:type="dxa"/>
            <w:vMerge w:val="restart"/>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虚拟仿真教研管理平台</w:t>
            </w:r>
          </w:p>
        </w:tc>
        <w:tc>
          <w:tcPr>
            <w:tcW w:w="45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1.多人多场景互动</w:t>
            </w:r>
          </w:p>
        </w:tc>
        <w:tc>
          <w:tcPr>
            <w:tcW w:w="3160"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1.多人多场景互动</w:t>
            </w:r>
          </w:p>
        </w:tc>
        <w:tc>
          <w:tcPr>
            <w:tcW w:w="662" w:type="dxa"/>
            <w:tcBorders>
              <w:top w:val="single" w:color="auto" w:sz="12"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auto" w:sz="12"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1.1漫游：支持在虚拟场景中前进、后退、左移、右移、原地转向；</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1.1漫游：支持在虚拟场景中前进、后退、左移、右移、原地转向；</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1.2多场景：多场景：可在多个场景之间切换（出生地：厂房，教学地点：授课厅，实操场景：工业机器人实训室；</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1.2多场景：多场景：可在多个场景之间切换（出生地：厂房，教学地点：授课厅，实操场景：工业机器人实训室；</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1.3互动：支持指定操作、指定回答、学生举手、语音对话、手势等进行互动；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1.3互动：支持指定操作、指定回答、学生举手、语音对话、手势等进行互动；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1.4选座：支持学生任意选座；</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1.4选座：支持学生任意选座；</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1.5座位分配：开启上课后系统自动为未选座的学生角色分配座位，不支持随意走动；</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1.5座位分配：开启上课后系统自动为未选座的学生角色分配座位，不支持随意走动；</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2.创建课程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2.创建课程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2.1</w:t>
            </w:r>
            <w:r>
              <w:rPr>
                <w:rFonts w:hint="eastAsia"/>
                <w:color w:val="000000"/>
                <w:kern w:val="0"/>
                <w:sz w:val="18"/>
                <w:szCs w:val="18"/>
              </w:rPr>
              <w:t>“</w:t>
            </w:r>
            <w:r>
              <w:rPr>
                <w:color w:val="000000"/>
                <w:kern w:val="0"/>
                <w:sz w:val="18"/>
                <w:szCs w:val="18"/>
              </w:rPr>
              <w:t>教师</w:t>
            </w:r>
            <w:r>
              <w:rPr>
                <w:rFonts w:hint="eastAsia"/>
                <w:color w:val="000000"/>
                <w:kern w:val="0"/>
                <w:sz w:val="18"/>
                <w:szCs w:val="18"/>
              </w:rPr>
              <w:t>”</w:t>
            </w:r>
            <w:r>
              <w:rPr>
                <w:color w:val="000000"/>
                <w:kern w:val="0"/>
                <w:sz w:val="18"/>
                <w:szCs w:val="18"/>
              </w:rPr>
              <w:t>角色：创建课程：课程名称、课程开始时间、课程结束时间、关联讲授课件、关联讲授PPT,课程创建完毕后用户可在距离开课前15分钟进入授课厅；</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2.1</w:t>
            </w:r>
            <w:r>
              <w:rPr>
                <w:rFonts w:hint="eastAsia"/>
                <w:color w:val="000000"/>
                <w:kern w:val="0"/>
                <w:sz w:val="18"/>
                <w:szCs w:val="18"/>
              </w:rPr>
              <w:t>“</w:t>
            </w:r>
            <w:r>
              <w:rPr>
                <w:color w:val="000000"/>
                <w:kern w:val="0"/>
                <w:sz w:val="18"/>
                <w:szCs w:val="18"/>
              </w:rPr>
              <w:t>教师</w:t>
            </w:r>
            <w:r>
              <w:rPr>
                <w:rFonts w:hint="eastAsia"/>
                <w:color w:val="000000"/>
                <w:kern w:val="0"/>
                <w:sz w:val="18"/>
                <w:szCs w:val="18"/>
              </w:rPr>
              <w:t>”</w:t>
            </w:r>
            <w:r>
              <w:rPr>
                <w:color w:val="000000"/>
                <w:kern w:val="0"/>
                <w:sz w:val="18"/>
                <w:szCs w:val="18"/>
              </w:rPr>
              <w:t>角色：创建课程：课程名称、课程开始时间、课程结束时间、关联讲授课件、关联讲授PPT,课程创建完毕后用户可在距离开课前15分钟进入授课厅；</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2.2</w:t>
            </w:r>
            <w:r>
              <w:rPr>
                <w:rFonts w:hint="eastAsia"/>
                <w:color w:val="000000"/>
                <w:kern w:val="0"/>
                <w:sz w:val="18"/>
                <w:szCs w:val="18"/>
              </w:rPr>
              <w:t>“</w:t>
            </w:r>
            <w:r>
              <w:rPr>
                <w:color w:val="000000"/>
                <w:kern w:val="0"/>
                <w:sz w:val="18"/>
                <w:szCs w:val="18"/>
              </w:rPr>
              <w:t>学生</w:t>
            </w:r>
            <w:r>
              <w:rPr>
                <w:rFonts w:hint="eastAsia"/>
                <w:color w:val="000000"/>
                <w:kern w:val="0"/>
                <w:sz w:val="18"/>
                <w:szCs w:val="18"/>
              </w:rPr>
              <w:t>”</w:t>
            </w:r>
            <w:r>
              <w:rPr>
                <w:color w:val="000000"/>
                <w:kern w:val="0"/>
                <w:sz w:val="18"/>
                <w:szCs w:val="18"/>
              </w:rPr>
              <w:t>角色：可以在课程列表选择具体的课程，距离开课时间前15分钟，可以进入到授课厅；</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2.2</w:t>
            </w:r>
            <w:r>
              <w:rPr>
                <w:rFonts w:hint="eastAsia"/>
                <w:color w:val="000000"/>
                <w:kern w:val="0"/>
                <w:sz w:val="18"/>
                <w:szCs w:val="18"/>
              </w:rPr>
              <w:t>“</w:t>
            </w:r>
            <w:r>
              <w:rPr>
                <w:color w:val="000000"/>
                <w:kern w:val="0"/>
                <w:sz w:val="18"/>
                <w:szCs w:val="18"/>
              </w:rPr>
              <w:t>学生</w:t>
            </w:r>
            <w:r>
              <w:rPr>
                <w:rFonts w:hint="eastAsia"/>
                <w:color w:val="000000"/>
                <w:kern w:val="0"/>
                <w:sz w:val="18"/>
                <w:szCs w:val="18"/>
              </w:rPr>
              <w:t>”</w:t>
            </w:r>
            <w:r>
              <w:rPr>
                <w:color w:val="000000"/>
                <w:kern w:val="0"/>
                <w:sz w:val="18"/>
                <w:szCs w:val="18"/>
              </w:rPr>
              <w:t>角色：可以在课程列表选择具体的课程，距离开课时间前15分钟，可以进入到授课厅；</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3.教室授课</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3.教室授课</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3.1教室授课：支持PPT与机器人课件的讲授(理实一体化教学)；</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3.1教室授课：支持PPT与机器人课件的讲授(理实一体化教学)；</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3.2PPT：教师授课的PPT，内容可以同步给场景中的其它学生，学生端拥有PPT第一视角，支持无论坐在授课厅内任意角落，都可以看清PPT中的内容；</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3.2PPT：教师授课的PPT，内容可以同步给场景中的其它学生，学生端拥有PPT第一视角，支持无论坐在授课厅内任意角落，都可以看清PPT中的内容；</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3.3第一视角功能：学生拥有第一视角窗口，无论坐在授课厅哪个角落，都可以看清老师完整的实操过程；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3.3第一视角功能：学生拥有第一视角窗口，无论坐在授课厅哪个角落，都可以看清老师完整的实操过程；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3.4机器人课件：内置实训资源模型，通过教师在虚拟环境中对工业机器人边实操边讲解；</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3.4机器人课件：内置实训资源模型，通过教师在虚拟环境中对工业机器人边实操边讲解；</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3.5举手：支持课堂中学生随时举手，举手后老师侧显示举手标识，老师可以通过连线的方式进行语音连接，在老师和学生连线的过程中，场景内所有的学生都可以试试听到该学生与老师之间的通话；</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3.5举手：支持课堂中学生随时举手，举手后老师侧显示举手标识，老师可以通过连线的方式进行语音连接，在老师和学生连线的过程中，场景内所有的学生都可以试试听到该学生与老师之间的通话；</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3.6机器人重置模式：学生或老师操作完成后支持重置机器人教学，增加了对模型设备操作灵活性；</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3.6机器人重置模式：学生或老师操作完成后支持重置机器人教学，增加了对模型设备操作灵活性；</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3.7指定操作：通过教师指定学生操作，在课堂中可以随时检验学生的听课效果，在学生操作同时，场景内所有的学生都可以实时查看该学生的操作过程；</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3.7指定操作：通过教师指定学生操作，在课堂中可以随时检验学生的听课效果，在学生操作同时，场景内所有的学生都可以实时查看该学生的操作过程；</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3.8指定回答：通过教师指定学生回答，在课堂中可以随时检验学生的听课效果，在学生回答同时，场景内所有的学生都可以实时听到该学生与老师之间的通话；</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3.8指定回答：通过教师指定学生回答，在课堂中可以随时检验学生的听课效果，在学生回答同时，场景内所有的学生都可以实时听到该学生与老师之间的通话；</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3.9声音控制：支持老师全员静音，对单个学生的声音控制；</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3.9声音控制：支持老师全员静音，对单个学生的声音控制；</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4.学生个人实操</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4.学生个人实操</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4.1开启个人练习：支持老师在课中开启个人练习，授课厅内的每位学生可进入自己的实训练习空间；</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4.1开启个人练习：支持老师在课中开启个人练习，授课厅内的每位学生可进入自己的实训练习空间；</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4.2练习监控面板：支持在学生实操练习的过程中，老师可以监控每位学生的练习进度以及异常情况（练习停滞），该功能起到更好的监管效果；</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4.2练习监控面板：支持在学生实操练习的过程中，老师可以监控每位学生的练习进度以及异常情况（练习停滞），该功能起到更好的监管效果；</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4.3老师场景介入：支持在学生实操练习过程中，老师可以随时介入每位学生的练习场景，进行语音指导，师生之间互相可以看到。师生之间的语音交流，其它场景内的学生也一并可以听到；</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4.3老师场景介入：支持在学生实操练习过程中，老师可以随时介入每位学生的练习场景，进行语音指导，师生之间互相可以看到。师生之间的语音交流，其它场景内的学生也一并可以听到；</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4.4全员学生练习：学生进入自己实训练习空间进行练习，实训空间内有步骤提醒，学生可根据高亮部分进行练习；</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4.4全员学生练习：学生进入自己实训练习空间进行练习，实训空间内有步骤提醒，学生可根据高亮部分进行练习；</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33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5.课堂数据</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color w:val="000000"/>
                <w:sz w:val="18"/>
                <w:szCs w:val="18"/>
              </w:rPr>
            </w:pPr>
            <w:r>
              <w:rPr>
                <w:color w:val="000000"/>
                <w:kern w:val="0"/>
                <w:sz w:val="18"/>
                <w:szCs w:val="18"/>
              </w:rPr>
              <w:t>5.课堂数据</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color w:val="000000"/>
                <w:sz w:val="18"/>
                <w:szCs w:val="18"/>
              </w:rPr>
            </w:pPr>
            <w:r>
              <w:rPr>
                <w:color w:val="000000"/>
                <w:sz w:val="18"/>
                <w:szCs w:val="18"/>
              </w:rPr>
              <w:t>/</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5.1老师端：数据报告（每位学生的姓名、听课时长、练习步骤完成率、每个步骤的操作的时间、练习总时间）；【需提供软件截图】</w:t>
            </w:r>
          </w:p>
        </w:tc>
        <w:tc>
          <w:tcPr>
            <w:tcW w:w="3160"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5.1老师端：数据报告（每位学生的姓名、听课时长、练习步骤完成率、每个步骤的操作的时间、练习总时间）；【需提供软件截图】</w:t>
            </w:r>
          </w:p>
        </w:tc>
        <w:tc>
          <w:tcPr>
            <w:tcW w:w="66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000000" w:sz="4"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第103页</w:t>
            </w:r>
          </w:p>
        </w:tc>
      </w:tr>
      <w:tr>
        <w:tblPrEx>
          <w:tblCellMar>
            <w:top w:w="0" w:type="dxa"/>
            <w:left w:w="108" w:type="dxa"/>
            <w:bottom w:w="0" w:type="dxa"/>
            <w:right w:w="108" w:type="dxa"/>
          </w:tblCellMar>
        </w:tblPrEx>
        <w:trPr>
          <w:trHeight w:val="660" w:hRule="atLeast"/>
          <w:jc w:val="center"/>
        </w:trPr>
        <w:tc>
          <w:tcPr>
            <w:tcW w:w="409" w:type="dxa"/>
            <w:vMerge w:val="continue"/>
            <w:tcBorders>
              <w:top w:val="single" w:color="000000" w:sz="4" w:space="0"/>
              <w:left w:val="single" w:color="auto" w:sz="12"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594" w:type="dxa"/>
            <w:vMerge w:val="continue"/>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color w:val="000000"/>
                <w:sz w:val="18"/>
                <w:szCs w:val="18"/>
              </w:rPr>
            </w:pPr>
          </w:p>
        </w:tc>
        <w:tc>
          <w:tcPr>
            <w:tcW w:w="45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rPr>
                <w:b/>
                <w:bCs/>
                <w:color w:val="000000"/>
                <w:sz w:val="18"/>
                <w:szCs w:val="18"/>
              </w:rPr>
            </w:pP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5.2学生端：数据报告（该学生的姓名、听课时长、举手/应答、练习步骤完成率、每个步骤的操作的时间、练习总时间。；【需提供软件截图】</w:t>
            </w:r>
          </w:p>
        </w:tc>
        <w:tc>
          <w:tcPr>
            <w:tcW w:w="3160"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left"/>
              <w:textAlignment w:val="center"/>
              <w:rPr>
                <w:b/>
                <w:bCs/>
                <w:color w:val="000000"/>
                <w:sz w:val="18"/>
                <w:szCs w:val="18"/>
              </w:rPr>
            </w:pPr>
            <w:r>
              <w:rPr>
                <w:b/>
                <w:bCs/>
                <w:color w:val="000000"/>
                <w:kern w:val="0"/>
                <w:sz w:val="18"/>
                <w:szCs w:val="18"/>
              </w:rPr>
              <w:t>5.2学生端：数据报告（该学生的姓名、听课时长、举手/应答、练习步骤完成率、每个步骤的操作的时间、练习总时间。；【需提供软件截图】</w:t>
            </w:r>
          </w:p>
        </w:tc>
        <w:tc>
          <w:tcPr>
            <w:tcW w:w="662" w:type="dxa"/>
            <w:tcBorders>
              <w:top w:val="single" w:color="000000" w:sz="4" w:space="0"/>
              <w:left w:val="single" w:color="000000" w:sz="4" w:space="0"/>
              <w:bottom w:val="single" w:color="auto" w:sz="12"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满足</w:t>
            </w:r>
          </w:p>
        </w:tc>
        <w:tc>
          <w:tcPr>
            <w:tcW w:w="636" w:type="dxa"/>
            <w:tcBorders>
              <w:top w:val="single" w:color="000000" w:sz="4" w:space="0"/>
              <w:left w:val="single" w:color="000000" w:sz="4" w:space="0"/>
              <w:bottom w:val="single" w:color="auto" w:sz="12" w:space="0"/>
              <w:right w:val="single" w:color="auto" w:sz="12" w:space="0"/>
            </w:tcBorders>
            <w:vAlign w:val="center"/>
          </w:tcPr>
          <w:p>
            <w:pPr>
              <w:widowControl/>
              <w:adjustRightInd w:val="0"/>
              <w:snapToGrid w:val="0"/>
              <w:spacing w:line="240" w:lineRule="auto"/>
              <w:ind w:firstLine="0" w:firstLineChars="0"/>
              <w:jc w:val="center"/>
              <w:rPr>
                <w:b/>
                <w:bCs/>
                <w:color w:val="000000"/>
                <w:sz w:val="18"/>
                <w:szCs w:val="18"/>
              </w:rPr>
            </w:pPr>
            <w:r>
              <w:rPr>
                <w:rFonts w:hint="eastAsia"/>
                <w:b/>
                <w:bCs/>
                <w:color w:val="000000"/>
                <w:sz w:val="18"/>
                <w:szCs w:val="18"/>
              </w:rPr>
              <w:t>第102页</w:t>
            </w:r>
          </w:p>
        </w:tc>
      </w:tr>
    </w:tbl>
    <w:p>
      <w:pPr>
        <w:ind w:firstLine="0" w:firstLineChars="0"/>
        <w:rPr>
          <w:rFonts w:ascii="宋体" w:hAnsi="宋体" w:cs="宋体"/>
          <w:color w:val="000000"/>
          <w:kern w:val="0"/>
          <w:sz w:val="20"/>
          <w:szCs w:val="20"/>
        </w:rPr>
      </w:pPr>
    </w:p>
    <w:p>
      <w:pPr>
        <w:ind w:firstLine="0" w:firstLineChars="0"/>
      </w:pPr>
      <w:r>
        <w:t>说明：</w:t>
      </w:r>
    </w:p>
    <w:p>
      <w:pPr>
        <w:numPr>
          <w:ilvl w:val="0"/>
          <w:numId w:val="108"/>
        </w:numPr>
        <w:ind w:firstLine="0" w:firstLineChars="0"/>
      </w:pPr>
      <w:r>
        <w:t>供应商应当如实填写上表</w:t>
      </w:r>
      <w:r>
        <w:rPr>
          <w:rFonts w:hint="eastAsia"/>
        </w:rPr>
        <w:t>“</w:t>
      </w:r>
      <w:r>
        <w:t>供应商提供响应内容</w:t>
      </w:r>
      <w:r>
        <w:rPr>
          <w:rFonts w:hint="eastAsia"/>
        </w:rPr>
        <w:t>”</w:t>
      </w:r>
      <w:r>
        <w:t>处内容，对磋商文件提出的要求和条件作出明确响应，并列明具体响应数值或内容，只注明符合、满足等无具体内容表述的，将视为未实质性满足磋商文件要求。</w:t>
      </w:r>
    </w:p>
    <w:p>
      <w:pPr>
        <w:numPr>
          <w:ilvl w:val="0"/>
          <w:numId w:val="108"/>
        </w:numPr>
        <w:ind w:firstLine="0" w:firstLineChars="0"/>
      </w:pPr>
      <w:r>
        <w:rPr>
          <w:rFonts w:hint="eastAsia"/>
        </w:rPr>
        <w:t>“</w:t>
      </w:r>
      <w:r>
        <w:t>偏离程度</w:t>
      </w:r>
      <w:r>
        <w:rPr>
          <w:rFonts w:hint="eastAsia"/>
        </w:rPr>
        <w:t>”</w:t>
      </w:r>
      <w:r>
        <w:t>处可填写满足、响应或正偏离、负偏离。</w:t>
      </w:r>
    </w:p>
    <w:p>
      <w:pPr>
        <w:numPr>
          <w:ilvl w:val="0"/>
          <w:numId w:val="108"/>
        </w:numPr>
        <w:ind w:firstLine="0" w:firstLineChars="0"/>
      </w:pPr>
      <w:r>
        <w:rPr>
          <w:rFonts w:hint="eastAsia"/>
        </w:rPr>
        <w:t>“</w:t>
      </w:r>
      <w:r>
        <w:t>备注</w:t>
      </w:r>
      <w:r>
        <w:rPr>
          <w:rFonts w:hint="eastAsia"/>
        </w:rPr>
        <w:t>”</w:t>
      </w:r>
      <w:r>
        <w:t>处可填写偏离情况的具体说明。</w:t>
      </w:r>
    </w:p>
    <w:p>
      <w:pPr>
        <w:numPr>
          <w:ilvl w:val="0"/>
          <w:numId w:val="108"/>
        </w:numPr>
        <w:ind w:firstLine="0" w:firstLineChars="0"/>
      </w:pPr>
      <w:r>
        <w:t>上表中</w:t>
      </w:r>
      <w:r>
        <w:rPr>
          <w:rFonts w:hint="eastAsia"/>
        </w:rPr>
        <w:t>“</w:t>
      </w:r>
      <w:r>
        <w:t>招标技术要求</w:t>
      </w:r>
      <w:r>
        <w:rPr>
          <w:rFonts w:hint="eastAsia"/>
        </w:rPr>
        <w:t>”</w:t>
      </w:r>
      <w:r>
        <w:t>应详细填写招标要求。</w:t>
      </w:r>
    </w:p>
    <w:p>
      <w:pPr>
        <w:ind w:firstLine="0" w:firstLineChars="0"/>
      </w:pPr>
    </w:p>
    <w:p>
      <w:pPr>
        <w:ind w:firstLine="0" w:firstLineChars="0"/>
      </w:pPr>
    </w:p>
    <w:p>
      <w:pPr>
        <w:widowControl/>
        <w:ind w:firstLine="0" w:firstLineChars="0"/>
        <w:jc w:val="left"/>
        <w:sectPr>
          <w:pgSz w:w="11906" w:h="16838"/>
          <w:pgMar w:top="1474" w:right="1417" w:bottom="1247" w:left="1417" w:header="851" w:footer="992" w:gutter="0"/>
          <w:cols w:space="720" w:num="1"/>
          <w:docGrid w:type="lines" w:linePitch="312" w:charSpace="0"/>
        </w:sectPr>
      </w:pPr>
    </w:p>
    <w:p>
      <w:pPr>
        <w:pStyle w:val="3"/>
        <w:spacing w:before="312" w:after="312"/>
      </w:pPr>
      <w:bookmarkStart w:id="15" w:name="_Toc5393"/>
      <w:bookmarkStart w:id="16" w:name="_Toc15330"/>
      <w:r>
        <w:rPr>
          <w:rFonts w:hint="eastAsia"/>
        </w:rPr>
        <w:t>分项报价明细表</w:t>
      </w:r>
      <w:bookmarkEnd w:id="15"/>
      <w:bookmarkEnd w:id="16"/>
    </w:p>
    <w:tbl>
      <w:tblPr>
        <w:tblStyle w:val="16"/>
        <w:tblW w:w="928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619"/>
        <w:gridCol w:w="987"/>
        <w:gridCol w:w="1588"/>
        <w:gridCol w:w="1587"/>
        <w:gridCol w:w="1175"/>
        <w:gridCol w:w="738"/>
        <w:gridCol w:w="612"/>
        <w:gridCol w:w="988"/>
        <w:gridCol w:w="994"/>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序号</w:t>
            </w:r>
          </w:p>
        </w:tc>
        <w:tc>
          <w:tcPr>
            <w:tcW w:w="987"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标的名称</w:t>
            </w:r>
          </w:p>
        </w:tc>
        <w:tc>
          <w:tcPr>
            <w:tcW w:w="1588"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品牌、规格型号/主要服务内容</w:t>
            </w:r>
          </w:p>
        </w:tc>
        <w:tc>
          <w:tcPr>
            <w:tcW w:w="1587"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制造商名称</w:t>
            </w:r>
          </w:p>
        </w:tc>
        <w:tc>
          <w:tcPr>
            <w:tcW w:w="1175"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产地</w:t>
            </w:r>
          </w:p>
        </w:tc>
        <w:tc>
          <w:tcPr>
            <w:tcW w:w="738"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数量</w:t>
            </w:r>
          </w:p>
        </w:tc>
        <w:tc>
          <w:tcPr>
            <w:tcW w:w="612"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单位</w:t>
            </w:r>
          </w:p>
        </w:tc>
        <w:tc>
          <w:tcPr>
            <w:tcW w:w="988" w:type="dxa"/>
            <w:tcBorders>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单价（元）</w:t>
            </w:r>
          </w:p>
        </w:tc>
        <w:tc>
          <w:tcPr>
            <w:tcW w:w="994" w:type="dxa"/>
            <w:tcBorders>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b/>
                <w:bCs/>
                <w:color w:val="000000"/>
                <w:sz w:val="18"/>
                <w:szCs w:val="18"/>
              </w:rPr>
            </w:pPr>
            <w:r>
              <w:rPr>
                <w:b/>
                <w:bCs/>
                <w:color w:val="000000"/>
                <w:kern w:val="0"/>
                <w:sz w:val="18"/>
                <w:szCs w:val="18"/>
              </w:rPr>
              <w:t>合计（元）</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LED显示屏幕</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SDPY</w:t>
            </w:r>
            <w:r>
              <w:rPr>
                <w:rFonts w:hint="eastAsia"/>
                <w:color w:val="000000"/>
                <w:kern w:val="0"/>
                <w:sz w:val="18"/>
                <w:szCs w:val="18"/>
              </w:rPr>
              <w:t>/</w:t>
            </w:r>
            <w:r>
              <w:rPr>
                <w:color w:val="000000"/>
                <w:kern w:val="0"/>
                <w:sz w:val="18"/>
                <w:szCs w:val="18"/>
              </w:rPr>
              <w:t>P1.86</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北京盛达屏业科技有限公司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14.34</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￥21,500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￥308,310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视频处理器</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NovaStar</w:t>
            </w:r>
            <w:r>
              <w:rPr>
                <w:rFonts w:hint="eastAsia"/>
                <w:color w:val="000000"/>
                <w:kern w:val="0"/>
                <w:sz w:val="18"/>
                <w:szCs w:val="18"/>
              </w:rPr>
              <w:t>/</w:t>
            </w:r>
            <w:r>
              <w:rPr>
                <w:color w:val="000000"/>
                <w:kern w:val="0"/>
                <w:sz w:val="18"/>
                <w:szCs w:val="18"/>
              </w:rPr>
              <w:t>V2460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西安诺瓦星云科技股份有限公司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中国陕西省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￥22,500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￥22,500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屏幕结构及包边</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SDPY</w:t>
            </w:r>
            <w:r>
              <w:rPr>
                <w:rFonts w:hint="eastAsia"/>
                <w:color w:val="000000"/>
                <w:kern w:val="0"/>
                <w:sz w:val="18"/>
                <w:szCs w:val="18"/>
              </w:rPr>
              <w:t>/</w:t>
            </w:r>
            <w:r>
              <w:rPr>
                <w:color w:val="000000"/>
                <w:kern w:val="0"/>
                <w:sz w:val="18"/>
                <w:szCs w:val="18"/>
              </w:rPr>
              <w:t>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北京盛达屏业科技有限公司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项</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￥14,500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￥14,500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立体眼镜发射器</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幻视</w:t>
            </w:r>
            <w:r>
              <w:rPr>
                <w:rStyle w:val="21"/>
                <w:rFonts w:hint="default" w:cs="等线"/>
              </w:rPr>
              <w:t>/</w:t>
            </w:r>
            <w:r>
              <w:rPr>
                <w:rStyle w:val="21"/>
                <w:rFonts w:hint="default" w:eastAsia="等线" w:cs="等线" w:asciiTheme="minorHAnsi" w:hAnsiTheme="minorHAnsi"/>
              </w:rPr>
              <w:t>HMT-5000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深圳市幻视科技有限公司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￥2,800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￥2,800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5</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立体眼镜</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幻视</w:t>
            </w:r>
            <w:r>
              <w:rPr>
                <w:rStyle w:val="21"/>
                <w:rFonts w:hint="default" w:cs="等线"/>
              </w:rPr>
              <w:t>/</w:t>
            </w:r>
            <w:r>
              <w:rPr>
                <w:rStyle w:val="21"/>
                <w:rFonts w:hint="default" w:eastAsia="等线" w:cs="等线" w:asciiTheme="minorHAnsi" w:hAnsiTheme="minorHAnsi"/>
              </w:rPr>
              <w:t>HMT-5000H19C</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深圳市幻视科技有限公司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50.00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付</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￥12,500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6</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图形工作站</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HP</w:t>
            </w:r>
            <w:r>
              <w:rPr>
                <w:rStyle w:val="21"/>
                <w:rFonts w:hint="default" w:cs="等线"/>
              </w:rPr>
              <w:t>/</w:t>
            </w:r>
            <w:r>
              <w:rPr>
                <w:rStyle w:val="21"/>
                <w:rFonts w:hint="default" w:eastAsia="等线" w:cs="等线" w:asciiTheme="minorHAnsi" w:hAnsiTheme="minorHAnsi"/>
              </w:rPr>
              <w:t>Z6G4</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中国惠普有限公司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￥23,500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￥23,500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7</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虚拟现实桥接软件</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道航</w:t>
            </w:r>
            <w:r>
              <w:rPr>
                <w:rStyle w:val="21"/>
                <w:rFonts w:hint="default" w:eastAsia="等线" w:cs="等线" w:asciiTheme="minorHAnsi" w:hAnsiTheme="minorHAnsi"/>
              </w:rPr>
              <w:t>寰宇</w:t>
            </w:r>
            <w:r>
              <w:rPr>
                <w:rStyle w:val="21"/>
                <w:rFonts w:hint="default" w:cs="等线"/>
              </w:rPr>
              <w:t>/</w:t>
            </w:r>
            <w:r>
              <w:rPr>
                <w:rStyle w:val="21"/>
                <w:rFonts w:hint="default" w:eastAsia="等线" w:cs="等线" w:asciiTheme="minorHAnsi" w:hAnsiTheme="minorHAnsi"/>
              </w:rPr>
              <w:t>MSVR</w:t>
            </w:r>
            <w:r>
              <w:rPr>
                <w:rStyle w:val="21"/>
                <w:rFonts w:hint="default" w:cs="等线"/>
              </w:rPr>
              <w:t xml:space="preserve"> </w:t>
            </w:r>
            <w:r>
              <w:rPr>
                <w:rStyle w:val="21"/>
                <w:rFonts w:hint="default" w:eastAsia="等线" w:cs="等线" w:asciiTheme="minorHAnsi" w:hAnsiTheme="minorHAnsi"/>
              </w:rPr>
              <w:t>V1.0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北京道航寰宇科技有限公司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套</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￥48,500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￥48,500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8</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3D眼镜充电柜</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英创思</w:t>
            </w:r>
            <w:r>
              <w:rPr>
                <w:rStyle w:val="21"/>
                <w:rFonts w:hint="default" w:cs="等线"/>
              </w:rPr>
              <w:t>/</w:t>
            </w:r>
            <w:r>
              <w:rPr>
                <w:rStyle w:val="21"/>
                <w:rFonts w:hint="default" w:eastAsia="等线" w:cs="等线" w:asciiTheme="minorHAnsi" w:hAnsiTheme="minorHAnsi"/>
              </w:rPr>
              <w:t>EN10032-VR</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深圳英创思技术有限公司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￥7,450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￥7,450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9</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服务器机柜</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华安通达</w:t>
            </w:r>
            <w:r>
              <w:rPr>
                <w:rStyle w:val="21"/>
                <w:rFonts w:hint="default" w:cs="等线"/>
              </w:rPr>
              <w:t>/</w:t>
            </w:r>
            <w:r>
              <w:rPr>
                <w:rStyle w:val="21"/>
                <w:rFonts w:hint="default" w:eastAsia="等线" w:cs="等线" w:asciiTheme="minorHAnsi" w:hAnsiTheme="minorHAnsi"/>
              </w:rPr>
              <w:t>42U</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北京华安通达科技有限公司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架</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￥9,000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主扩音箱</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SPDPA</w:t>
            </w:r>
            <w:r>
              <w:rPr>
                <w:rStyle w:val="21"/>
                <w:rFonts w:hint="default" w:cs="等线"/>
              </w:rPr>
              <w:t>/</w:t>
            </w:r>
            <w:r>
              <w:rPr>
                <w:rStyle w:val="21"/>
                <w:rFonts w:hint="default" w:eastAsia="等线" w:cs="等线" w:asciiTheme="minorHAnsi" w:hAnsiTheme="minorHAnsi"/>
              </w:rPr>
              <w:t>SPA-F4504</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支</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￥1,950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￥3,900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11</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音箱支架</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SPDPA</w:t>
            </w:r>
            <w:r>
              <w:rPr>
                <w:rStyle w:val="21"/>
                <w:rFonts w:hint="default" w:cs="等线"/>
              </w:rPr>
              <w:t>/</w:t>
            </w:r>
            <w:r>
              <w:rPr>
                <w:rStyle w:val="21"/>
                <w:rFonts w:hint="default" w:eastAsia="等线" w:cs="等线" w:asciiTheme="minorHAnsi" w:hAnsiTheme="minorHAnsi"/>
              </w:rPr>
              <w:t>SPA-F4504ZJ</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个</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￥1,850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￥3,700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12</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主扩功放</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SPDPA</w:t>
            </w:r>
            <w:r>
              <w:rPr>
                <w:rStyle w:val="21"/>
                <w:rFonts w:hint="default" w:cs="等线"/>
              </w:rPr>
              <w:t>/</w:t>
            </w:r>
            <w:r>
              <w:rPr>
                <w:rStyle w:val="21"/>
                <w:rFonts w:hint="default" w:eastAsia="等线" w:cs="等线" w:asciiTheme="minorHAnsi" w:hAnsiTheme="minorHAnsi"/>
              </w:rPr>
              <w:t>SPA-L2350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13</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环绕音箱</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SPDPA</w:t>
            </w:r>
            <w:r>
              <w:rPr>
                <w:rStyle w:val="21"/>
                <w:rFonts w:hint="default" w:cs="等线"/>
              </w:rPr>
              <w:t>/</w:t>
            </w:r>
            <w:r>
              <w:rPr>
                <w:rStyle w:val="21"/>
                <w:rFonts w:hint="default" w:eastAsia="等线" w:cs="等线" w:asciiTheme="minorHAnsi" w:hAnsiTheme="minorHAnsi"/>
              </w:rPr>
              <w:t>SPA-M206</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支</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￥5,000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14</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环绕功放</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SPDPA</w:t>
            </w:r>
            <w:r>
              <w:rPr>
                <w:rStyle w:val="21"/>
                <w:rFonts w:hint="default" w:cs="等线"/>
              </w:rPr>
              <w:t>/</w:t>
            </w:r>
            <w:r>
              <w:rPr>
                <w:rStyle w:val="21"/>
                <w:rFonts w:hint="default" w:eastAsia="等线" w:cs="等线" w:asciiTheme="minorHAnsi" w:hAnsiTheme="minorHAnsi"/>
              </w:rPr>
              <w:t>SPA-L2350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￥1,850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￥1,850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15</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调音台</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SPDPA</w:t>
            </w:r>
            <w:r>
              <w:rPr>
                <w:rStyle w:val="21"/>
                <w:rFonts w:hint="default" w:cs="等线"/>
              </w:rPr>
              <w:t>/</w:t>
            </w:r>
            <w:r>
              <w:rPr>
                <w:rStyle w:val="21"/>
                <w:rFonts w:hint="default" w:eastAsia="等线" w:cs="等线" w:asciiTheme="minorHAnsi" w:hAnsiTheme="minorHAnsi"/>
              </w:rPr>
              <w:t>SPA-M08</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￥1,850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￥1,850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16</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无线麦克</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SPDPA</w:t>
            </w:r>
            <w:r>
              <w:rPr>
                <w:rStyle w:val="21"/>
                <w:rFonts w:hint="default" w:cs="等线"/>
              </w:rPr>
              <w:t>/</w:t>
            </w:r>
            <w:r>
              <w:rPr>
                <w:rStyle w:val="21"/>
                <w:rFonts w:hint="default" w:eastAsia="等线" w:cs="等线" w:asciiTheme="minorHAnsi" w:hAnsiTheme="minorHAnsi"/>
              </w:rPr>
              <w:t>SPR-8902S</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套</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￥1,850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￥1,850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17</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电源管理器</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SPDPA</w:t>
            </w:r>
            <w:r>
              <w:rPr>
                <w:rStyle w:val="21"/>
                <w:rFonts w:hint="default" w:cs="等线"/>
              </w:rPr>
              <w:t>/</w:t>
            </w:r>
            <w:r>
              <w:rPr>
                <w:rStyle w:val="21"/>
                <w:rFonts w:hint="default" w:eastAsia="等线" w:cs="等线" w:asciiTheme="minorHAnsi" w:hAnsiTheme="minorHAnsi"/>
              </w:rPr>
              <w:t>SPR-08PW</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广州市声谱达音响科技有限公司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￥950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￥950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18</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行为捕捉相机</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度量</w:t>
            </w:r>
            <w:r>
              <w:rPr>
                <w:rStyle w:val="21"/>
                <w:rFonts w:hint="default" w:cs="等线"/>
              </w:rPr>
              <w:t>/</w:t>
            </w:r>
            <w:r>
              <w:rPr>
                <w:rStyle w:val="22"/>
                <w:rFonts w:hint="default" w:eastAsia="等线" w:cs="等线" w:asciiTheme="minorHAnsi" w:hAnsiTheme="minorHAnsi"/>
                <w:sz w:val="18"/>
                <w:szCs w:val="18"/>
              </w:rPr>
              <w:t>Mars1.3HW</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北京度量科技有限公司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个</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￥27,500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￥110,000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19</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行为捕捉软件</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Style w:val="21"/>
                <w:rFonts w:hint="default" w:eastAsia="等线" w:cs="等线" w:asciiTheme="minorHAnsi" w:hAnsiTheme="minorHAnsi"/>
              </w:rPr>
              <w:t>度量</w:t>
            </w:r>
            <w:r>
              <w:rPr>
                <w:rStyle w:val="21"/>
                <w:rFonts w:hint="default" w:cs="等线"/>
              </w:rPr>
              <w:t>/</w:t>
            </w:r>
            <w:r>
              <w:rPr>
                <w:rStyle w:val="22"/>
                <w:rFonts w:hint="default" w:eastAsia="等线" w:cs="等线" w:asciiTheme="minorHAnsi" w:hAnsiTheme="minorHAnsi"/>
                <w:sz w:val="18"/>
                <w:szCs w:val="18"/>
              </w:rPr>
              <w:t>Xingying</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北京度量科技有限公司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套</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￥40000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￥40,000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教学工作站</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HP</w:t>
            </w:r>
            <w:r>
              <w:rPr>
                <w:rFonts w:hint="eastAsia"/>
                <w:color w:val="000000"/>
                <w:kern w:val="0"/>
                <w:sz w:val="18"/>
                <w:szCs w:val="18"/>
              </w:rPr>
              <w:t>/</w:t>
            </w:r>
            <w:r>
              <w:rPr>
                <w:color w:val="000000"/>
                <w:kern w:val="0"/>
                <w:sz w:val="18"/>
                <w:szCs w:val="18"/>
              </w:rPr>
              <w:t>EliteTower880G9/P24VG5</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中国惠普有限公司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￥23,500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￥23,500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21</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实训工作站</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HP</w:t>
            </w:r>
            <w:r>
              <w:rPr>
                <w:rFonts w:hint="eastAsia"/>
                <w:color w:val="000000"/>
                <w:kern w:val="0"/>
                <w:sz w:val="18"/>
                <w:szCs w:val="18"/>
              </w:rPr>
              <w:t>/</w:t>
            </w:r>
            <w:r>
              <w:rPr>
                <w:color w:val="000000"/>
                <w:kern w:val="0"/>
                <w:sz w:val="18"/>
                <w:szCs w:val="18"/>
              </w:rPr>
              <w:t>EliteTower880G9/P24VG5</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中国惠普有限公司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eastAsia="等线"/>
                <w:color w:val="000000"/>
                <w:sz w:val="18"/>
                <w:szCs w:val="18"/>
                <w:lang w:val="en-US" w:eastAsia="zh-CN"/>
              </w:rPr>
            </w:pPr>
            <w:r>
              <w:rPr>
                <w:color w:val="000000"/>
                <w:kern w:val="0"/>
                <w:sz w:val="18"/>
                <w:szCs w:val="18"/>
              </w:rPr>
              <w:t>￥1,000</w:t>
            </w:r>
            <w:r>
              <w:rPr>
                <w:rFonts w:hint="eastAsia"/>
                <w:color w:val="000000"/>
                <w:kern w:val="0"/>
                <w:sz w:val="18"/>
                <w:szCs w:val="18"/>
                <w:lang w:val="en-US" w:eastAsia="zh-CN"/>
              </w:rPr>
              <w:t>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￥400,000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22</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研发工作站</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HP</w:t>
            </w:r>
            <w:r>
              <w:rPr>
                <w:rFonts w:hint="eastAsia"/>
                <w:color w:val="000000"/>
                <w:kern w:val="0"/>
                <w:sz w:val="18"/>
                <w:szCs w:val="18"/>
              </w:rPr>
              <w:t>/</w:t>
            </w:r>
            <w:r>
              <w:rPr>
                <w:color w:val="000000"/>
                <w:kern w:val="0"/>
                <w:sz w:val="18"/>
                <w:szCs w:val="18"/>
              </w:rPr>
              <w:t>EliteTower880G9/P24VG5</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中国惠普有限公司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￥24,500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￥245,000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23</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路由器</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华为</w:t>
            </w:r>
            <w:r>
              <w:rPr>
                <w:rFonts w:hint="eastAsia"/>
                <w:color w:val="000000"/>
                <w:kern w:val="0"/>
                <w:sz w:val="18"/>
                <w:szCs w:val="18"/>
              </w:rPr>
              <w:t>/</w:t>
            </w:r>
            <w:r>
              <w:rPr>
                <w:color w:val="000000"/>
                <w:kern w:val="0"/>
                <w:sz w:val="18"/>
                <w:szCs w:val="18"/>
              </w:rPr>
              <w:t>AX6</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华为技术有限公司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￥980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￥1,960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24</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交换机</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华为</w:t>
            </w:r>
            <w:r>
              <w:rPr>
                <w:rFonts w:hint="eastAsia"/>
                <w:color w:val="000000"/>
                <w:kern w:val="0"/>
                <w:sz w:val="18"/>
                <w:szCs w:val="18"/>
              </w:rPr>
              <w:t>/</w:t>
            </w:r>
            <w:r>
              <w:rPr>
                <w:color w:val="000000"/>
                <w:kern w:val="0"/>
                <w:sz w:val="18"/>
                <w:szCs w:val="18"/>
              </w:rPr>
              <w:t>S1730S-S48T4S-A1</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华为技术有限公司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台</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￥1,950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￥3,900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25</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多媒体讲台</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奥锶</w:t>
            </w:r>
            <w:r>
              <w:rPr>
                <w:rFonts w:hint="eastAsia"/>
                <w:color w:val="000000"/>
                <w:kern w:val="0"/>
                <w:sz w:val="18"/>
                <w:szCs w:val="18"/>
              </w:rPr>
              <w:t>/</w:t>
            </w:r>
            <w:r>
              <w:rPr>
                <w:color w:val="000000"/>
                <w:kern w:val="0"/>
                <w:sz w:val="18"/>
                <w:szCs w:val="18"/>
              </w:rPr>
              <w:t>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广州奥锶机械科技有限公司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位</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￥3,350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￥6,700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26</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教训操作台</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奥锶</w:t>
            </w:r>
            <w:r>
              <w:rPr>
                <w:rFonts w:hint="eastAsia"/>
                <w:color w:val="000000"/>
                <w:kern w:val="0"/>
                <w:sz w:val="18"/>
                <w:szCs w:val="18"/>
              </w:rPr>
              <w:t>/</w:t>
            </w:r>
            <w:r>
              <w:rPr>
                <w:color w:val="000000"/>
                <w:kern w:val="0"/>
                <w:sz w:val="18"/>
                <w:szCs w:val="18"/>
              </w:rPr>
              <w:t>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广州奥锶机械科技有限公司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位</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￥1,450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￥58,000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27</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多功能座椅</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奥锶</w:t>
            </w:r>
            <w:r>
              <w:rPr>
                <w:rFonts w:hint="eastAsia"/>
                <w:color w:val="000000"/>
                <w:kern w:val="0"/>
                <w:sz w:val="18"/>
                <w:szCs w:val="18"/>
              </w:rPr>
              <w:t>/</w:t>
            </w:r>
            <w:r>
              <w:rPr>
                <w:color w:val="000000"/>
                <w:kern w:val="0"/>
                <w:sz w:val="18"/>
                <w:szCs w:val="18"/>
              </w:rPr>
              <w:t>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广州奥锶机械科技有限公司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42.00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位</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￥8,400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28</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综合布线</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明臻</w:t>
            </w:r>
            <w:r>
              <w:rPr>
                <w:rFonts w:hint="eastAsia"/>
                <w:color w:val="000000"/>
                <w:kern w:val="0"/>
                <w:sz w:val="18"/>
                <w:szCs w:val="18"/>
              </w:rPr>
              <w:t>/</w:t>
            </w:r>
            <w:r>
              <w:rPr>
                <w:color w:val="000000"/>
                <w:kern w:val="0"/>
                <w:sz w:val="18"/>
                <w:szCs w:val="18"/>
              </w:rPr>
              <w:t>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明臻智慧科技（北京）有限责任公司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eastAsia="等线" w:cs="等线" w:asciiTheme="minorHAnsi" w:hAnsiTheme="minorHAnsi"/>
                <w:color w:val="000000"/>
                <w:kern w:val="2"/>
                <w:sz w:val="18"/>
                <w:szCs w:val="18"/>
                <w:lang w:val="en-US" w:eastAsia="zh-CN" w:bidi="ar-SA"/>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160.00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￥48,000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910"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29</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环境布置</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明臻</w:t>
            </w:r>
            <w:r>
              <w:rPr>
                <w:rFonts w:hint="eastAsia"/>
                <w:color w:val="000000"/>
                <w:kern w:val="0"/>
                <w:sz w:val="18"/>
                <w:szCs w:val="18"/>
              </w:rPr>
              <w:t>/</w:t>
            </w:r>
            <w:r>
              <w:rPr>
                <w:color w:val="000000"/>
                <w:kern w:val="0"/>
                <w:sz w:val="18"/>
                <w:szCs w:val="18"/>
              </w:rPr>
              <w:t>定制</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明臻智慧科技（北京）有限责任公司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中国北京市</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160.00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￥2,000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￥320,000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19" w:type="dxa"/>
            <w:tcBorders>
              <w:top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30</w:t>
            </w:r>
          </w:p>
        </w:tc>
        <w:tc>
          <w:tcPr>
            <w:tcW w:w="9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虚拟仿真教研管理平台</w:t>
            </w:r>
          </w:p>
        </w:tc>
        <w:tc>
          <w:tcPr>
            <w:tcW w:w="15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中视典</w:t>
            </w:r>
            <w:r>
              <w:rPr>
                <w:rFonts w:hint="eastAsia"/>
                <w:color w:val="000000"/>
                <w:kern w:val="0"/>
                <w:sz w:val="18"/>
                <w:szCs w:val="18"/>
              </w:rPr>
              <w:t>/</w:t>
            </w:r>
            <w:r>
              <w:rPr>
                <w:color w:val="000000"/>
                <w:kern w:val="0"/>
                <w:sz w:val="18"/>
                <w:szCs w:val="18"/>
              </w:rPr>
              <w:t>虚拟仿真教研管理平台V1.0</w:t>
            </w:r>
          </w:p>
        </w:tc>
        <w:tc>
          <w:tcPr>
            <w:tcW w:w="1587"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深圳市中视典数字科技有限公司</w:t>
            </w:r>
          </w:p>
        </w:tc>
        <w:tc>
          <w:tcPr>
            <w:tcW w:w="1175"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中国广东省</w:t>
            </w:r>
          </w:p>
        </w:tc>
        <w:tc>
          <w:tcPr>
            <w:tcW w:w="73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1.00</w:t>
            </w:r>
          </w:p>
        </w:tc>
        <w:tc>
          <w:tcPr>
            <w:tcW w:w="612"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color w:val="000000"/>
                <w:kern w:val="0"/>
                <w:sz w:val="18"/>
                <w:szCs w:val="18"/>
              </w:rPr>
              <w:t>套</w:t>
            </w:r>
          </w:p>
        </w:tc>
        <w:tc>
          <w:tcPr>
            <w:tcW w:w="988" w:type="dxa"/>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spacing w:line="240" w:lineRule="auto"/>
              <w:ind w:firstLine="0" w:firstLineChars="0"/>
              <w:jc w:val="center"/>
              <w:textAlignment w:val="center"/>
              <w:rPr>
                <w:rFonts w:hint="eastAsia" w:eastAsia="等线"/>
                <w:color w:val="000000"/>
                <w:sz w:val="18"/>
                <w:szCs w:val="18"/>
                <w:lang w:val="en-US" w:eastAsia="zh-CN"/>
              </w:rPr>
            </w:pPr>
            <w:r>
              <w:rPr>
                <w:color w:val="000000"/>
                <w:kern w:val="0"/>
                <w:sz w:val="18"/>
                <w:szCs w:val="18"/>
              </w:rPr>
              <w:t>￥10,000</w:t>
            </w:r>
            <w:r>
              <w:rPr>
                <w:rFonts w:hint="eastAsia"/>
                <w:color w:val="000000"/>
                <w:kern w:val="0"/>
                <w:sz w:val="18"/>
                <w:szCs w:val="18"/>
                <w:lang w:val="en-US" w:eastAsia="zh-CN"/>
              </w:rPr>
              <w:t>0</w:t>
            </w:r>
          </w:p>
        </w:tc>
        <w:tc>
          <w:tcPr>
            <w:tcW w:w="994" w:type="dxa"/>
            <w:tcBorders>
              <w:top w:val="single" w:color="000000" w:sz="4" w:space="0"/>
              <w:left w:val="single" w:color="000000" w:sz="4" w:space="0"/>
              <w:bottom w:val="single" w:color="000000" w:sz="4" w:space="0"/>
            </w:tcBorders>
            <w:vAlign w:val="center"/>
          </w:tcPr>
          <w:p>
            <w:pPr>
              <w:widowControl/>
              <w:adjustRightInd w:val="0"/>
              <w:snapToGrid w:val="0"/>
              <w:spacing w:line="240" w:lineRule="auto"/>
              <w:ind w:firstLine="0" w:firstLineChars="0"/>
              <w:jc w:val="center"/>
              <w:textAlignment w:val="center"/>
              <w:rPr>
                <w:rFonts w:hint="eastAsia" w:eastAsia="等线"/>
                <w:color w:val="000000"/>
                <w:sz w:val="18"/>
                <w:szCs w:val="18"/>
                <w:lang w:val="en-US" w:eastAsia="zh-CN"/>
              </w:rPr>
            </w:pPr>
            <w:r>
              <w:rPr>
                <w:color w:val="000000"/>
                <w:kern w:val="0"/>
                <w:sz w:val="18"/>
                <w:szCs w:val="18"/>
              </w:rPr>
              <w:t>￥10,000</w:t>
            </w:r>
            <w:r>
              <w:rPr>
                <w:rFonts w:hint="eastAsia"/>
                <w:color w:val="000000"/>
                <w:kern w:val="0"/>
                <w:sz w:val="18"/>
                <w:szCs w:val="18"/>
                <w:lang w:val="en-US" w:eastAsia="zh-CN"/>
              </w:rPr>
              <w:t>0</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9288" w:type="dxa"/>
            <w:gridSpan w:val="9"/>
            <w:tcBorders>
              <w:top w:val="single" w:color="000000" w:sz="4" w:space="0"/>
            </w:tcBorders>
            <w:vAlign w:val="center"/>
          </w:tcPr>
          <w:p>
            <w:pPr>
              <w:widowControl/>
              <w:adjustRightInd w:val="0"/>
              <w:snapToGrid w:val="0"/>
              <w:spacing w:line="240" w:lineRule="auto"/>
              <w:ind w:firstLine="0" w:firstLineChars="0"/>
              <w:jc w:val="center"/>
              <w:textAlignment w:val="center"/>
              <w:rPr>
                <w:color w:val="000000"/>
                <w:sz w:val="18"/>
                <w:szCs w:val="18"/>
              </w:rPr>
            </w:pPr>
            <w:r>
              <w:rPr>
                <w:rFonts w:hint="eastAsia"/>
                <w:b/>
                <w:bCs/>
                <w:color w:val="000000"/>
                <w:kern w:val="0"/>
                <w:sz w:val="18"/>
                <w:szCs w:val="18"/>
                <w:lang w:val="en-US" w:eastAsia="zh-CN"/>
              </w:rPr>
              <w:t xml:space="preserve">                                                                                  </w:t>
            </w:r>
            <w:r>
              <w:rPr>
                <w:b/>
                <w:bCs/>
                <w:color w:val="000000"/>
                <w:kern w:val="0"/>
                <w:sz w:val="18"/>
                <w:szCs w:val="18"/>
              </w:rPr>
              <w:t>￥1,833,820（小写）</w:t>
            </w:r>
          </w:p>
        </w:tc>
      </w:tr>
    </w:tbl>
    <w:p>
      <w:pPr>
        <w:ind w:firstLine="0" w:firstLineChars="0"/>
      </w:pPr>
    </w:p>
    <w:p>
      <w:pPr>
        <w:ind w:firstLine="0" w:firstLineChars="0"/>
      </w:pPr>
      <w:r>
        <w:rPr>
          <w:rFonts w:hint="eastAsia"/>
        </w:rPr>
        <w:t>注：投标供应商应在投标客户端【报价部分】进行填写，投标客户端软件将自动根据供应商填写信息在线生成开标一览表（首轮报价表、报价一览表）或分项报价表，若在响应文件中出现非系统生成的开标一览表（首轮报价表、报价一览表）或分项报价表，且与投标客户端生成的开标一览表（首轮报价表、报价一览表）或分项报价表信息内容不一致，以投标客户端生成的内容为准。</w:t>
      </w:r>
    </w:p>
    <w:p>
      <w:pPr>
        <w:ind w:firstLine="0" w:firstLineChars="0"/>
      </w:pP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3"/>
        <w:spacing w:before="312" w:after="312"/>
      </w:pPr>
      <w:bookmarkStart w:id="17" w:name="_Toc21462"/>
      <w:bookmarkStart w:id="18" w:name="_Toc17624"/>
      <w:r>
        <w:rPr>
          <w:rFonts w:hint="eastAsia"/>
        </w:rPr>
        <w:t>保证金</w:t>
      </w:r>
      <w:bookmarkEnd w:id="17"/>
      <w:bookmarkEnd w:id="18"/>
    </w:p>
    <w:p>
      <w:pPr>
        <w:ind w:firstLine="0" w:firstLineChars="0"/>
        <w:jc w:val="center"/>
        <w:rPr>
          <w:b/>
          <w:bCs/>
        </w:rPr>
      </w:pPr>
      <w:r>
        <w:rPr>
          <w:rFonts w:hint="eastAsia"/>
          <w:b/>
          <w:bCs/>
        </w:rPr>
        <w:t>因本项目保证金人民币：</w:t>
      </w:r>
      <w:r>
        <w:rPr>
          <w:b/>
          <w:bCs/>
        </w:rPr>
        <w:t>0.00</w:t>
      </w:r>
      <w:r>
        <w:rPr>
          <w:rFonts w:hint="eastAsia"/>
          <w:b/>
          <w:bCs/>
        </w:rPr>
        <w:t>元整，固无需提供保证金的凭证的复印件</w:t>
      </w:r>
    </w:p>
    <w:p>
      <w:pPr>
        <w:ind w:firstLine="0" w:firstLineChars="0"/>
      </w:pPr>
    </w:p>
    <w:p>
      <w:pPr>
        <w:ind w:firstLine="0" w:firstLineChars="0"/>
      </w:pPr>
      <w:r>
        <w:rPr>
          <w:rFonts w:hint="eastAsia"/>
        </w:rPr>
        <w:t>供应商应在此提供保证金的凭证的复印件</w:t>
      </w:r>
    </w:p>
    <w:p>
      <w:pPr>
        <w:ind w:firstLine="0" w:firstLineChars="0"/>
      </w:pPr>
    </w:p>
    <w:p>
      <w:pPr>
        <w:ind w:firstLine="0" w:firstLineChars="0"/>
      </w:pPr>
    </w:p>
    <w:p>
      <w:pPr>
        <w:pStyle w:val="3"/>
        <w:spacing w:before="312" w:after="312"/>
        <w:sectPr>
          <w:pgSz w:w="11906" w:h="16838"/>
          <w:pgMar w:top="1474" w:right="1417" w:bottom="1247" w:left="1417" w:header="851" w:footer="992" w:gutter="0"/>
          <w:cols w:space="720" w:num="1"/>
          <w:docGrid w:type="lines" w:linePitch="312" w:charSpace="0"/>
        </w:sectPr>
      </w:pPr>
    </w:p>
    <w:p>
      <w:pPr>
        <w:pStyle w:val="3"/>
        <w:spacing w:before="312" w:after="312"/>
      </w:pPr>
      <w:bookmarkStart w:id="19" w:name="_Toc30650"/>
      <w:bookmarkStart w:id="20" w:name="_Toc7379"/>
      <w:r>
        <w:rPr>
          <w:rFonts w:hint="eastAsia"/>
        </w:rPr>
        <w:t>项目实施方案、质量保证及售后服务承诺等</w:t>
      </w:r>
      <w:bookmarkEnd w:id="19"/>
      <w:bookmarkEnd w:id="20"/>
    </w:p>
    <w:p>
      <w:pPr>
        <w:pStyle w:val="4"/>
        <w:tabs>
          <w:tab w:val="left" w:pos="0"/>
        </w:tabs>
        <w:spacing w:before="156" w:after="156"/>
        <w:ind w:firstLine="560"/>
      </w:pPr>
      <w:bookmarkStart w:id="21" w:name="_Toc18117"/>
      <w:bookmarkStart w:id="22" w:name="_Toc30291"/>
      <w:r>
        <w:rPr>
          <w:rFonts w:hint="eastAsia"/>
        </w:rPr>
        <w:t>项目实施方案</w:t>
      </w:r>
      <w:bookmarkEnd w:id="21"/>
      <w:bookmarkEnd w:id="22"/>
    </w:p>
    <w:p>
      <w:pPr>
        <w:pStyle w:val="5"/>
        <w:tabs>
          <w:tab w:val="left" w:pos="0"/>
        </w:tabs>
        <w:ind w:firstLine="480"/>
      </w:pPr>
      <w:bookmarkStart w:id="23" w:name="_Toc18761"/>
      <w:bookmarkStart w:id="24" w:name="_Toc30286"/>
      <w:r>
        <w:rPr>
          <w:rFonts w:hint="eastAsia"/>
        </w:rPr>
        <w:t>实施安装方案</w:t>
      </w:r>
      <w:bookmarkEnd w:id="23"/>
      <w:bookmarkEnd w:id="24"/>
    </w:p>
    <w:p>
      <w:pPr>
        <w:pStyle w:val="6"/>
        <w:ind w:firstLine="420"/>
      </w:pPr>
      <w:bookmarkStart w:id="25" w:name="_Toc26148"/>
      <w:r>
        <w:rPr>
          <w:rFonts w:hint="eastAsia"/>
        </w:rPr>
        <w:t>组织管理</w:t>
      </w:r>
      <w:bookmarkEnd w:id="25"/>
    </w:p>
    <w:p>
      <w:pPr>
        <w:ind w:firstLine="420"/>
      </w:pPr>
      <w:r>
        <w:rPr>
          <w:rFonts w:hint="eastAsia"/>
        </w:rPr>
        <w:t>为了保证项目顺利实施、确保项目质量并达到预期目标，应加强管理和协调合作，我们将建立分工明确、职责清楚、层次分明的项目管理相关机构，使项目工作和责任更加清晰明确：</w:t>
      </w:r>
    </w:p>
    <w:p>
      <w:pPr>
        <w:pStyle w:val="7"/>
        <w:ind w:firstLine="420"/>
      </w:pPr>
      <w:r>
        <w:rPr>
          <w:rFonts w:hint="eastAsia"/>
        </w:rPr>
        <w:t>领导决策委员会</w:t>
      </w:r>
    </w:p>
    <w:p>
      <w:pPr>
        <w:ind w:firstLine="420"/>
      </w:pPr>
      <w:r>
        <w:rPr>
          <w:rFonts w:hint="eastAsia"/>
        </w:rPr>
        <w:t>由客户方和我方公司相关领导组成，负责项目实施过程中的重大决策和沟通协调，它是项目的最高决策机构，对项目的所有事务拥有最终决定权鉴于本期项目的重要性和复杂性，我方领导小组将由公司总经理、主管技术常务副总和主管商务副总组成。</w:t>
      </w:r>
    </w:p>
    <w:p>
      <w:pPr>
        <w:numPr>
          <w:ilvl w:val="0"/>
          <w:numId w:val="109"/>
        </w:numPr>
        <w:ind w:left="0" w:firstLine="420"/>
        <w:rPr>
          <w:b/>
          <w:bCs/>
        </w:rPr>
      </w:pPr>
      <w:r>
        <w:rPr>
          <w:rFonts w:hint="eastAsia"/>
          <w:b/>
          <w:bCs/>
        </w:rPr>
        <w:t>领导决策委员会主要职责：</w:t>
      </w:r>
    </w:p>
    <w:p>
      <w:pPr>
        <w:numPr>
          <w:ilvl w:val="0"/>
          <w:numId w:val="110"/>
        </w:numPr>
        <w:autoSpaceDE w:val="0"/>
        <w:autoSpaceDN w:val="0"/>
        <w:ind w:left="0" w:firstLine="420"/>
      </w:pPr>
      <w:r>
        <w:rPr>
          <w:rFonts w:hint="eastAsia"/>
        </w:rPr>
        <w:t>直接领导我方项目团队，定期听取汇报，了解工程进展和质量状况；</w:t>
      </w:r>
    </w:p>
    <w:p>
      <w:pPr>
        <w:numPr>
          <w:ilvl w:val="0"/>
          <w:numId w:val="110"/>
        </w:numPr>
        <w:autoSpaceDE w:val="0"/>
        <w:autoSpaceDN w:val="0"/>
        <w:ind w:left="0" w:firstLine="420"/>
      </w:pPr>
      <w:r>
        <w:rPr>
          <w:rFonts w:hint="eastAsia"/>
        </w:rPr>
        <w:t>项目商务、市场等业务事项的协调和审批；</w:t>
      </w:r>
    </w:p>
    <w:p>
      <w:pPr>
        <w:numPr>
          <w:ilvl w:val="0"/>
          <w:numId w:val="110"/>
        </w:numPr>
        <w:autoSpaceDE w:val="0"/>
        <w:autoSpaceDN w:val="0"/>
        <w:ind w:left="0" w:firstLine="420"/>
      </w:pPr>
      <w:r>
        <w:rPr>
          <w:rFonts w:hint="eastAsia"/>
        </w:rPr>
        <w:t>完成有关合同变更事项的决策；</w:t>
      </w:r>
    </w:p>
    <w:p>
      <w:pPr>
        <w:numPr>
          <w:ilvl w:val="0"/>
          <w:numId w:val="110"/>
        </w:numPr>
        <w:autoSpaceDE w:val="0"/>
        <w:autoSpaceDN w:val="0"/>
        <w:ind w:left="0" w:firstLine="420"/>
      </w:pPr>
      <w:r>
        <w:rPr>
          <w:rFonts w:hint="eastAsia"/>
        </w:rPr>
        <w:t>批准已同意的合同变更；</w:t>
      </w:r>
    </w:p>
    <w:p>
      <w:pPr>
        <w:numPr>
          <w:ilvl w:val="0"/>
          <w:numId w:val="110"/>
        </w:numPr>
        <w:autoSpaceDE w:val="0"/>
        <w:autoSpaceDN w:val="0"/>
        <w:ind w:left="0" w:firstLine="420"/>
      </w:pPr>
      <w:r>
        <w:rPr>
          <w:rFonts w:hint="eastAsia"/>
        </w:rPr>
        <w:t>项目集成工作重要事项的最终决策；</w:t>
      </w:r>
    </w:p>
    <w:p>
      <w:pPr>
        <w:numPr>
          <w:ilvl w:val="0"/>
          <w:numId w:val="110"/>
        </w:numPr>
        <w:autoSpaceDE w:val="0"/>
        <w:autoSpaceDN w:val="0"/>
        <w:ind w:left="0" w:firstLine="420"/>
      </w:pPr>
      <w:r>
        <w:rPr>
          <w:rFonts w:hint="eastAsia"/>
        </w:rPr>
        <w:t>为项目任命人选；</w:t>
      </w:r>
    </w:p>
    <w:p>
      <w:pPr>
        <w:numPr>
          <w:ilvl w:val="0"/>
          <w:numId w:val="110"/>
        </w:numPr>
        <w:autoSpaceDE w:val="0"/>
        <w:autoSpaceDN w:val="0"/>
        <w:ind w:left="0" w:firstLine="420"/>
      </w:pPr>
      <w:r>
        <w:rPr>
          <w:rFonts w:hint="eastAsia"/>
        </w:rPr>
        <w:t>批准项目目标与项目计划；</w:t>
      </w:r>
    </w:p>
    <w:p>
      <w:pPr>
        <w:numPr>
          <w:ilvl w:val="0"/>
          <w:numId w:val="110"/>
        </w:numPr>
        <w:autoSpaceDE w:val="0"/>
        <w:autoSpaceDN w:val="0"/>
        <w:ind w:left="0" w:firstLine="420"/>
      </w:pPr>
      <w:r>
        <w:rPr>
          <w:rFonts w:hint="eastAsia"/>
        </w:rPr>
        <w:t>对有争议和分歧的问题从工程总体角度做最后的决断，并对此负责。</w:t>
      </w:r>
    </w:p>
    <w:p>
      <w:pPr>
        <w:pStyle w:val="7"/>
        <w:ind w:firstLine="420"/>
      </w:pPr>
      <w:r>
        <w:rPr>
          <w:rFonts w:hint="eastAsia"/>
        </w:rPr>
        <w:t>客户方项目管理组</w:t>
      </w:r>
    </w:p>
    <w:p>
      <w:pPr>
        <w:ind w:firstLine="420"/>
      </w:pPr>
      <w:r>
        <w:rPr>
          <w:rFonts w:hint="eastAsia"/>
        </w:rPr>
        <w:t>由客户方项目负责人和监理组成，主要是与我方项目总负责人进行接口，协调客户方的人员与资源，解决项目中需要配合的问题，推进项目的进度。</w:t>
      </w:r>
    </w:p>
    <w:p>
      <w:pPr>
        <w:pStyle w:val="7"/>
        <w:ind w:firstLine="420"/>
      </w:pPr>
      <w:r>
        <w:rPr>
          <w:rFonts w:hint="eastAsia"/>
        </w:rPr>
        <w:t>我方项目管理组</w:t>
      </w:r>
    </w:p>
    <w:p>
      <w:pPr>
        <w:ind w:firstLine="420"/>
      </w:pPr>
      <w:r>
        <w:rPr>
          <w:rFonts w:hint="eastAsia"/>
        </w:rPr>
        <w:t>我方项目管理组由我方技术总负责人和项目经理组成，从工程项目实施队伍组建之日起，将承担合同范围内的各项工程任务全面完成的重要职责。我方项目管理组除做好日常资源管理工作之外，还直接控制项目管理计划的各个要素。</w:t>
      </w:r>
    </w:p>
    <w:p>
      <w:pPr>
        <w:numPr>
          <w:ilvl w:val="0"/>
          <w:numId w:val="109"/>
        </w:numPr>
        <w:ind w:left="0" w:firstLine="420"/>
        <w:rPr>
          <w:rFonts w:ascii="Times New Roman" w:hAnsi="Times New Roman"/>
          <w:b/>
          <w:bCs/>
        </w:rPr>
      </w:pPr>
      <w:r>
        <w:rPr>
          <w:rFonts w:hint="eastAsia" w:ascii="Times New Roman" w:hAnsi="Times New Roman"/>
          <w:b/>
          <w:bCs/>
        </w:rPr>
        <w:t>我方项目管理组职责如下：</w:t>
      </w:r>
    </w:p>
    <w:p>
      <w:pPr>
        <w:numPr>
          <w:ilvl w:val="0"/>
          <w:numId w:val="111"/>
        </w:numPr>
        <w:ind w:left="0" w:firstLine="420"/>
      </w:pPr>
      <w:r>
        <w:rPr>
          <w:rFonts w:hint="eastAsia"/>
        </w:rPr>
        <w:t>依据技术规范书对实施过程中的技术实现进行整体方向把控；</w:t>
      </w:r>
    </w:p>
    <w:p>
      <w:pPr>
        <w:numPr>
          <w:ilvl w:val="0"/>
          <w:numId w:val="111"/>
        </w:numPr>
        <w:ind w:left="0" w:firstLine="420"/>
      </w:pPr>
      <w:r>
        <w:rPr>
          <w:rFonts w:hint="eastAsia"/>
        </w:rPr>
        <w:t>对总体方案设计、工程及应用系统设计、设备配置确认、工程质量和进度保证、设备安装、调试、集成及测试以及系统验收、培训等各个执行环节进行负责；</w:t>
      </w:r>
    </w:p>
    <w:p>
      <w:pPr>
        <w:numPr>
          <w:ilvl w:val="0"/>
          <w:numId w:val="111"/>
        </w:numPr>
        <w:ind w:left="0" w:firstLine="420"/>
      </w:pPr>
      <w:r>
        <w:rPr>
          <w:rFonts w:hint="eastAsia"/>
        </w:rPr>
        <w:t>通过其下属实施小组提供的工程进展汇报，将项目进展状态与项目计划进度进行比较，发现过程误差，提出调整措施；</w:t>
      </w:r>
    </w:p>
    <w:p>
      <w:pPr>
        <w:numPr>
          <w:ilvl w:val="0"/>
          <w:numId w:val="111"/>
        </w:numPr>
        <w:ind w:left="0" w:firstLine="420"/>
      </w:pPr>
      <w:r>
        <w:rPr>
          <w:rFonts w:hint="eastAsia"/>
        </w:rPr>
        <w:t>根据审核项目进展状态，必要时调集各种备用资源，确保项目按计划进度实施；</w:t>
      </w:r>
    </w:p>
    <w:p>
      <w:pPr>
        <w:numPr>
          <w:ilvl w:val="0"/>
          <w:numId w:val="111"/>
        </w:numPr>
        <w:ind w:left="0" w:firstLine="420"/>
      </w:pPr>
      <w:r>
        <w:rPr>
          <w:rFonts w:hint="eastAsia"/>
        </w:rPr>
        <w:t>与客户方技术人员进行协调，解决工程组织接口及技术接口问题；</w:t>
      </w:r>
    </w:p>
    <w:p>
      <w:pPr>
        <w:numPr>
          <w:ilvl w:val="0"/>
          <w:numId w:val="111"/>
        </w:numPr>
        <w:ind w:left="0" w:firstLine="420"/>
      </w:pPr>
      <w:r>
        <w:rPr>
          <w:rFonts w:hint="eastAsia"/>
        </w:rPr>
        <w:t>定期主持整个系统的技术联络会和专题协调会，及时解决各系统间出现的相关问题。</w:t>
      </w:r>
    </w:p>
    <w:p>
      <w:pPr>
        <w:numPr>
          <w:ilvl w:val="0"/>
          <w:numId w:val="111"/>
        </w:numPr>
        <w:ind w:left="0" w:firstLine="420"/>
      </w:pPr>
      <w:r>
        <w:rPr>
          <w:rFonts w:hint="eastAsia"/>
        </w:rPr>
        <w:t>协助用户制定相关管理规范和流程制度。</w:t>
      </w:r>
    </w:p>
    <w:p>
      <w:pPr>
        <w:pStyle w:val="6"/>
        <w:ind w:firstLine="420"/>
      </w:pPr>
      <w:bookmarkStart w:id="26" w:name="_Toc24065"/>
      <w:r>
        <w:rPr>
          <w:rFonts w:hint="eastAsia"/>
        </w:rPr>
        <w:t>进度计划</w:t>
      </w:r>
      <w:bookmarkEnd w:id="26"/>
    </w:p>
    <w:p>
      <w:pPr>
        <w:ind w:firstLine="420"/>
      </w:pPr>
      <w:r>
        <w:rPr>
          <w:rFonts w:hint="eastAsia"/>
        </w:rPr>
        <w:t>项目实施里程碑管理</w:t>
      </w:r>
    </w:p>
    <w:p>
      <w:pPr>
        <w:ind w:firstLine="420"/>
      </w:pPr>
      <w:r>
        <w:rPr>
          <w:rFonts w:hint="eastAsia"/>
        </w:rPr>
        <w:t>本期项目里程碑由设备采购、设备验收、软件交付、软件安装、培训、初验、试运行、终验组成，为了保证里程碑节点的项目实施质量，我们针对各个里程碑进行严格控制。</w:t>
      </w:r>
    </w:p>
    <w:p>
      <w:pPr>
        <w:pStyle w:val="7"/>
        <w:ind w:firstLine="420"/>
      </w:pPr>
      <w:r>
        <w:rPr>
          <w:rFonts w:hint="eastAsia"/>
        </w:rPr>
        <w:t>设备采购</w:t>
      </w:r>
    </w:p>
    <w:tbl>
      <w:tblPr>
        <w:tblStyle w:val="16"/>
        <w:tblW w:w="9102" w:type="dxa"/>
        <w:jc w:val="center"/>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1517"/>
        <w:gridCol w:w="1517"/>
        <w:gridCol w:w="1173"/>
        <w:gridCol w:w="1375"/>
        <w:gridCol w:w="2001"/>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9" w:type="dxa"/>
            <w:vMerge w:val="restart"/>
            <w:vAlign w:val="center"/>
          </w:tcPr>
          <w:p>
            <w:pPr>
              <w:adjustRightInd w:val="0"/>
              <w:snapToGrid w:val="0"/>
              <w:spacing w:line="240" w:lineRule="auto"/>
              <w:ind w:firstLine="0" w:firstLineChars="0"/>
              <w:jc w:val="center"/>
              <w:rPr>
                <w:rFonts w:ascii="宋体" w:hAnsi="宋体"/>
              </w:rPr>
            </w:pPr>
            <w:r>
              <w:rPr>
                <w:rFonts w:ascii="宋体" w:hAnsi="宋体"/>
              </w:rPr>
              <w:t>输入</w:t>
            </w:r>
          </w:p>
        </w:tc>
        <w:tc>
          <w:tcPr>
            <w:tcW w:w="1517" w:type="dxa"/>
            <w:vMerge w:val="restart"/>
            <w:vAlign w:val="center"/>
          </w:tcPr>
          <w:p>
            <w:pPr>
              <w:adjustRightInd w:val="0"/>
              <w:snapToGrid w:val="0"/>
              <w:spacing w:line="240" w:lineRule="auto"/>
              <w:ind w:firstLine="0" w:firstLineChars="0"/>
              <w:jc w:val="center"/>
              <w:rPr>
                <w:rFonts w:ascii="宋体" w:hAnsi="宋体"/>
              </w:rPr>
            </w:pPr>
            <w:r>
              <w:rPr>
                <w:rFonts w:ascii="宋体" w:hAnsi="宋体"/>
              </w:rPr>
              <w:t>输出</w:t>
            </w:r>
          </w:p>
        </w:tc>
        <w:tc>
          <w:tcPr>
            <w:tcW w:w="6066" w:type="dxa"/>
            <w:gridSpan w:val="4"/>
            <w:vAlign w:val="center"/>
          </w:tcPr>
          <w:p>
            <w:pPr>
              <w:adjustRightInd w:val="0"/>
              <w:snapToGrid w:val="0"/>
              <w:spacing w:line="240" w:lineRule="auto"/>
              <w:ind w:firstLine="0" w:firstLineChars="0"/>
              <w:jc w:val="center"/>
              <w:rPr>
                <w:rFonts w:ascii="宋体" w:hAnsi="宋体"/>
              </w:rPr>
            </w:pPr>
            <w:r>
              <w:rPr>
                <w:rFonts w:ascii="宋体" w:hAnsi="宋体"/>
              </w:rPr>
              <w:t>角色与职责</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19" w:type="dxa"/>
            <w:vMerge w:val="continue"/>
          </w:tcPr>
          <w:p>
            <w:pPr>
              <w:adjustRightInd w:val="0"/>
              <w:snapToGrid w:val="0"/>
              <w:spacing w:line="240" w:lineRule="auto"/>
              <w:ind w:firstLine="0" w:firstLineChars="0"/>
              <w:jc w:val="center"/>
              <w:rPr>
                <w:rFonts w:ascii="宋体" w:hAnsi="宋体"/>
              </w:rPr>
            </w:pPr>
          </w:p>
        </w:tc>
        <w:tc>
          <w:tcPr>
            <w:tcW w:w="1517" w:type="dxa"/>
            <w:vMerge w:val="continue"/>
          </w:tcPr>
          <w:p>
            <w:pPr>
              <w:adjustRightInd w:val="0"/>
              <w:snapToGrid w:val="0"/>
              <w:spacing w:line="240" w:lineRule="auto"/>
              <w:ind w:firstLine="0" w:firstLineChars="0"/>
              <w:jc w:val="center"/>
              <w:rPr>
                <w:rFonts w:ascii="宋体" w:hAnsi="宋体"/>
              </w:rPr>
            </w:pPr>
          </w:p>
        </w:tc>
        <w:tc>
          <w:tcPr>
            <w:tcW w:w="1517" w:type="dxa"/>
            <w:vAlign w:val="center"/>
          </w:tcPr>
          <w:p>
            <w:pPr>
              <w:adjustRightInd w:val="0"/>
              <w:snapToGrid w:val="0"/>
              <w:spacing w:line="240" w:lineRule="auto"/>
              <w:ind w:firstLine="0" w:firstLineChars="0"/>
              <w:jc w:val="center"/>
              <w:rPr>
                <w:rFonts w:ascii="宋体" w:hAnsi="宋体"/>
              </w:rPr>
            </w:pPr>
            <w:r>
              <w:rPr>
                <w:rFonts w:ascii="宋体" w:hAnsi="宋体"/>
              </w:rPr>
              <w:t>项目经理</w:t>
            </w:r>
          </w:p>
        </w:tc>
        <w:tc>
          <w:tcPr>
            <w:tcW w:w="1173" w:type="dxa"/>
            <w:vAlign w:val="center"/>
          </w:tcPr>
          <w:p>
            <w:pPr>
              <w:adjustRightInd w:val="0"/>
              <w:snapToGrid w:val="0"/>
              <w:spacing w:line="240" w:lineRule="auto"/>
              <w:ind w:firstLine="0" w:firstLineChars="0"/>
              <w:jc w:val="center"/>
              <w:rPr>
                <w:rFonts w:ascii="宋体" w:hAnsi="宋体"/>
              </w:rPr>
            </w:pPr>
            <w:r>
              <w:rPr>
                <w:rFonts w:ascii="宋体" w:hAnsi="宋体"/>
              </w:rPr>
              <w:t>商务部</w:t>
            </w:r>
          </w:p>
        </w:tc>
        <w:tc>
          <w:tcPr>
            <w:tcW w:w="1375" w:type="dxa"/>
            <w:vAlign w:val="center"/>
          </w:tcPr>
          <w:p>
            <w:pPr>
              <w:adjustRightInd w:val="0"/>
              <w:snapToGrid w:val="0"/>
              <w:spacing w:line="240" w:lineRule="auto"/>
              <w:ind w:firstLine="0" w:firstLineChars="0"/>
              <w:jc w:val="center"/>
              <w:rPr>
                <w:rFonts w:ascii="宋体" w:hAnsi="宋体"/>
              </w:rPr>
            </w:pPr>
            <w:r>
              <w:rPr>
                <w:rFonts w:ascii="宋体" w:hAnsi="宋体"/>
              </w:rPr>
              <w:t>SQA人员</w:t>
            </w:r>
          </w:p>
        </w:tc>
        <w:tc>
          <w:tcPr>
            <w:tcW w:w="2001" w:type="dxa"/>
            <w:vAlign w:val="center"/>
          </w:tcPr>
          <w:p>
            <w:pPr>
              <w:adjustRightInd w:val="0"/>
              <w:snapToGrid w:val="0"/>
              <w:spacing w:line="240" w:lineRule="auto"/>
              <w:ind w:firstLine="0" w:firstLineChars="0"/>
              <w:jc w:val="center"/>
              <w:rPr>
                <w:rFonts w:ascii="宋体" w:hAnsi="宋体"/>
              </w:rPr>
            </w:pPr>
            <w:r>
              <w:rPr>
                <w:rFonts w:ascii="宋体" w:hAnsi="宋体"/>
              </w:rPr>
              <w:t>SCM人员</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9" w:type="dxa"/>
            <w:vAlign w:val="center"/>
          </w:tcPr>
          <w:p>
            <w:pPr>
              <w:adjustRightInd w:val="0"/>
              <w:snapToGrid w:val="0"/>
              <w:spacing w:line="240" w:lineRule="auto"/>
              <w:ind w:firstLine="0" w:firstLineChars="0"/>
              <w:jc w:val="center"/>
              <w:rPr>
                <w:rFonts w:ascii="宋体" w:hAnsi="宋体"/>
              </w:rPr>
            </w:pPr>
            <w:r>
              <w:rPr>
                <w:rFonts w:ascii="宋体" w:hAnsi="宋体"/>
              </w:rPr>
              <w:t>项目合同及附件</w:t>
            </w:r>
          </w:p>
        </w:tc>
        <w:tc>
          <w:tcPr>
            <w:tcW w:w="1517" w:type="dxa"/>
            <w:vAlign w:val="center"/>
          </w:tcPr>
          <w:p>
            <w:pPr>
              <w:adjustRightInd w:val="0"/>
              <w:snapToGrid w:val="0"/>
              <w:spacing w:line="240" w:lineRule="auto"/>
              <w:ind w:firstLine="0" w:firstLineChars="0"/>
              <w:jc w:val="center"/>
              <w:rPr>
                <w:rFonts w:ascii="宋体" w:hAnsi="宋体"/>
              </w:rPr>
            </w:pPr>
            <w:r>
              <w:rPr>
                <w:rFonts w:ascii="宋体" w:hAnsi="宋体"/>
              </w:rPr>
              <w:t>下单通知书</w:t>
            </w:r>
          </w:p>
        </w:tc>
        <w:tc>
          <w:tcPr>
            <w:tcW w:w="1517" w:type="dxa"/>
            <w:vAlign w:val="center"/>
          </w:tcPr>
          <w:p>
            <w:pPr>
              <w:adjustRightInd w:val="0"/>
              <w:snapToGrid w:val="0"/>
              <w:spacing w:line="240" w:lineRule="auto"/>
              <w:ind w:firstLine="0" w:firstLineChars="0"/>
              <w:jc w:val="center"/>
              <w:rPr>
                <w:rFonts w:ascii="宋体" w:hAnsi="宋体"/>
              </w:rPr>
            </w:pPr>
            <w:r>
              <w:rPr>
                <w:rFonts w:ascii="宋体" w:hAnsi="宋体"/>
              </w:rPr>
              <w:t>书写《下单通知书》，发给商务部</w:t>
            </w:r>
          </w:p>
        </w:tc>
        <w:tc>
          <w:tcPr>
            <w:tcW w:w="1173" w:type="dxa"/>
            <w:vAlign w:val="center"/>
          </w:tcPr>
          <w:p>
            <w:pPr>
              <w:adjustRightInd w:val="0"/>
              <w:snapToGrid w:val="0"/>
              <w:spacing w:line="240" w:lineRule="auto"/>
              <w:ind w:firstLine="0" w:firstLineChars="0"/>
              <w:jc w:val="center"/>
              <w:rPr>
                <w:rFonts w:ascii="宋体" w:hAnsi="宋体"/>
              </w:rPr>
            </w:pPr>
            <w:r>
              <w:rPr>
                <w:rFonts w:ascii="宋体" w:hAnsi="宋体"/>
              </w:rPr>
              <w:t>负责设备采购</w:t>
            </w:r>
          </w:p>
        </w:tc>
        <w:tc>
          <w:tcPr>
            <w:tcW w:w="1375" w:type="dxa"/>
            <w:vAlign w:val="center"/>
          </w:tcPr>
          <w:p>
            <w:pPr>
              <w:adjustRightInd w:val="0"/>
              <w:snapToGrid w:val="0"/>
              <w:spacing w:line="240" w:lineRule="auto"/>
              <w:ind w:firstLine="0" w:firstLineChars="0"/>
              <w:jc w:val="center"/>
              <w:rPr>
                <w:rFonts w:ascii="宋体" w:hAnsi="宋体"/>
              </w:rPr>
            </w:pPr>
            <w:r>
              <w:rPr>
                <w:rFonts w:ascii="宋体" w:hAnsi="宋体"/>
              </w:rPr>
              <w:t>对本阶段工作进行跟踪和检查。</w:t>
            </w:r>
          </w:p>
        </w:tc>
        <w:tc>
          <w:tcPr>
            <w:tcW w:w="2001" w:type="dxa"/>
            <w:vAlign w:val="center"/>
          </w:tcPr>
          <w:p>
            <w:pPr>
              <w:adjustRightInd w:val="0"/>
              <w:snapToGrid w:val="0"/>
              <w:spacing w:line="240" w:lineRule="auto"/>
              <w:ind w:firstLine="0" w:firstLineChars="0"/>
              <w:jc w:val="center"/>
              <w:rPr>
                <w:rFonts w:ascii="宋体" w:hAnsi="宋体"/>
              </w:rPr>
            </w:pPr>
            <w:r>
              <w:rPr>
                <w:rFonts w:ascii="宋体" w:hAnsi="宋体"/>
              </w:rPr>
              <w:t>上传输出文档、更新配置状态报告（文档和程序）</w:t>
            </w:r>
          </w:p>
        </w:tc>
      </w:tr>
    </w:tbl>
    <w:p>
      <w:pPr>
        <w:pStyle w:val="7"/>
        <w:ind w:firstLine="420"/>
      </w:pPr>
      <w:r>
        <w:rPr>
          <w:rFonts w:hint="eastAsia"/>
        </w:rPr>
        <w:t>设备交付</w:t>
      </w:r>
    </w:p>
    <w:tbl>
      <w:tblPr>
        <w:tblStyle w:val="16"/>
        <w:tblW w:w="9101" w:type="dxa"/>
        <w:jc w:val="center"/>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1813"/>
        <w:gridCol w:w="1013"/>
        <w:gridCol w:w="2550"/>
        <w:gridCol w:w="1875"/>
        <w:gridCol w:w="1850"/>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3"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输入</w:t>
            </w:r>
          </w:p>
        </w:tc>
        <w:tc>
          <w:tcPr>
            <w:tcW w:w="1013"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输出</w:t>
            </w:r>
          </w:p>
        </w:tc>
        <w:tc>
          <w:tcPr>
            <w:tcW w:w="6275" w:type="dxa"/>
            <w:gridSpan w:val="3"/>
            <w:vAlign w:val="center"/>
          </w:tcPr>
          <w:p>
            <w:pPr>
              <w:adjustRightInd w:val="0"/>
              <w:snapToGrid w:val="0"/>
              <w:spacing w:line="240" w:lineRule="auto"/>
              <w:ind w:firstLine="0" w:firstLineChars="0"/>
              <w:jc w:val="center"/>
              <w:rPr>
                <w:rFonts w:ascii="宋体" w:hAnsi="宋体"/>
              </w:rPr>
            </w:pPr>
            <w:r>
              <w:rPr>
                <w:rFonts w:hint="eastAsia" w:ascii="宋体" w:hAnsi="宋体"/>
              </w:rPr>
              <w:t>角色与职责</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3" w:type="dxa"/>
            <w:vMerge w:val="continue"/>
          </w:tcPr>
          <w:p>
            <w:pPr>
              <w:adjustRightInd w:val="0"/>
              <w:snapToGrid w:val="0"/>
              <w:spacing w:line="240" w:lineRule="auto"/>
              <w:ind w:firstLine="0" w:firstLineChars="0"/>
              <w:jc w:val="center"/>
              <w:rPr>
                <w:rFonts w:ascii="宋体" w:hAnsi="宋体"/>
              </w:rPr>
            </w:pPr>
          </w:p>
        </w:tc>
        <w:tc>
          <w:tcPr>
            <w:tcW w:w="1013" w:type="dxa"/>
            <w:vMerge w:val="continue"/>
          </w:tcPr>
          <w:p>
            <w:pPr>
              <w:adjustRightInd w:val="0"/>
              <w:snapToGrid w:val="0"/>
              <w:spacing w:line="240" w:lineRule="auto"/>
              <w:ind w:firstLine="0" w:firstLineChars="0"/>
              <w:jc w:val="center"/>
              <w:rPr>
                <w:rFonts w:ascii="宋体" w:hAnsi="宋体"/>
              </w:rPr>
            </w:pPr>
          </w:p>
        </w:tc>
        <w:tc>
          <w:tcPr>
            <w:tcW w:w="2550" w:type="dxa"/>
            <w:vAlign w:val="center"/>
          </w:tcPr>
          <w:p>
            <w:pPr>
              <w:adjustRightInd w:val="0"/>
              <w:snapToGrid w:val="0"/>
              <w:spacing w:line="240" w:lineRule="auto"/>
              <w:ind w:firstLine="0" w:firstLineChars="0"/>
              <w:jc w:val="center"/>
              <w:rPr>
                <w:rFonts w:ascii="宋体" w:hAnsi="宋体"/>
              </w:rPr>
            </w:pPr>
            <w:r>
              <w:rPr>
                <w:rFonts w:hint="eastAsia" w:ascii="宋体" w:hAnsi="宋体"/>
              </w:rPr>
              <w:t>项目经理/软件交付人员</w:t>
            </w:r>
          </w:p>
        </w:tc>
        <w:tc>
          <w:tcPr>
            <w:tcW w:w="1875" w:type="dxa"/>
            <w:vAlign w:val="center"/>
          </w:tcPr>
          <w:p>
            <w:pPr>
              <w:adjustRightInd w:val="0"/>
              <w:snapToGrid w:val="0"/>
              <w:spacing w:line="240" w:lineRule="auto"/>
              <w:ind w:firstLine="0" w:firstLineChars="0"/>
              <w:jc w:val="center"/>
              <w:rPr>
                <w:rFonts w:ascii="宋体" w:hAnsi="宋体"/>
              </w:rPr>
            </w:pPr>
            <w:r>
              <w:rPr>
                <w:rFonts w:hint="eastAsia" w:ascii="宋体" w:hAnsi="宋体"/>
              </w:rPr>
              <w:t>SQA人员</w:t>
            </w:r>
          </w:p>
        </w:tc>
        <w:tc>
          <w:tcPr>
            <w:tcW w:w="1850" w:type="dxa"/>
            <w:vAlign w:val="center"/>
          </w:tcPr>
          <w:p>
            <w:pPr>
              <w:adjustRightInd w:val="0"/>
              <w:snapToGrid w:val="0"/>
              <w:spacing w:line="240" w:lineRule="auto"/>
              <w:ind w:firstLine="0" w:firstLineChars="0"/>
              <w:jc w:val="center"/>
              <w:rPr>
                <w:rFonts w:ascii="宋体" w:hAnsi="宋体"/>
              </w:rPr>
            </w:pPr>
            <w:r>
              <w:rPr>
                <w:rFonts w:hint="eastAsia" w:ascii="宋体" w:hAnsi="宋体"/>
              </w:rPr>
              <w:t>SCM人员</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3" w:type="dxa"/>
            <w:vAlign w:val="center"/>
          </w:tcPr>
          <w:p>
            <w:pPr>
              <w:adjustRightInd w:val="0"/>
              <w:snapToGrid w:val="0"/>
              <w:spacing w:line="240" w:lineRule="auto"/>
              <w:ind w:firstLine="0" w:firstLineChars="0"/>
              <w:jc w:val="center"/>
              <w:rPr>
                <w:rFonts w:ascii="宋体" w:hAnsi="宋体"/>
              </w:rPr>
            </w:pPr>
            <w:r>
              <w:rPr>
                <w:rFonts w:hint="eastAsia" w:ascii="宋体" w:hAnsi="宋体"/>
              </w:rPr>
              <w:t>项目合同及附件、实施项目计划</w:t>
            </w:r>
          </w:p>
        </w:tc>
        <w:tc>
          <w:tcPr>
            <w:tcW w:w="1013" w:type="dxa"/>
            <w:vAlign w:val="center"/>
          </w:tcPr>
          <w:p>
            <w:pPr>
              <w:adjustRightInd w:val="0"/>
              <w:snapToGrid w:val="0"/>
              <w:spacing w:line="240" w:lineRule="auto"/>
              <w:ind w:firstLine="0" w:firstLineChars="0"/>
              <w:jc w:val="center"/>
              <w:rPr>
                <w:rFonts w:ascii="宋体" w:hAnsi="宋体"/>
              </w:rPr>
            </w:pPr>
            <w:r>
              <w:rPr>
                <w:rFonts w:hint="eastAsia" w:ascii="宋体" w:hAnsi="宋体"/>
              </w:rPr>
              <w:t>软件交付书</w:t>
            </w:r>
          </w:p>
        </w:tc>
        <w:tc>
          <w:tcPr>
            <w:tcW w:w="2550" w:type="dxa"/>
            <w:vAlign w:val="center"/>
          </w:tcPr>
          <w:p>
            <w:pPr>
              <w:adjustRightInd w:val="0"/>
              <w:snapToGrid w:val="0"/>
              <w:spacing w:line="240" w:lineRule="auto"/>
              <w:ind w:firstLine="0" w:firstLineChars="0"/>
              <w:jc w:val="center"/>
              <w:rPr>
                <w:rFonts w:ascii="宋体" w:hAnsi="宋体"/>
              </w:rPr>
            </w:pPr>
            <w:r>
              <w:rPr>
                <w:rFonts w:hint="eastAsia" w:ascii="宋体" w:hAnsi="宋体"/>
              </w:rPr>
              <w:t>交付公司正式产品介质、同客户签署《软件交付书》</w:t>
            </w:r>
          </w:p>
        </w:tc>
        <w:tc>
          <w:tcPr>
            <w:tcW w:w="1875" w:type="dxa"/>
            <w:vAlign w:val="center"/>
          </w:tcPr>
          <w:p>
            <w:pPr>
              <w:adjustRightInd w:val="0"/>
              <w:snapToGrid w:val="0"/>
              <w:spacing w:line="240" w:lineRule="auto"/>
              <w:ind w:firstLine="0" w:firstLineChars="0"/>
              <w:jc w:val="center"/>
              <w:rPr>
                <w:rFonts w:ascii="宋体" w:hAnsi="宋体"/>
              </w:rPr>
            </w:pPr>
            <w:r>
              <w:rPr>
                <w:rFonts w:hint="eastAsia" w:ascii="宋体" w:hAnsi="宋体"/>
              </w:rPr>
              <w:t>对本阶段工作进行跟踪和检查。</w:t>
            </w:r>
          </w:p>
        </w:tc>
        <w:tc>
          <w:tcPr>
            <w:tcW w:w="1850" w:type="dxa"/>
            <w:vAlign w:val="center"/>
          </w:tcPr>
          <w:p>
            <w:pPr>
              <w:adjustRightInd w:val="0"/>
              <w:snapToGrid w:val="0"/>
              <w:spacing w:line="240" w:lineRule="auto"/>
              <w:ind w:firstLine="0" w:firstLineChars="0"/>
              <w:jc w:val="center"/>
              <w:rPr>
                <w:rFonts w:ascii="宋体" w:hAnsi="宋体"/>
              </w:rPr>
            </w:pPr>
            <w:r>
              <w:rPr>
                <w:rFonts w:hint="eastAsia" w:ascii="宋体" w:hAnsi="宋体"/>
              </w:rPr>
              <w:t>上传输出文档、更新配置状态报告（文档和程序）</w:t>
            </w:r>
          </w:p>
        </w:tc>
      </w:tr>
    </w:tbl>
    <w:p>
      <w:pPr>
        <w:pStyle w:val="7"/>
        <w:ind w:firstLine="420"/>
      </w:pPr>
      <w:r>
        <w:rPr>
          <w:rFonts w:hint="eastAsia"/>
        </w:rPr>
        <w:t>设备安装与培训</w:t>
      </w:r>
    </w:p>
    <w:tbl>
      <w:tblPr>
        <w:tblStyle w:val="16"/>
        <w:tblW w:w="9101" w:type="dxa"/>
        <w:jc w:val="center"/>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1401"/>
        <w:gridCol w:w="1075"/>
        <w:gridCol w:w="2662"/>
        <w:gridCol w:w="1688"/>
        <w:gridCol w:w="2275"/>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输入</w:t>
            </w:r>
          </w:p>
        </w:tc>
        <w:tc>
          <w:tcPr>
            <w:tcW w:w="1075"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输出</w:t>
            </w:r>
          </w:p>
        </w:tc>
        <w:tc>
          <w:tcPr>
            <w:tcW w:w="6625" w:type="dxa"/>
            <w:gridSpan w:val="3"/>
            <w:vAlign w:val="center"/>
          </w:tcPr>
          <w:p>
            <w:pPr>
              <w:adjustRightInd w:val="0"/>
              <w:snapToGrid w:val="0"/>
              <w:spacing w:line="240" w:lineRule="auto"/>
              <w:ind w:firstLine="0" w:firstLineChars="0"/>
              <w:jc w:val="center"/>
              <w:rPr>
                <w:rFonts w:ascii="宋体" w:hAnsi="宋体"/>
              </w:rPr>
            </w:pPr>
            <w:r>
              <w:rPr>
                <w:rFonts w:hint="eastAsia" w:ascii="宋体" w:hAnsi="宋体"/>
              </w:rPr>
              <w:t>角色与职责</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vMerge w:val="continue"/>
          </w:tcPr>
          <w:p>
            <w:pPr>
              <w:adjustRightInd w:val="0"/>
              <w:snapToGrid w:val="0"/>
              <w:spacing w:line="240" w:lineRule="auto"/>
              <w:ind w:firstLine="0" w:firstLineChars="0"/>
              <w:jc w:val="center"/>
              <w:rPr>
                <w:rFonts w:ascii="宋体" w:hAnsi="宋体"/>
              </w:rPr>
            </w:pPr>
          </w:p>
        </w:tc>
        <w:tc>
          <w:tcPr>
            <w:tcW w:w="1075" w:type="dxa"/>
            <w:vMerge w:val="continue"/>
          </w:tcPr>
          <w:p>
            <w:pPr>
              <w:adjustRightInd w:val="0"/>
              <w:snapToGrid w:val="0"/>
              <w:spacing w:line="240" w:lineRule="auto"/>
              <w:ind w:firstLine="0" w:firstLineChars="0"/>
              <w:jc w:val="center"/>
              <w:rPr>
                <w:rFonts w:ascii="宋体" w:hAnsi="宋体"/>
              </w:rPr>
            </w:pPr>
          </w:p>
        </w:tc>
        <w:tc>
          <w:tcPr>
            <w:tcW w:w="2662" w:type="dxa"/>
            <w:vAlign w:val="center"/>
          </w:tcPr>
          <w:p>
            <w:pPr>
              <w:adjustRightInd w:val="0"/>
              <w:snapToGrid w:val="0"/>
              <w:spacing w:line="240" w:lineRule="auto"/>
              <w:ind w:firstLine="0" w:firstLineChars="0"/>
              <w:jc w:val="center"/>
              <w:rPr>
                <w:rFonts w:ascii="宋体" w:hAnsi="宋体"/>
              </w:rPr>
            </w:pPr>
            <w:r>
              <w:rPr>
                <w:rFonts w:hint="eastAsia" w:ascii="宋体" w:hAnsi="宋体"/>
              </w:rPr>
              <w:t>项目经理/软件安装人员</w:t>
            </w:r>
          </w:p>
        </w:tc>
        <w:tc>
          <w:tcPr>
            <w:tcW w:w="1688" w:type="dxa"/>
            <w:vAlign w:val="center"/>
          </w:tcPr>
          <w:p>
            <w:pPr>
              <w:adjustRightInd w:val="0"/>
              <w:snapToGrid w:val="0"/>
              <w:spacing w:line="240" w:lineRule="auto"/>
              <w:ind w:firstLine="0" w:firstLineChars="0"/>
              <w:jc w:val="center"/>
              <w:rPr>
                <w:rFonts w:ascii="宋体" w:hAnsi="宋体"/>
              </w:rPr>
            </w:pPr>
            <w:r>
              <w:rPr>
                <w:rFonts w:hint="eastAsia" w:ascii="宋体" w:hAnsi="宋体"/>
              </w:rPr>
              <w:t>SQA人员</w:t>
            </w:r>
          </w:p>
        </w:tc>
        <w:tc>
          <w:tcPr>
            <w:tcW w:w="2275" w:type="dxa"/>
            <w:vAlign w:val="center"/>
          </w:tcPr>
          <w:p>
            <w:pPr>
              <w:adjustRightInd w:val="0"/>
              <w:snapToGrid w:val="0"/>
              <w:spacing w:line="240" w:lineRule="auto"/>
              <w:ind w:firstLine="0" w:firstLineChars="0"/>
              <w:jc w:val="center"/>
              <w:rPr>
                <w:rFonts w:ascii="宋体" w:hAnsi="宋体"/>
              </w:rPr>
            </w:pPr>
            <w:r>
              <w:rPr>
                <w:rFonts w:hint="eastAsia" w:ascii="宋体" w:hAnsi="宋体"/>
              </w:rPr>
              <w:t>SCM人员</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401" w:type="dxa"/>
            <w:vAlign w:val="center"/>
          </w:tcPr>
          <w:p>
            <w:pPr>
              <w:adjustRightInd w:val="0"/>
              <w:snapToGrid w:val="0"/>
              <w:spacing w:line="240" w:lineRule="auto"/>
              <w:ind w:firstLine="0" w:firstLineChars="0"/>
              <w:jc w:val="center"/>
              <w:rPr>
                <w:rFonts w:ascii="宋体" w:hAnsi="宋体"/>
              </w:rPr>
            </w:pPr>
            <w:r>
              <w:rPr>
                <w:rFonts w:hint="eastAsia" w:ascii="宋体" w:hAnsi="宋体"/>
              </w:rPr>
              <w:t>项目合同、实施项目计划</w:t>
            </w:r>
          </w:p>
        </w:tc>
        <w:tc>
          <w:tcPr>
            <w:tcW w:w="1075" w:type="dxa"/>
            <w:vAlign w:val="center"/>
          </w:tcPr>
          <w:p>
            <w:pPr>
              <w:adjustRightInd w:val="0"/>
              <w:snapToGrid w:val="0"/>
              <w:spacing w:line="240" w:lineRule="auto"/>
              <w:ind w:firstLine="0" w:firstLineChars="0"/>
              <w:jc w:val="center"/>
              <w:rPr>
                <w:rFonts w:ascii="宋体" w:hAnsi="宋体"/>
              </w:rPr>
            </w:pPr>
            <w:r>
              <w:rPr>
                <w:rFonts w:hint="eastAsia" w:ascii="宋体" w:hAnsi="宋体"/>
              </w:rPr>
              <w:t>软件实施安装报告</w:t>
            </w:r>
          </w:p>
        </w:tc>
        <w:tc>
          <w:tcPr>
            <w:tcW w:w="2662" w:type="dxa"/>
            <w:vAlign w:val="center"/>
          </w:tcPr>
          <w:p>
            <w:pPr>
              <w:adjustRightInd w:val="0"/>
              <w:snapToGrid w:val="0"/>
              <w:spacing w:line="240" w:lineRule="auto"/>
              <w:ind w:firstLine="0" w:firstLineChars="0"/>
              <w:jc w:val="center"/>
              <w:rPr>
                <w:rFonts w:ascii="宋体" w:hAnsi="宋体"/>
              </w:rPr>
            </w:pPr>
            <w:r>
              <w:rPr>
                <w:rFonts w:hint="eastAsia" w:ascii="宋体" w:hAnsi="宋体"/>
              </w:rPr>
              <w:t>安装公司的产品，同客户签署《软件实施安装报告》</w:t>
            </w:r>
          </w:p>
        </w:tc>
        <w:tc>
          <w:tcPr>
            <w:tcW w:w="1688" w:type="dxa"/>
            <w:vAlign w:val="center"/>
          </w:tcPr>
          <w:p>
            <w:pPr>
              <w:adjustRightInd w:val="0"/>
              <w:snapToGrid w:val="0"/>
              <w:spacing w:line="240" w:lineRule="auto"/>
              <w:ind w:firstLine="0" w:firstLineChars="0"/>
              <w:jc w:val="center"/>
              <w:rPr>
                <w:rFonts w:ascii="宋体" w:hAnsi="宋体"/>
              </w:rPr>
            </w:pPr>
            <w:r>
              <w:rPr>
                <w:rFonts w:hint="eastAsia" w:ascii="宋体" w:hAnsi="宋体"/>
              </w:rPr>
              <w:t>对本阶段工作进行跟踪和检查。</w:t>
            </w:r>
          </w:p>
        </w:tc>
        <w:tc>
          <w:tcPr>
            <w:tcW w:w="2275" w:type="dxa"/>
            <w:vAlign w:val="center"/>
          </w:tcPr>
          <w:p>
            <w:pPr>
              <w:adjustRightInd w:val="0"/>
              <w:snapToGrid w:val="0"/>
              <w:spacing w:line="240" w:lineRule="auto"/>
              <w:ind w:firstLine="0" w:firstLineChars="0"/>
              <w:jc w:val="center"/>
              <w:rPr>
                <w:rFonts w:ascii="宋体" w:hAnsi="宋体"/>
              </w:rPr>
            </w:pPr>
            <w:r>
              <w:rPr>
                <w:rFonts w:hint="eastAsia" w:ascii="宋体" w:hAnsi="宋体"/>
              </w:rPr>
              <w:t>上传输出文档、更新配置状态报告（文档和程序）</w:t>
            </w:r>
          </w:p>
        </w:tc>
      </w:tr>
    </w:tbl>
    <w:p>
      <w:pPr>
        <w:pStyle w:val="7"/>
        <w:ind w:firstLine="420"/>
      </w:pPr>
      <w:r>
        <w:rPr>
          <w:rFonts w:hint="eastAsia"/>
        </w:rPr>
        <w:t>初验</w:t>
      </w:r>
    </w:p>
    <w:tbl>
      <w:tblPr>
        <w:tblStyle w:val="16"/>
        <w:tblW w:w="9101" w:type="dxa"/>
        <w:jc w:val="center"/>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2238"/>
        <w:gridCol w:w="1200"/>
        <w:gridCol w:w="2575"/>
        <w:gridCol w:w="1288"/>
        <w:gridCol w:w="1800"/>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38"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输入</w:t>
            </w:r>
          </w:p>
        </w:tc>
        <w:tc>
          <w:tcPr>
            <w:tcW w:w="1200"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输出</w:t>
            </w:r>
          </w:p>
        </w:tc>
        <w:tc>
          <w:tcPr>
            <w:tcW w:w="5663" w:type="dxa"/>
            <w:gridSpan w:val="3"/>
            <w:vAlign w:val="center"/>
          </w:tcPr>
          <w:p>
            <w:pPr>
              <w:adjustRightInd w:val="0"/>
              <w:snapToGrid w:val="0"/>
              <w:spacing w:line="240" w:lineRule="auto"/>
              <w:ind w:firstLine="0" w:firstLineChars="0"/>
              <w:jc w:val="center"/>
              <w:rPr>
                <w:rFonts w:ascii="宋体" w:hAnsi="宋体"/>
              </w:rPr>
            </w:pPr>
            <w:r>
              <w:rPr>
                <w:rFonts w:hint="eastAsia" w:ascii="宋体" w:hAnsi="宋体"/>
              </w:rPr>
              <w:t>角色与职责</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38" w:type="dxa"/>
            <w:vMerge w:val="continue"/>
          </w:tcPr>
          <w:p>
            <w:pPr>
              <w:adjustRightInd w:val="0"/>
              <w:snapToGrid w:val="0"/>
              <w:spacing w:line="240" w:lineRule="auto"/>
              <w:ind w:firstLine="0" w:firstLineChars="0"/>
              <w:jc w:val="center"/>
              <w:rPr>
                <w:rFonts w:ascii="宋体" w:hAnsi="宋体"/>
              </w:rPr>
            </w:pPr>
          </w:p>
        </w:tc>
        <w:tc>
          <w:tcPr>
            <w:tcW w:w="1200" w:type="dxa"/>
            <w:vMerge w:val="continue"/>
          </w:tcPr>
          <w:p>
            <w:pPr>
              <w:adjustRightInd w:val="0"/>
              <w:snapToGrid w:val="0"/>
              <w:spacing w:line="240" w:lineRule="auto"/>
              <w:ind w:firstLine="0" w:firstLineChars="0"/>
              <w:jc w:val="center"/>
              <w:rPr>
                <w:rFonts w:ascii="宋体" w:hAnsi="宋体"/>
              </w:rPr>
            </w:pPr>
          </w:p>
        </w:tc>
        <w:tc>
          <w:tcPr>
            <w:tcW w:w="2575" w:type="dxa"/>
            <w:vAlign w:val="center"/>
          </w:tcPr>
          <w:p>
            <w:pPr>
              <w:adjustRightInd w:val="0"/>
              <w:snapToGrid w:val="0"/>
              <w:spacing w:line="240" w:lineRule="auto"/>
              <w:ind w:firstLine="0" w:firstLineChars="0"/>
              <w:jc w:val="center"/>
              <w:rPr>
                <w:rFonts w:ascii="宋体" w:hAnsi="宋体"/>
              </w:rPr>
            </w:pPr>
            <w:r>
              <w:rPr>
                <w:rFonts w:hint="eastAsia" w:ascii="宋体" w:hAnsi="宋体"/>
              </w:rPr>
              <w:t>项目经理</w:t>
            </w:r>
          </w:p>
        </w:tc>
        <w:tc>
          <w:tcPr>
            <w:tcW w:w="1288" w:type="dxa"/>
            <w:vAlign w:val="center"/>
          </w:tcPr>
          <w:p>
            <w:pPr>
              <w:adjustRightInd w:val="0"/>
              <w:snapToGrid w:val="0"/>
              <w:spacing w:line="240" w:lineRule="auto"/>
              <w:ind w:firstLine="0" w:firstLineChars="0"/>
              <w:jc w:val="center"/>
              <w:rPr>
                <w:rFonts w:ascii="宋体" w:hAnsi="宋体"/>
              </w:rPr>
            </w:pPr>
            <w:r>
              <w:rPr>
                <w:rFonts w:hint="eastAsia" w:ascii="宋体" w:hAnsi="宋体"/>
              </w:rPr>
              <w:t>SQA人员</w:t>
            </w:r>
          </w:p>
        </w:tc>
        <w:tc>
          <w:tcPr>
            <w:tcW w:w="1800" w:type="dxa"/>
            <w:vAlign w:val="center"/>
          </w:tcPr>
          <w:p>
            <w:pPr>
              <w:adjustRightInd w:val="0"/>
              <w:snapToGrid w:val="0"/>
              <w:spacing w:line="240" w:lineRule="auto"/>
              <w:ind w:firstLine="0" w:firstLineChars="0"/>
              <w:jc w:val="center"/>
              <w:rPr>
                <w:rFonts w:ascii="宋体" w:hAnsi="宋体"/>
              </w:rPr>
            </w:pPr>
            <w:r>
              <w:rPr>
                <w:rFonts w:hint="eastAsia" w:ascii="宋体" w:hAnsi="宋体"/>
              </w:rPr>
              <w:t>SCM人员</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38" w:type="dxa"/>
            <w:vAlign w:val="center"/>
          </w:tcPr>
          <w:p>
            <w:pPr>
              <w:adjustRightInd w:val="0"/>
              <w:snapToGrid w:val="0"/>
              <w:spacing w:line="240" w:lineRule="auto"/>
              <w:ind w:firstLine="0" w:firstLineChars="0"/>
              <w:jc w:val="center"/>
              <w:rPr>
                <w:rFonts w:ascii="宋体" w:hAnsi="宋体"/>
              </w:rPr>
            </w:pPr>
            <w:r>
              <w:rPr>
                <w:rFonts w:hint="eastAsia" w:ascii="宋体" w:hAnsi="宋体"/>
              </w:rPr>
              <w:t>用户测试报告（测试用例）、系统集成报告、软件安装报告、培训实施记录、文档提交清单</w:t>
            </w:r>
          </w:p>
        </w:tc>
        <w:tc>
          <w:tcPr>
            <w:tcW w:w="1200" w:type="dxa"/>
            <w:vAlign w:val="center"/>
          </w:tcPr>
          <w:p>
            <w:pPr>
              <w:adjustRightInd w:val="0"/>
              <w:snapToGrid w:val="0"/>
              <w:spacing w:line="240" w:lineRule="auto"/>
              <w:ind w:firstLine="0" w:firstLineChars="0"/>
              <w:jc w:val="center"/>
              <w:rPr>
                <w:rFonts w:ascii="宋体" w:hAnsi="宋体"/>
              </w:rPr>
            </w:pPr>
            <w:r>
              <w:rPr>
                <w:rFonts w:hint="eastAsia" w:ascii="宋体" w:hAnsi="宋体"/>
              </w:rPr>
              <w:t>用户测试报告、验收报告</w:t>
            </w:r>
          </w:p>
        </w:tc>
        <w:tc>
          <w:tcPr>
            <w:tcW w:w="2575" w:type="dxa"/>
            <w:vAlign w:val="center"/>
          </w:tcPr>
          <w:p>
            <w:pPr>
              <w:adjustRightInd w:val="0"/>
              <w:snapToGrid w:val="0"/>
              <w:spacing w:line="240" w:lineRule="auto"/>
              <w:ind w:firstLine="0" w:firstLineChars="0"/>
              <w:jc w:val="center"/>
              <w:rPr>
                <w:rFonts w:ascii="宋体" w:hAnsi="宋体"/>
              </w:rPr>
            </w:pPr>
            <w:r>
              <w:rPr>
                <w:rFonts w:hint="eastAsia" w:ascii="宋体" w:hAnsi="宋体"/>
              </w:rPr>
              <w:t>协助客户进行项目验收的测试工作，测试通过后同客户签署验收报告。</w:t>
            </w:r>
          </w:p>
        </w:tc>
        <w:tc>
          <w:tcPr>
            <w:tcW w:w="1288" w:type="dxa"/>
            <w:vAlign w:val="center"/>
          </w:tcPr>
          <w:p>
            <w:pPr>
              <w:adjustRightInd w:val="0"/>
              <w:snapToGrid w:val="0"/>
              <w:spacing w:line="240" w:lineRule="auto"/>
              <w:ind w:firstLine="0" w:firstLineChars="0"/>
              <w:jc w:val="center"/>
              <w:rPr>
                <w:rFonts w:ascii="宋体" w:hAnsi="宋体"/>
              </w:rPr>
            </w:pPr>
            <w:r>
              <w:rPr>
                <w:rFonts w:hint="eastAsia" w:ascii="宋体" w:hAnsi="宋体"/>
              </w:rPr>
              <w:t>对本阶段工作进行跟踪和检查。</w:t>
            </w:r>
          </w:p>
        </w:tc>
        <w:tc>
          <w:tcPr>
            <w:tcW w:w="1800" w:type="dxa"/>
            <w:vAlign w:val="center"/>
          </w:tcPr>
          <w:p>
            <w:pPr>
              <w:adjustRightInd w:val="0"/>
              <w:snapToGrid w:val="0"/>
              <w:spacing w:line="240" w:lineRule="auto"/>
              <w:ind w:firstLine="0" w:firstLineChars="0"/>
              <w:jc w:val="center"/>
              <w:rPr>
                <w:rFonts w:ascii="宋体" w:hAnsi="宋体"/>
              </w:rPr>
            </w:pPr>
            <w:r>
              <w:rPr>
                <w:rFonts w:hint="eastAsia" w:ascii="宋体" w:hAnsi="宋体"/>
              </w:rPr>
              <w:t>上传输出文档、更新配置状态报告（文档和程序）</w:t>
            </w:r>
          </w:p>
        </w:tc>
      </w:tr>
    </w:tbl>
    <w:p>
      <w:pPr>
        <w:pStyle w:val="7"/>
        <w:ind w:firstLine="420"/>
      </w:pPr>
      <w:r>
        <w:rPr>
          <w:rFonts w:hint="eastAsia"/>
        </w:rPr>
        <w:t>试运行</w:t>
      </w:r>
    </w:p>
    <w:tbl>
      <w:tblPr>
        <w:tblStyle w:val="16"/>
        <w:tblW w:w="9102" w:type="dxa"/>
        <w:jc w:val="center"/>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1523"/>
        <w:gridCol w:w="1518"/>
        <w:gridCol w:w="3033"/>
        <w:gridCol w:w="1517"/>
        <w:gridCol w:w="1511"/>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3"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输入</w:t>
            </w:r>
          </w:p>
        </w:tc>
        <w:tc>
          <w:tcPr>
            <w:tcW w:w="1518"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输出</w:t>
            </w:r>
          </w:p>
        </w:tc>
        <w:tc>
          <w:tcPr>
            <w:tcW w:w="6061" w:type="dxa"/>
            <w:gridSpan w:val="3"/>
            <w:vAlign w:val="center"/>
          </w:tcPr>
          <w:p>
            <w:pPr>
              <w:adjustRightInd w:val="0"/>
              <w:snapToGrid w:val="0"/>
              <w:spacing w:line="240" w:lineRule="auto"/>
              <w:ind w:firstLine="0" w:firstLineChars="0"/>
              <w:jc w:val="center"/>
              <w:rPr>
                <w:rFonts w:ascii="宋体" w:hAnsi="宋体"/>
              </w:rPr>
            </w:pPr>
            <w:r>
              <w:rPr>
                <w:rFonts w:hint="eastAsia" w:ascii="宋体" w:hAnsi="宋体"/>
              </w:rPr>
              <w:t>角色与职责</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3" w:type="dxa"/>
            <w:vMerge w:val="continue"/>
          </w:tcPr>
          <w:p>
            <w:pPr>
              <w:adjustRightInd w:val="0"/>
              <w:snapToGrid w:val="0"/>
              <w:spacing w:line="240" w:lineRule="auto"/>
              <w:ind w:firstLine="0" w:firstLineChars="0"/>
              <w:jc w:val="center"/>
              <w:rPr>
                <w:rFonts w:ascii="宋体" w:hAnsi="宋体"/>
              </w:rPr>
            </w:pPr>
          </w:p>
        </w:tc>
        <w:tc>
          <w:tcPr>
            <w:tcW w:w="1518" w:type="dxa"/>
            <w:vMerge w:val="continue"/>
          </w:tcPr>
          <w:p>
            <w:pPr>
              <w:adjustRightInd w:val="0"/>
              <w:snapToGrid w:val="0"/>
              <w:spacing w:line="240" w:lineRule="auto"/>
              <w:ind w:firstLine="0" w:firstLineChars="0"/>
              <w:jc w:val="center"/>
              <w:rPr>
                <w:rFonts w:ascii="宋体" w:hAnsi="宋体"/>
              </w:rPr>
            </w:pPr>
          </w:p>
        </w:tc>
        <w:tc>
          <w:tcPr>
            <w:tcW w:w="3033" w:type="dxa"/>
            <w:vAlign w:val="center"/>
          </w:tcPr>
          <w:p>
            <w:pPr>
              <w:adjustRightInd w:val="0"/>
              <w:snapToGrid w:val="0"/>
              <w:spacing w:line="240" w:lineRule="auto"/>
              <w:ind w:firstLine="0" w:firstLineChars="0"/>
              <w:jc w:val="center"/>
              <w:rPr>
                <w:rFonts w:ascii="宋体" w:hAnsi="宋体"/>
              </w:rPr>
            </w:pPr>
            <w:r>
              <w:rPr>
                <w:rFonts w:hint="eastAsia" w:ascii="宋体" w:hAnsi="宋体"/>
              </w:rPr>
              <w:t>项目经理</w:t>
            </w:r>
          </w:p>
        </w:tc>
        <w:tc>
          <w:tcPr>
            <w:tcW w:w="1517" w:type="dxa"/>
            <w:vAlign w:val="center"/>
          </w:tcPr>
          <w:p>
            <w:pPr>
              <w:adjustRightInd w:val="0"/>
              <w:snapToGrid w:val="0"/>
              <w:spacing w:line="240" w:lineRule="auto"/>
              <w:ind w:firstLine="0" w:firstLineChars="0"/>
              <w:jc w:val="center"/>
              <w:rPr>
                <w:rFonts w:ascii="宋体" w:hAnsi="宋体"/>
              </w:rPr>
            </w:pPr>
            <w:r>
              <w:rPr>
                <w:rFonts w:hint="eastAsia" w:ascii="宋体" w:hAnsi="宋体"/>
              </w:rPr>
              <w:t>SQA人员</w:t>
            </w:r>
          </w:p>
        </w:tc>
        <w:tc>
          <w:tcPr>
            <w:tcW w:w="1511" w:type="dxa"/>
            <w:vAlign w:val="center"/>
          </w:tcPr>
          <w:p>
            <w:pPr>
              <w:adjustRightInd w:val="0"/>
              <w:snapToGrid w:val="0"/>
              <w:spacing w:line="240" w:lineRule="auto"/>
              <w:ind w:firstLine="0" w:firstLineChars="0"/>
              <w:jc w:val="center"/>
              <w:rPr>
                <w:rFonts w:ascii="宋体" w:hAnsi="宋体"/>
              </w:rPr>
            </w:pPr>
            <w:r>
              <w:rPr>
                <w:rFonts w:hint="eastAsia" w:ascii="宋体" w:hAnsi="宋体"/>
              </w:rPr>
              <w:t>SCM人员</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3" w:type="dxa"/>
            <w:vAlign w:val="center"/>
          </w:tcPr>
          <w:p>
            <w:pPr>
              <w:adjustRightInd w:val="0"/>
              <w:snapToGrid w:val="0"/>
              <w:spacing w:line="240" w:lineRule="auto"/>
              <w:ind w:firstLine="0" w:firstLineChars="0"/>
              <w:jc w:val="center"/>
              <w:rPr>
                <w:rFonts w:ascii="宋体" w:hAnsi="宋体"/>
              </w:rPr>
            </w:pPr>
            <w:r>
              <w:rPr>
                <w:rFonts w:hint="eastAsia" w:ascii="宋体" w:hAnsi="宋体"/>
              </w:rPr>
              <w:t>客户反馈的问题</w:t>
            </w:r>
          </w:p>
        </w:tc>
        <w:tc>
          <w:tcPr>
            <w:tcW w:w="1518" w:type="dxa"/>
            <w:vAlign w:val="center"/>
          </w:tcPr>
          <w:p>
            <w:pPr>
              <w:adjustRightInd w:val="0"/>
              <w:snapToGrid w:val="0"/>
              <w:spacing w:line="240" w:lineRule="auto"/>
              <w:ind w:firstLine="0" w:firstLineChars="0"/>
              <w:jc w:val="center"/>
              <w:rPr>
                <w:rFonts w:ascii="宋体" w:hAnsi="宋体"/>
              </w:rPr>
            </w:pPr>
            <w:r>
              <w:rPr>
                <w:rFonts w:hint="eastAsia" w:ascii="宋体" w:hAnsi="宋体"/>
              </w:rPr>
              <w:t>实施项目问题跟踪表、问题分析解决报告</w:t>
            </w:r>
          </w:p>
        </w:tc>
        <w:tc>
          <w:tcPr>
            <w:tcW w:w="3033" w:type="dxa"/>
            <w:vAlign w:val="center"/>
          </w:tcPr>
          <w:p>
            <w:pPr>
              <w:adjustRightInd w:val="0"/>
              <w:snapToGrid w:val="0"/>
              <w:spacing w:line="240" w:lineRule="auto"/>
              <w:ind w:firstLine="0" w:firstLineChars="0"/>
              <w:jc w:val="center"/>
              <w:rPr>
                <w:rFonts w:ascii="宋体" w:hAnsi="宋体"/>
              </w:rPr>
            </w:pPr>
            <w:r>
              <w:rPr>
                <w:rFonts w:hint="eastAsia" w:ascii="宋体" w:hAnsi="宋体"/>
              </w:rPr>
              <w:t>负责跟踪客户反馈的问题的解决情况，协调相关人员解决问题</w:t>
            </w:r>
          </w:p>
        </w:tc>
        <w:tc>
          <w:tcPr>
            <w:tcW w:w="1517" w:type="dxa"/>
            <w:vAlign w:val="center"/>
          </w:tcPr>
          <w:p>
            <w:pPr>
              <w:adjustRightInd w:val="0"/>
              <w:snapToGrid w:val="0"/>
              <w:spacing w:line="240" w:lineRule="auto"/>
              <w:ind w:firstLine="0" w:firstLineChars="0"/>
              <w:jc w:val="center"/>
              <w:rPr>
                <w:rFonts w:ascii="宋体" w:hAnsi="宋体"/>
              </w:rPr>
            </w:pPr>
            <w:r>
              <w:rPr>
                <w:rFonts w:hint="eastAsia" w:ascii="宋体" w:hAnsi="宋体"/>
              </w:rPr>
              <w:t>对本阶段工作进行跟踪和检查。</w:t>
            </w:r>
          </w:p>
        </w:tc>
        <w:tc>
          <w:tcPr>
            <w:tcW w:w="1511" w:type="dxa"/>
            <w:vAlign w:val="center"/>
          </w:tcPr>
          <w:p>
            <w:pPr>
              <w:adjustRightInd w:val="0"/>
              <w:snapToGrid w:val="0"/>
              <w:spacing w:line="240" w:lineRule="auto"/>
              <w:ind w:firstLine="0" w:firstLineChars="0"/>
              <w:jc w:val="center"/>
              <w:rPr>
                <w:rFonts w:ascii="宋体" w:hAnsi="宋体"/>
              </w:rPr>
            </w:pPr>
            <w:r>
              <w:rPr>
                <w:rFonts w:hint="eastAsia" w:ascii="宋体" w:hAnsi="宋体"/>
              </w:rPr>
              <w:t>上传输出文档、更新配置状态报告（文档和程序）</w:t>
            </w:r>
          </w:p>
        </w:tc>
      </w:tr>
    </w:tbl>
    <w:p>
      <w:pPr>
        <w:pStyle w:val="7"/>
        <w:ind w:firstLine="420"/>
      </w:pPr>
      <w:r>
        <w:rPr>
          <w:rFonts w:hint="eastAsia"/>
        </w:rPr>
        <w:t>终验</w:t>
      </w:r>
    </w:p>
    <w:tbl>
      <w:tblPr>
        <w:tblStyle w:val="16"/>
        <w:tblW w:w="9101" w:type="dxa"/>
        <w:jc w:val="center"/>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1523"/>
        <w:gridCol w:w="1518"/>
        <w:gridCol w:w="3032"/>
        <w:gridCol w:w="1517"/>
        <w:gridCol w:w="1511"/>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3"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输入</w:t>
            </w:r>
          </w:p>
        </w:tc>
        <w:tc>
          <w:tcPr>
            <w:tcW w:w="1518" w:type="dxa"/>
            <w:vMerge w:val="restart"/>
            <w:vAlign w:val="center"/>
          </w:tcPr>
          <w:p>
            <w:pPr>
              <w:adjustRightInd w:val="0"/>
              <w:snapToGrid w:val="0"/>
              <w:spacing w:line="240" w:lineRule="auto"/>
              <w:ind w:firstLine="0" w:firstLineChars="0"/>
              <w:jc w:val="center"/>
              <w:rPr>
                <w:rFonts w:ascii="宋体" w:hAnsi="宋体"/>
              </w:rPr>
            </w:pPr>
            <w:r>
              <w:rPr>
                <w:rFonts w:hint="eastAsia" w:ascii="宋体" w:hAnsi="宋体"/>
              </w:rPr>
              <w:t>输出</w:t>
            </w:r>
          </w:p>
        </w:tc>
        <w:tc>
          <w:tcPr>
            <w:tcW w:w="6060" w:type="dxa"/>
            <w:gridSpan w:val="3"/>
            <w:vAlign w:val="center"/>
          </w:tcPr>
          <w:p>
            <w:pPr>
              <w:adjustRightInd w:val="0"/>
              <w:snapToGrid w:val="0"/>
              <w:spacing w:line="240" w:lineRule="auto"/>
              <w:ind w:firstLine="0" w:firstLineChars="0"/>
              <w:jc w:val="center"/>
              <w:rPr>
                <w:rFonts w:ascii="宋体" w:hAnsi="宋体"/>
              </w:rPr>
            </w:pPr>
            <w:r>
              <w:rPr>
                <w:rFonts w:hint="eastAsia" w:ascii="宋体" w:hAnsi="宋体"/>
              </w:rPr>
              <w:t>角色与职责</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3" w:type="dxa"/>
            <w:vMerge w:val="continue"/>
          </w:tcPr>
          <w:p>
            <w:pPr>
              <w:adjustRightInd w:val="0"/>
              <w:snapToGrid w:val="0"/>
              <w:spacing w:line="240" w:lineRule="auto"/>
              <w:ind w:firstLine="0" w:firstLineChars="0"/>
              <w:jc w:val="center"/>
              <w:rPr>
                <w:rFonts w:ascii="宋体" w:hAnsi="宋体"/>
              </w:rPr>
            </w:pPr>
          </w:p>
        </w:tc>
        <w:tc>
          <w:tcPr>
            <w:tcW w:w="1518" w:type="dxa"/>
            <w:vMerge w:val="continue"/>
          </w:tcPr>
          <w:p>
            <w:pPr>
              <w:adjustRightInd w:val="0"/>
              <w:snapToGrid w:val="0"/>
              <w:spacing w:line="240" w:lineRule="auto"/>
              <w:ind w:firstLine="0" w:firstLineChars="0"/>
              <w:jc w:val="center"/>
              <w:rPr>
                <w:rFonts w:ascii="宋体" w:hAnsi="宋体"/>
              </w:rPr>
            </w:pPr>
          </w:p>
        </w:tc>
        <w:tc>
          <w:tcPr>
            <w:tcW w:w="3032" w:type="dxa"/>
            <w:vAlign w:val="center"/>
          </w:tcPr>
          <w:p>
            <w:pPr>
              <w:adjustRightInd w:val="0"/>
              <w:snapToGrid w:val="0"/>
              <w:spacing w:line="240" w:lineRule="auto"/>
              <w:ind w:firstLine="0" w:firstLineChars="0"/>
              <w:jc w:val="center"/>
              <w:rPr>
                <w:rFonts w:ascii="宋体" w:hAnsi="宋体"/>
              </w:rPr>
            </w:pPr>
            <w:r>
              <w:rPr>
                <w:rFonts w:hint="eastAsia" w:ascii="宋体" w:hAnsi="宋体"/>
              </w:rPr>
              <w:t>项目经理</w:t>
            </w:r>
          </w:p>
        </w:tc>
        <w:tc>
          <w:tcPr>
            <w:tcW w:w="1517" w:type="dxa"/>
            <w:vAlign w:val="center"/>
          </w:tcPr>
          <w:p>
            <w:pPr>
              <w:adjustRightInd w:val="0"/>
              <w:snapToGrid w:val="0"/>
              <w:spacing w:line="240" w:lineRule="auto"/>
              <w:ind w:firstLine="0" w:firstLineChars="0"/>
              <w:jc w:val="center"/>
              <w:rPr>
                <w:rFonts w:ascii="宋体" w:hAnsi="宋体"/>
              </w:rPr>
            </w:pPr>
            <w:r>
              <w:rPr>
                <w:rFonts w:hint="eastAsia" w:ascii="宋体" w:hAnsi="宋体"/>
              </w:rPr>
              <w:t>SQA人员</w:t>
            </w:r>
          </w:p>
        </w:tc>
        <w:tc>
          <w:tcPr>
            <w:tcW w:w="1511" w:type="dxa"/>
            <w:vAlign w:val="center"/>
          </w:tcPr>
          <w:p>
            <w:pPr>
              <w:adjustRightInd w:val="0"/>
              <w:snapToGrid w:val="0"/>
              <w:spacing w:line="240" w:lineRule="auto"/>
              <w:ind w:firstLine="0" w:firstLineChars="0"/>
              <w:jc w:val="center"/>
              <w:rPr>
                <w:rFonts w:ascii="宋体" w:hAnsi="宋体"/>
              </w:rPr>
            </w:pPr>
            <w:r>
              <w:rPr>
                <w:rFonts w:hint="eastAsia" w:ascii="宋体" w:hAnsi="宋体"/>
              </w:rPr>
              <w:t>SCM人员</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3" w:type="dxa"/>
            <w:vAlign w:val="center"/>
          </w:tcPr>
          <w:p>
            <w:pPr>
              <w:adjustRightInd w:val="0"/>
              <w:snapToGrid w:val="0"/>
              <w:spacing w:line="240" w:lineRule="auto"/>
              <w:ind w:firstLine="0" w:firstLineChars="0"/>
              <w:jc w:val="center"/>
              <w:rPr>
                <w:rFonts w:ascii="宋体" w:hAnsi="宋体"/>
              </w:rPr>
            </w:pPr>
            <w:r>
              <w:rPr>
                <w:rFonts w:hint="eastAsia" w:ascii="宋体" w:hAnsi="宋体"/>
              </w:rPr>
              <w:t>文档提交清单、终验报告、项目合同及附件</w:t>
            </w:r>
          </w:p>
        </w:tc>
        <w:tc>
          <w:tcPr>
            <w:tcW w:w="1518" w:type="dxa"/>
            <w:vAlign w:val="center"/>
          </w:tcPr>
          <w:p>
            <w:pPr>
              <w:adjustRightInd w:val="0"/>
              <w:snapToGrid w:val="0"/>
              <w:spacing w:line="240" w:lineRule="auto"/>
              <w:ind w:firstLine="0" w:firstLineChars="0"/>
              <w:jc w:val="center"/>
              <w:rPr>
                <w:rFonts w:ascii="宋体" w:hAnsi="宋体"/>
              </w:rPr>
            </w:pPr>
            <w:r>
              <w:rPr>
                <w:rFonts w:hint="eastAsia" w:ascii="宋体" w:hAnsi="宋体"/>
              </w:rPr>
              <w:t>验收报告</w:t>
            </w:r>
          </w:p>
        </w:tc>
        <w:tc>
          <w:tcPr>
            <w:tcW w:w="3032" w:type="dxa"/>
            <w:vAlign w:val="center"/>
          </w:tcPr>
          <w:p>
            <w:pPr>
              <w:adjustRightInd w:val="0"/>
              <w:snapToGrid w:val="0"/>
              <w:spacing w:line="240" w:lineRule="auto"/>
              <w:ind w:firstLine="0" w:firstLineChars="0"/>
              <w:jc w:val="center"/>
              <w:rPr>
                <w:rFonts w:ascii="宋体" w:hAnsi="宋体"/>
              </w:rPr>
            </w:pPr>
            <w:r>
              <w:rPr>
                <w:rFonts w:hint="eastAsia" w:ascii="宋体" w:hAnsi="宋体"/>
              </w:rPr>
              <w:t>试运行正常，同客户签署验收报告</w:t>
            </w:r>
          </w:p>
        </w:tc>
        <w:tc>
          <w:tcPr>
            <w:tcW w:w="1517" w:type="dxa"/>
            <w:vAlign w:val="center"/>
          </w:tcPr>
          <w:p>
            <w:pPr>
              <w:adjustRightInd w:val="0"/>
              <w:snapToGrid w:val="0"/>
              <w:spacing w:line="240" w:lineRule="auto"/>
              <w:ind w:firstLine="0" w:firstLineChars="0"/>
              <w:jc w:val="center"/>
              <w:rPr>
                <w:rFonts w:ascii="宋体" w:hAnsi="宋体"/>
              </w:rPr>
            </w:pPr>
            <w:r>
              <w:rPr>
                <w:rFonts w:hint="eastAsia" w:ascii="宋体" w:hAnsi="宋体"/>
              </w:rPr>
              <w:t>对本阶段工作进行跟踪和检查。</w:t>
            </w:r>
          </w:p>
        </w:tc>
        <w:tc>
          <w:tcPr>
            <w:tcW w:w="1511" w:type="dxa"/>
            <w:vAlign w:val="center"/>
          </w:tcPr>
          <w:p>
            <w:pPr>
              <w:adjustRightInd w:val="0"/>
              <w:snapToGrid w:val="0"/>
              <w:spacing w:line="240" w:lineRule="auto"/>
              <w:ind w:firstLine="0" w:firstLineChars="0"/>
              <w:jc w:val="center"/>
              <w:rPr>
                <w:rFonts w:ascii="宋体" w:hAnsi="宋体"/>
              </w:rPr>
            </w:pPr>
            <w:r>
              <w:rPr>
                <w:rFonts w:hint="eastAsia" w:ascii="宋体" w:hAnsi="宋体"/>
              </w:rPr>
              <w:t>上传输出文档、更新配置状态报告（文档和程序）</w:t>
            </w:r>
          </w:p>
        </w:tc>
      </w:tr>
    </w:tbl>
    <w:p>
      <w:pPr>
        <w:pStyle w:val="6"/>
        <w:ind w:firstLine="420"/>
      </w:pPr>
      <w:bookmarkStart w:id="27" w:name="_Toc6210"/>
      <w:r>
        <w:rPr>
          <w:rFonts w:hint="eastAsia"/>
        </w:rPr>
        <w:t>人员安排</w:t>
      </w:r>
      <w:bookmarkEnd w:id="27"/>
    </w:p>
    <w:p>
      <w:pPr>
        <w:ind w:firstLine="420"/>
      </w:pPr>
      <w:bookmarkStart w:id="28" w:name="_Toc79066364"/>
      <w:r>
        <w:rPr>
          <w:rFonts w:hint="eastAsia"/>
        </w:rPr>
        <w:t>我方项目管理组负责管理项目经理和下属6个具体工作小组</w:t>
      </w:r>
      <w:bookmarkEnd w:id="28"/>
    </w:p>
    <w:p>
      <w:pPr>
        <w:ind w:firstLine="420"/>
      </w:pPr>
      <w:r>
        <w:rPr>
          <w:rFonts w:hint="eastAsia"/>
        </w:rPr>
        <w:t>项目经理：项目经理是本项目的项目执行、项目检查、项目控制、项目协调总负责人。</w:t>
      </w:r>
    </w:p>
    <w:p>
      <w:pPr>
        <w:ind w:firstLine="420"/>
      </w:pPr>
      <w:r>
        <w:rPr>
          <w:rFonts w:hint="eastAsia"/>
        </w:rPr>
        <w:t>其职责如下：</w:t>
      </w:r>
    </w:p>
    <w:p>
      <w:pPr>
        <w:numPr>
          <w:ilvl w:val="0"/>
          <w:numId w:val="112"/>
        </w:numPr>
        <w:ind w:left="0" w:firstLine="420"/>
      </w:pPr>
      <w:r>
        <w:rPr>
          <w:rFonts w:hint="eastAsia"/>
        </w:rPr>
        <w:t>制定项目管理计划，对人员，资源，时间和目标进行统筹安排；</w:t>
      </w:r>
    </w:p>
    <w:p>
      <w:pPr>
        <w:numPr>
          <w:ilvl w:val="0"/>
          <w:numId w:val="112"/>
        </w:numPr>
        <w:ind w:left="0" w:firstLine="420"/>
      </w:pPr>
      <w:r>
        <w:rPr>
          <w:rFonts w:hint="eastAsia"/>
        </w:rPr>
        <w:t>汇总、整理全部文档资料；</w:t>
      </w:r>
    </w:p>
    <w:p>
      <w:pPr>
        <w:numPr>
          <w:ilvl w:val="0"/>
          <w:numId w:val="112"/>
        </w:numPr>
        <w:ind w:left="0" w:firstLine="420"/>
      </w:pPr>
      <w:r>
        <w:rPr>
          <w:rFonts w:hint="eastAsia"/>
        </w:rPr>
        <w:t>对文档资料进行分类归档保存；</w:t>
      </w:r>
    </w:p>
    <w:p>
      <w:pPr>
        <w:numPr>
          <w:ilvl w:val="0"/>
          <w:numId w:val="112"/>
        </w:numPr>
        <w:ind w:left="0" w:firstLine="420"/>
      </w:pPr>
      <w:r>
        <w:rPr>
          <w:rFonts w:hint="eastAsia"/>
        </w:rPr>
        <w:t>就文档要求提出需求书及改进意见；</w:t>
      </w:r>
    </w:p>
    <w:p>
      <w:pPr>
        <w:numPr>
          <w:ilvl w:val="0"/>
          <w:numId w:val="112"/>
        </w:numPr>
        <w:ind w:left="0" w:firstLine="420"/>
      </w:pPr>
      <w:r>
        <w:rPr>
          <w:rFonts w:hint="eastAsia"/>
        </w:rPr>
        <w:t>编制项目工程文档集；</w:t>
      </w:r>
    </w:p>
    <w:p>
      <w:pPr>
        <w:numPr>
          <w:ilvl w:val="0"/>
          <w:numId w:val="112"/>
        </w:numPr>
        <w:ind w:left="0" w:firstLine="420"/>
      </w:pPr>
      <w:r>
        <w:rPr>
          <w:rFonts w:hint="eastAsia"/>
        </w:rPr>
        <w:t>项目经理对中标方已经完成的工作负有最终责任。项目经理必须使本项目在预算范围内按时优质完成。</w:t>
      </w:r>
    </w:p>
    <w:p>
      <w:pPr>
        <w:numPr>
          <w:ilvl w:val="0"/>
          <w:numId w:val="112"/>
        </w:numPr>
        <w:ind w:left="0" w:firstLine="420"/>
      </w:pPr>
      <w:r>
        <w:rPr>
          <w:rFonts w:hint="eastAsia"/>
        </w:rPr>
        <w:t>项目实施中模拟环境的设备搭建管理；</w:t>
      </w:r>
    </w:p>
    <w:p>
      <w:pPr>
        <w:numPr>
          <w:ilvl w:val="0"/>
          <w:numId w:val="112"/>
        </w:numPr>
        <w:ind w:left="0" w:firstLine="420"/>
      </w:pPr>
      <w:r>
        <w:rPr>
          <w:rFonts w:hint="eastAsia"/>
        </w:rPr>
        <w:t>项目实施过程中的产品功能测试。</w:t>
      </w:r>
    </w:p>
    <w:p>
      <w:pPr>
        <w:numPr>
          <w:ilvl w:val="0"/>
          <w:numId w:val="112"/>
        </w:numPr>
        <w:ind w:left="0" w:firstLine="420"/>
      </w:pPr>
      <w:r>
        <w:rPr>
          <w:rFonts w:hint="eastAsia"/>
        </w:rPr>
        <w:t>项目经理应具有代表中标方全权负责本项目的商务和技术的权力。项目经理代表我公司签收招标方出具的相关项目管理文件。</w:t>
      </w:r>
    </w:p>
    <w:p>
      <w:pPr>
        <w:ind w:firstLine="420"/>
      </w:pPr>
      <w:r>
        <w:rPr>
          <w:rFonts w:hint="eastAsia"/>
        </w:rPr>
        <w:t>项目实施小组：项目实施小组由调研和评估小组、产品安装部署小组、产品集成安全小组、产品定制开发小组、应用安全集成小组以及项目测试联调小组六个小组组成。在项目总体建设规划与实施计划方案下，负责工程实施。</w:t>
      </w:r>
    </w:p>
    <w:p>
      <w:pPr>
        <w:ind w:firstLine="420"/>
      </w:pPr>
      <w:r>
        <w:rPr>
          <w:rFonts w:hint="eastAsia"/>
        </w:rPr>
        <w:t>主要职责是：</w:t>
      </w:r>
    </w:p>
    <w:p>
      <w:pPr>
        <w:numPr>
          <w:ilvl w:val="0"/>
          <w:numId w:val="112"/>
        </w:numPr>
        <w:ind w:left="0" w:firstLine="420"/>
      </w:pPr>
      <w:r>
        <w:rPr>
          <w:rFonts w:hint="eastAsia"/>
        </w:rPr>
        <w:t>负责进行项目工程需求调研，并对技术方案进行论证，然后形成实操层面的项目实施方案；</w:t>
      </w:r>
    </w:p>
    <w:p>
      <w:pPr>
        <w:numPr>
          <w:ilvl w:val="0"/>
          <w:numId w:val="112"/>
        </w:numPr>
        <w:ind w:left="0" w:firstLine="420"/>
      </w:pPr>
      <w:r>
        <w:rPr>
          <w:rFonts w:hint="eastAsia"/>
        </w:rPr>
        <w:t>配合客户完成现场环境准备工作；</w:t>
      </w:r>
    </w:p>
    <w:p>
      <w:pPr>
        <w:numPr>
          <w:ilvl w:val="0"/>
          <w:numId w:val="112"/>
        </w:numPr>
        <w:ind w:left="0" w:firstLine="420"/>
      </w:pPr>
      <w:r>
        <w:rPr>
          <w:rFonts w:hint="eastAsia"/>
        </w:rPr>
        <w:t>配合客户完成设备的到货验收；</w:t>
      </w:r>
    </w:p>
    <w:p>
      <w:pPr>
        <w:numPr>
          <w:ilvl w:val="0"/>
          <w:numId w:val="112"/>
        </w:numPr>
        <w:ind w:left="0" w:firstLine="420"/>
      </w:pPr>
      <w:r>
        <w:rPr>
          <w:rFonts w:hint="eastAsia"/>
        </w:rPr>
        <w:t>在工程实施前，负责督促和检查机房环境建设；</w:t>
      </w:r>
    </w:p>
    <w:p>
      <w:pPr>
        <w:numPr>
          <w:ilvl w:val="0"/>
          <w:numId w:val="112"/>
        </w:numPr>
        <w:ind w:left="0" w:firstLine="420"/>
      </w:pPr>
      <w:r>
        <w:rPr>
          <w:rFonts w:hint="eastAsia"/>
        </w:rPr>
        <w:t>根据客户需求完成相应的软件定制开发；</w:t>
      </w:r>
    </w:p>
    <w:p>
      <w:pPr>
        <w:numPr>
          <w:ilvl w:val="0"/>
          <w:numId w:val="112"/>
        </w:numPr>
        <w:ind w:left="0" w:firstLine="420"/>
      </w:pPr>
      <w:r>
        <w:rPr>
          <w:rFonts w:hint="eastAsia"/>
        </w:rPr>
        <w:t>完成本期项目合同指定的软件系统、设备的安装、网络联调等内容；</w:t>
      </w:r>
    </w:p>
    <w:p>
      <w:pPr>
        <w:numPr>
          <w:ilvl w:val="0"/>
          <w:numId w:val="112"/>
        </w:numPr>
        <w:ind w:left="0" w:firstLine="420"/>
      </w:pPr>
      <w:r>
        <w:rPr>
          <w:rFonts w:hint="eastAsia"/>
        </w:rPr>
        <w:t>完成合同要求的应用系统安全功能实现。</w:t>
      </w:r>
    </w:p>
    <w:p>
      <w:pPr>
        <w:ind w:firstLine="420"/>
      </w:pPr>
      <w:r>
        <w:rPr>
          <w:rFonts w:hint="eastAsia"/>
        </w:rPr>
        <w:t>培训组：培训是对用户进行技术转移的主要手段之一，用户是否能够真正地使用好这一系统、真正地掌握这些相关技术取决于培训的质量。本系统由于规模较大，故培训工作量也较大，因此成立相关的培训管理组负责培训计划制定，实施，及培训事宜安排等。</w:t>
      </w:r>
    </w:p>
    <w:p>
      <w:pPr>
        <w:ind w:firstLine="420"/>
      </w:pPr>
      <w:r>
        <w:rPr>
          <w:rFonts w:hint="eastAsia"/>
        </w:rPr>
        <w:t>主要职责如下：</w:t>
      </w:r>
    </w:p>
    <w:p>
      <w:pPr>
        <w:numPr>
          <w:ilvl w:val="0"/>
          <w:numId w:val="112"/>
        </w:numPr>
        <w:ind w:left="0" w:firstLine="420"/>
      </w:pPr>
      <w:r>
        <w:rPr>
          <w:rFonts w:hint="eastAsia"/>
        </w:rPr>
        <w:t>准备培训计划；</w:t>
      </w:r>
    </w:p>
    <w:p>
      <w:pPr>
        <w:numPr>
          <w:ilvl w:val="0"/>
          <w:numId w:val="112"/>
        </w:numPr>
        <w:ind w:left="0" w:firstLine="420"/>
      </w:pPr>
      <w:r>
        <w:rPr>
          <w:rFonts w:hint="eastAsia"/>
        </w:rPr>
        <w:t>负责培训计划的实施：包括准备培训环境和教材；预定培训教师；所有硬件、系统软件等的安装以及培训用户的食宿安排等；</w:t>
      </w:r>
    </w:p>
    <w:p>
      <w:pPr>
        <w:numPr>
          <w:ilvl w:val="0"/>
          <w:numId w:val="112"/>
        </w:numPr>
        <w:ind w:left="0" w:firstLine="420"/>
      </w:pPr>
      <w:r>
        <w:rPr>
          <w:rFonts w:hint="eastAsia"/>
        </w:rPr>
        <w:t>收集和评估听课人对课程质量的反馈意见。</w:t>
      </w:r>
    </w:p>
    <w:p>
      <w:pPr>
        <w:ind w:firstLine="420"/>
      </w:pPr>
      <w:r>
        <w:rPr>
          <w:rFonts w:hint="eastAsia"/>
        </w:rPr>
        <w:t>驻场运维小组：我方将委派资深技术专家、培训专员与项目经理一起组成专职技术支持小组，面向客户方提供贴心技术支持服务。其主要职责如下：</w:t>
      </w:r>
    </w:p>
    <w:p>
      <w:pPr>
        <w:numPr>
          <w:ilvl w:val="0"/>
          <w:numId w:val="112"/>
        </w:numPr>
        <w:ind w:left="0" w:firstLine="420"/>
      </w:pPr>
      <w:r>
        <w:rPr>
          <w:rFonts w:hint="eastAsia"/>
        </w:rPr>
        <w:t>负责对参与项目实施的各方技术人员进行产品、技术培训；</w:t>
      </w:r>
    </w:p>
    <w:p>
      <w:pPr>
        <w:numPr>
          <w:ilvl w:val="0"/>
          <w:numId w:val="112"/>
        </w:numPr>
        <w:ind w:left="0" w:firstLine="420"/>
      </w:pPr>
      <w:r>
        <w:rPr>
          <w:rFonts w:hint="eastAsia"/>
        </w:rPr>
        <w:t>提供项目巡检支持工作；</w:t>
      </w:r>
    </w:p>
    <w:p>
      <w:pPr>
        <w:numPr>
          <w:ilvl w:val="0"/>
          <w:numId w:val="112"/>
        </w:numPr>
        <w:ind w:left="0" w:firstLine="420"/>
      </w:pPr>
      <w:r>
        <w:rPr>
          <w:rFonts w:hint="eastAsia"/>
        </w:rPr>
        <w:t>对工程实施过程中出现的疑难问题提供技术支持；</w:t>
      </w:r>
    </w:p>
    <w:p>
      <w:pPr>
        <w:numPr>
          <w:ilvl w:val="0"/>
          <w:numId w:val="112"/>
        </w:numPr>
        <w:ind w:left="0" w:firstLine="420"/>
      </w:pPr>
      <w:r>
        <w:rPr>
          <w:rFonts w:hint="eastAsia"/>
        </w:rPr>
        <w:t>对客户需求进行及时响应并提供相应支持与服务；</w:t>
      </w:r>
    </w:p>
    <w:p>
      <w:pPr>
        <w:numPr>
          <w:ilvl w:val="0"/>
          <w:numId w:val="112"/>
        </w:numPr>
        <w:ind w:left="0" w:firstLine="420"/>
      </w:pPr>
      <w:r>
        <w:rPr>
          <w:rFonts w:hint="eastAsia"/>
        </w:rPr>
        <w:t>负责所有产品的技术咨询、电话服务、传真服务、疑难故障现场排除与维护等。</w:t>
      </w:r>
    </w:p>
    <w:p>
      <w:pPr>
        <w:ind w:firstLine="420"/>
      </w:pPr>
      <w:r>
        <w:rPr>
          <w:rFonts w:hint="eastAsia"/>
        </w:rPr>
        <w:t>文档管理组：针对项目实施过程技术文档以及项目后期的运营管理体系的规范和制度进行整理、编写。</w:t>
      </w:r>
    </w:p>
    <w:p>
      <w:pPr>
        <w:ind w:firstLine="420"/>
      </w:pPr>
      <w:r>
        <w:rPr>
          <w:rFonts w:hint="eastAsia"/>
        </w:rPr>
        <w:t>其主要职责如下：</w:t>
      </w:r>
    </w:p>
    <w:p>
      <w:pPr>
        <w:numPr>
          <w:ilvl w:val="0"/>
          <w:numId w:val="112"/>
        </w:numPr>
        <w:ind w:left="0" w:firstLine="420"/>
      </w:pPr>
      <w:r>
        <w:rPr>
          <w:rFonts w:hint="eastAsia"/>
        </w:rPr>
        <w:t>根据项目需要参与整理、编写各类技术文档；</w:t>
      </w:r>
    </w:p>
    <w:p>
      <w:pPr>
        <w:numPr>
          <w:ilvl w:val="0"/>
          <w:numId w:val="112"/>
        </w:numPr>
        <w:ind w:left="0" w:firstLine="420"/>
      </w:pPr>
      <w:r>
        <w:rPr>
          <w:rFonts w:hint="eastAsia"/>
        </w:rPr>
        <w:t>参与运营管理体系的规范和制度进行整理、编写；</w:t>
      </w:r>
    </w:p>
    <w:p>
      <w:pPr>
        <w:numPr>
          <w:ilvl w:val="0"/>
          <w:numId w:val="112"/>
        </w:numPr>
        <w:ind w:left="0" w:firstLine="420"/>
      </w:pPr>
      <w:r>
        <w:rPr>
          <w:rFonts w:hint="eastAsia"/>
        </w:rPr>
        <w:t>接收、保存各种内部文档（包括书面文档和电子文档）；</w:t>
      </w:r>
    </w:p>
    <w:p>
      <w:pPr>
        <w:numPr>
          <w:ilvl w:val="0"/>
          <w:numId w:val="112"/>
        </w:numPr>
        <w:ind w:left="0" w:firstLine="420"/>
      </w:pPr>
      <w:r>
        <w:rPr>
          <w:rFonts w:hint="eastAsia"/>
        </w:rPr>
        <w:t>当项目组成员需要借阅有关文档时，负责按照完善的借阅手续提供文档。</w:t>
      </w:r>
    </w:p>
    <w:p>
      <w:pPr>
        <w:numPr>
          <w:ilvl w:val="0"/>
          <w:numId w:val="112"/>
        </w:numPr>
        <w:ind w:left="0" w:firstLine="420"/>
      </w:pPr>
      <w:r>
        <w:rPr>
          <w:rFonts w:hint="eastAsia"/>
        </w:rPr>
        <w:t>有责任在接收文档时或应我方项目管理组要求检查文档的规范性时，对不规范的文档可以拒绝接收。</w:t>
      </w:r>
    </w:p>
    <w:p>
      <w:pPr>
        <w:numPr>
          <w:ilvl w:val="0"/>
          <w:numId w:val="112"/>
        </w:numPr>
        <w:ind w:left="0" w:firstLine="420"/>
      </w:pPr>
      <w:r>
        <w:rPr>
          <w:rFonts w:hint="eastAsia"/>
        </w:rPr>
        <w:t>管理各种外部文档，如设备厂商提供的资料和文档，必要时对外部文档进行编号。</w:t>
      </w:r>
    </w:p>
    <w:p>
      <w:pPr>
        <w:numPr>
          <w:ilvl w:val="0"/>
          <w:numId w:val="112"/>
        </w:numPr>
        <w:ind w:left="0" w:firstLine="420"/>
      </w:pPr>
      <w:r>
        <w:rPr>
          <w:rFonts w:hint="eastAsia"/>
        </w:rPr>
        <w:t>工程数据库的使用，数据录入、查询，向项目组成员提供有关信息。</w:t>
      </w:r>
    </w:p>
    <w:p>
      <w:pPr>
        <w:ind w:firstLine="420"/>
      </w:pPr>
      <w:r>
        <w:rPr>
          <w:rFonts w:hint="eastAsia"/>
        </w:rPr>
        <w:t>质量控制组：质量控制组为工程质量保证组织，直接向项目经理负责，提供质量控制过程文件与报告文档。</w:t>
      </w:r>
    </w:p>
    <w:p>
      <w:pPr>
        <w:ind w:firstLine="420"/>
      </w:pPr>
      <w:r>
        <w:rPr>
          <w:rFonts w:hint="eastAsia"/>
        </w:rPr>
        <w:t>其主要职责为：</w:t>
      </w:r>
    </w:p>
    <w:p>
      <w:pPr>
        <w:numPr>
          <w:ilvl w:val="0"/>
          <w:numId w:val="112"/>
        </w:numPr>
        <w:ind w:left="0" w:firstLine="420"/>
      </w:pPr>
      <w:r>
        <w:rPr>
          <w:rFonts w:hint="eastAsia"/>
        </w:rPr>
        <w:t>依据项目实施计划制定相应的</w:t>
      </w:r>
      <w:r>
        <w:fldChar w:fldCharType="begin"/>
      </w:r>
      <w:r>
        <w:instrText xml:space="preserve"> HYPERLINK "https://www.baidu.com/s?wd=%E9%A1%B9%E7%9B%AE%E8%B4%A8%E9%87%8F%E8%AE%A1%E5%88%92&amp;tn=44039180_cpr&amp;fenlei=mv6quAkxTZn0IZRqIHckPjm4nH00T1YLmhcLPHuBm1m4nvm3nH-W0ZwV5Hcvrjm3rH6sPfKWUMw85HfYnjn4nH6sgvPsT6KdThsqpZwYTjCEQLGCpyw9Uz4Bmy-bIi4WUvYETgN-TLwGUv3EnHb3rj0sPW6znWfkrjm4njcvPs" </w:instrText>
      </w:r>
      <w:r>
        <w:fldChar w:fldCharType="separate"/>
      </w:r>
      <w:r>
        <w:rPr>
          <w:rFonts w:hint="eastAsia"/>
        </w:rPr>
        <w:t>项目质量目标及质量计划</w:t>
      </w:r>
      <w:r>
        <w:rPr>
          <w:rFonts w:hint="eastAsia"/>
        </w:rPr>
        <w:fldChar w:fldCharType="end"/>
      </w:r>
      <w:r>
        <w:rPr>
          <w:rFonts w:hint="eastAsia"/>
        </w:rPr>
        <w:t>；</w:t>
      </w:r>
    </w:p>
    <w:p>
      <w:pPr>
        <w:numPr>
          <w:ilvl w:val="0"/>
          <w:numId w:val="112"/>
        </w:numPr>
        <w:ind w:left="0" w:firstLine="420"/>
      </w:pPr>
      <w:r>
        <w:rPr>
          <w:rFonts w:hint="eastAsia"/>
        </w:rPr>
        <w:t>根据项目质量计划和项目质量工作说明，分析和设计项目质量控制的具体标准。</w:t>
      </w:r>
    </w:p>
    <w:p>
      <w:pPr>
        <w:numPr>
          <w:ilvl w:val="0"/>
          <w:numId w:val="112"/>
        </w:numPr>
        <w:ind w:left="0" w:firstLine="420"/>
      </w:pPr>
      <w:r>
        <w:rPr>
          <w:rFonts w:hint="eastAsia"/>
        </w:rPr>
        <w:t>按照质量目标、质量计划及质量标准，组成审核组，对工程进行定期或不定期的不同规格的审核，将项目质量实际情况与项目的质量目标和质量计划进行对照、检查，从而发现项目质量问题，并采取项目质量纠偏措施，及时发现质量问题，及时解决，使项目质量保持在受控状态，并向领导决策组提交审核报告；</w:t>
      </w:r>
    </w:p>
    <w:p>
      <w:pPr>
        <w:numPr>
          <w:ilvl w:val="0"/>
          <w:numId w:val="112"/>
        </w:numPr>
        <w:ind w:left="0" w:firstLine="420"/>
      </w:pPr>
      <w:r>
        <w:rPr>
          <w:rFonts w:hint="eastAsia"/>
        </w:rPr>
        <w:t>定期或不定期召集质量管理组会议，商讨工程实施中的质量问题，听取小组成员对当前质量状态的观点及质量监督工作的建议，提交会议纪要给领导决策组；</w:t>
      </w:r>
    </w:p>
    <w:p>
      <w:pPr>
        <w:numPr>
          <w:ilvl w:val="0"/>
          <w:numId w:val="112"/>
        </w:numPr>
        <w:ind w:left="0" w:firstLine="420"/>
      </w:pPr>
      <w:r>
        <w:rPr>
          <w:rFonts w:hint="eastAsia"/>
        </w:rPr>
        <w:t>及时向领导决策组反映质量问题，向项目实施组提出改进质量的建议与计划。</w:t>
      </w:r>
    </w:p>
    <w:p>
      <w:pPr>
        <w:ind w:firstLine="420"/>
      </w:pPr>
      <w:r>
        <w:rPr>
          <w:rFonts w:hint="eastAsia"/>
        </w:rPr>
        <w:t>项目技术咨询组：由我方资深技术专家以及客户方专家组成，针对项目建设方案、项目实施、安全应用集成等多个技术层面进行技术论证并提出专业意见，在项目后续项目推广过程中的技术方向、推广方案、项目运维等方面提供专家咨询服务。</w:t>
      </w:r>
    </w:p>
    <w:p>
      <w:pPr>
        <w:pStyle w:val="6"/>
        <w:ind w:firstLine="420"/>
      </w:pPr>
      <w:bookmarkStart w:id="29" w:name="_Toc23590"/>
      <w:r>
        <w:rPr>
          <w:rFonts w:hint="eastAsia"/>
        </w:rPr>
        <w:t>实施管理</w:t>
      </w:r>
      <w:bookmarkEnd w:id="29"/>
    </w:p>
    <w:p>
      <w:pPr>
        <w:ind w:firstLine="420"/>
      </w:pPr>
      <w:r>
        <w:rPr>
          <w:rFonts w:hint="eastAsia"/>
        </w:rPr>
        <w:t>我公司承诺所提供的全部设备是全新、未使用过的原装合格正品。保证设备技术指标先进、质量可靠，进货渠道正常，无劣质产品，配置合理，设备制造所用材料和辅材均用优质材料并符合我国有关标准，保证产品质量和客户利益。</w:t>
      </w:r>
    </w:p>
    <w:p>
      <w:pPr>
        <w:ind w:firstLine="420"/>
      </w:pPr>
      <w:r>
        <w:rPr>
          <w:rFonts w:hint="eastAsia"/>
        </w:rPr>
        <w:t>我公司承诺的供货期为：自合同签订之日起60天，完成供货、安装、调试，具备运行能力。</w:t>
      </w:r>
    </w:p>
    <w:p>
      <w:pPr>
        <w:ind w:firstLine="420"/>
      </w:pPr>
      <w:r>
        <w:rPr>
          <w:rFonts w:hint="eastAsia"/>
        </w:rPr>
        <w:t>供货交货地点：甲方指定地点。</w:t>
      </w:r>
    </w:p>
    <w:p>
      <w:pPr>
        <w:pStyle w:val="7"/>
        <w:ind w:firstLine="420"/>
      </w:pPr>
      <w:r>
        <w:rPr>
          <w:rFonts w:hint="eastAsia"/>
        </w:rPr>
        <w:t>产品运输</w:t>
      </w:r>
    </w:p>
    <w:p>
      <w:pPr>
        <w:pStyle w:val="8"/>
        <w:ind w:firstLine="420"/>
      </w:pPr>
      <w:bookmarkStart w:id="30" w:name="_Toc7588"/>
      <w:bookmarkStart w:id="31" w:name="_Toc9475"/>
      <w:bookmarkStart w:id="32" w:name="_Toc15839"/>
      <w:bookmarkStart w:id="33" w:name="_Toc146272761"/>
      <w:bookmarkStart w:id="34" w:name="_Toc28248"/>
      <w:bookmarkStart w:id="35" w:name="_Toc79328151"/>
      <w:bookmarkStart w:id="36" w:name="_Toc14527"/>
      <w:bookmarkStart w:id="37" w:name="_Toc23242"/>
      <w:bookmarkStart w:id="38" w:name="_Toc18252"/>
      <w:bookmarkStart w:id="39" w:name="_Toc18408"/>
      <w:bookmarkStart w:id="40" w:name="_Toc108711142"/>
      <w:bookmarkStart w:id="41" w:name="_Toc31226"/>
      <w:r>
        <w:rPr>
          <w:rFonts w:hint="eastAsia"/>
        </w:rPr>
        <w:t>供货财力保证</w:t>
      </w:r>
      <w:bookmarkEnd w:id="30"/>
      <w:bookmarkEnd w:id="31"/>
      <w:bookmarkEnd w:id="32"/>
      <w:bookmarkEnd w:id="33"/>
      <w:bookmarkEnd w:id="34"/>
      <w:bookmarkEnd w:id="35"/>
      <w:bookmarkEnd w:id="36"/>
      <w:bookmarkEnd w:id="37"/>
      <w:bookmarkEnd w:id="38"/>
      <w:bookmarkEnd w:id="39"/>
      <w:bookmarkEnd w:id="40"/>
      <w:bookmarkEnd w:id="41"/>
    </w:p>
    <w:p>
      <w:pPr>
        <w:ind w:firstLine="420"/>
      </w:pPr>
      <w:r>
        <w:rPr>
          <w:rFonts w:hint="eastAsia"/>
        </w:rPr>
        <w:t>按照公司规定，根据每个项目特性，自项目合同签订之日起，成立项目专项资金，专项资金根据合同投标前预估成本核算，并追加10%的浮动空间。配备专项设备采购员，负责与产品生产厂商沟通，确认订货周期，签订订货合同，支付订货货款，保证设备及时到货。为保证项目实施的顺利进行，我公司杜绝发生因资金周转不灵导致供货延时的状况发生。我公司成立至今，严格遵循这一准则。</w:t>
      </w:r>
    </w:p>
    <w:p>
      <w:pPr>
        <w:pStyle w:val="8"/>
        <w:ind w:firstLine="420"/>
      </w:pPr>
      <w:bookmarkStart w:id="42" w:name="_Toc16875"/>
      <w:bookmarkStart w:id="43" w:name="_Toc12075"/>
      <w:bookmarkStart w:id="44" w:name="_Toc22611"/>
      <w:bookmarkStart w:id="45" w:name="_Toc22686"/>
      <w:bookmarkStart w:id="46" w:name="_Toc9268"/>
      <w:bookmarkStart w:id="47" w:name="_Toc108711143"/>
      <w:bookmarkStart w:id="48" w:name="_Toc146272762"/>
      <w:bookmarkStart w:id="49" w:name="_Toc30808"/>
      <w:bookmarkStart w:id="50" w:name="_Toc83"/>
      <w:r>
        <w:rPr>
          <w:rFonts w:hint="eastAsia"/>
        </w:rPr>
        <w:t>产品包装</w:t>
      </w:r>
      <w:bookmarkEnd w:id="42"/>
      <w:bookmarkEnd w:id="43"/>
      <w:bookmarkEnd w:id="44"/>
      <w:bookmarkEnd w:id="45"/>
      <w:bookmarkEnd w:id="46"/>
      <w:bookmarkEnd w:id="47"/>
      <w:bookmarkEnd w:id="48"/>
      <w:bookmarkEnd w:id="49"/>
      <w:bookmarkEnd w:id="50"/>
    </w:p>
    <w:p>
      <w:pPr>
        <w:ind w:firstLine="420"/>
      </w:pPr>
      <w:r>
        <w:rPr>
          <w:rFonts w:hint="eastAsia"/>
        </w:rPr>
        <w:t>为了确保产品包装的品质，产品均依据此要求进行包装。</w:t>
      </w:r>
    </w:p>
    <w:p>
      <w:pPr>
        <w:ind w:firstLine="420"/>
      </w:pPr>
      <w:r>
        <w:rPr>
          <w:rFonts w:hint="eastAsia"/>
        </w:rPr>
        <w:t>硬件产品，包装非常规产品，使用平面纸板或适当纸箱改装后进行包装，纸皮厚度足可以满足长途运输的要求；</w:t>
      </w:r>
    </w:p>
    <w:p>
      <w:pPr>
        <w:ind w:firstLine="420"/>
      </w:pPr>
      <w:r>
        <w:rPr>
          <w:rFonts w:hint="eastAsia"/>
        </w:rPr>
        <w:t>软件产品我公司采购厂家正版软件进行安装调试。</w:t>
      </w:r>
    </w:p>
    <w:p>
      <w:pPr>
        <w:pStyle w:val="8"/>
        <w:ind w:firstLine="420"/>
      </w:pPr>
      <w:bookmarkStart w:id="51" w:name="_Toc32532"/>
      <w:bookmarkStart w:id="52" w:name="_Toc79328152"/>
      <w:bookmarkStart w:id="53" w:name="_Toc11974"/>
      <w:bookmarkStart w:id="54" w:name="_Toc108711144"/>
      <w:bookmarkStart w:id="55" w:name="_Toc26521"/>
      <w:bookmarkStart w:id="56" w:name="_Toc9265"/>
      <w:bookmarkStart w:id="57" w:name="_Toc15946"/>
      <w:bookmarkStart w:id="58" w:name="_Toc18395"/>
      <w:bookmarkStart w:id="59" w:name="_Toc6781"/>
      <w:bookmarkStart w:id="60" w:name="_Toc30772"/>
      <w:bookmarkStart w:id="61" w:name="_Toc5656"/>
      <w:bookmarkStart w:id="62" w:name="_Toc146272763"/>
      <w:r>
        <w:rPr>
          <w:rFonts w:hint="eastAsia"/>
        </w:rPr>
        <w:t>设备运输</w:t>
      </w:r>
      <w:bookmarkEnd w:id="51"/>
      <w:bookmarkEnd w:id="52"/>
      <w:bookmarkEnd w:id="53"/>
      <w:bookmarkEnd w:id="54"/>
      <w:bookmarkEnd w:id="55"/>
      <w:bookmarkEnd w:id="56"/>
      <w:bookmarkEnd w:id="57"/>
      <w:bookmarkEnd w:id="58"/>
      <w:bookmarkEnd w:id="59"/>
      <w:bookmarkEnd w:id="60"/>
      <w:bookmarkEnd w:id="61"/>
      <w:bookmarkEnd w:id="62"/>
    </w:p>
    <w:p>
      <w:pPr>
        <w:ind w:firstLine="420"/>
      </w:pPr>
      <w:r>
        <w:rPr>
          <w:rFonts w:hint="eastAsia"/>
        </w:rPr>
        <w:t>我公司免费将合同设备运送到用户指定地点，设备运输方式根据设备特性来决定，选择运输风险小、运费低、距离短的运输路线，可汽运、航空等。</w:t>
      </w:r>
    </w:p>
    <w:p>
      <w:pPr>
        <w:pStyle w:val="8"/>
        <w:ind w:firstLine="420"/>
      </w:pPr>
      <w:bookmarkStart w:id="63" w:name="_Toc19716"/>
      <w:bookmarkStart w:id="64" w:name="_Toc146272764"/>
      <w:bookmarkStart w:id="65" w:name="_Toc2671"/>
      <w:bookmarkStart w:id="66" w:name="_Toc6359"/>
      <w:bookmarkStart w:id="67" w:name="_Toc12828"/>
      <w:bookmarkStart w:id="68" w:name="_Toc79328153"/>
      <w:bookmarkStart w:id="69" w:name="_Toc5231"/>
      <w:bookmarkStart w:id="70" w:name="_Toc30603"/>
      <w:bookmarkStart w:id="71" w:name="_Toc108711145"/>
      <w:bookmarkStart w:id="72" w:name="_Toc16723"/>
      <w:bookmarkStart w:id="73" w:name="_Toc11140"/>
      <w:bookmarkStart w:id="74" w:name="_Toc25872"/>
      <w:r>
        <w:rPr>
          <w:rFonts w:hint="eastAsia"/>
        </w:rPr>
        <w:t>设备</w:t>
      </w:r>
      <w:bookmarkEnd w:id="63"/>
      <w:r>
        <w:rPr>
          <w:rFonts w:hint="eastAsia"/>
        </w:rPr>
        <w:t>配送</w:t>
      </w:r>
      <w:bookmarkEnd w:id="64"/>
      <w:bookmarkEnd w:id="65"/>
      <w:bookmarkEnd w:id="66"/>
      <w:bookmarkEnd w:id="67"/>
      <w:bookmarkEnd w:id="68"/>
      <w:bookmarkEnd w:id="69"/>
      <w:bookmarkEnd w:id="70"/>
      <w:bookmarkEnd w:id="71"/>
      <w:bookmarkEnd w:id="72"/>
      <w:bookmarkEnd w:id="73"/>
      <w:bookmarkEnd w:id="74"/>
    </w:p>
    <w:p>
      <w:pPr>
        <w:ind w:firstLine="420"/>
      </w:pPr>
      <w:r>
        <w:rPr>
          <w:rFonts w:hint="eastAsia"/>
        </w:rPr>
        <w:t>设备采取防潮、防晒、防腐蚀、防震动及防止其它损坏的必要保护措施，防止设备在运输途中发生损坏。设备从厂家供货运送到我公司，待项目经理与用户方协调好设备派送时间后，将设备免费运送到用户方指定点。</w:t>
      </w:r>
    </w:p>
    <w:p>
      <w:pPr>
        <w:pStyle w:val="8"/>
        <w:ind w:firstLine="420"/>
      </w:pPr>
      <w:bookmarkStart w:id="75" w:name="_Toc4217"/>
      <w:bookmarkStart w:id="76" w:name="_Toc79328154"/>
      <w:bookmarkStart w:id="77" w:name="_Toc15204"/>
      <w:bookmarkStart w:id="78" w:name="_Toc7662"/>
      <w:bookmarkStart w:id="79" w:name="_Toc19894"/>
      <w:bookmarkStart w:id="80" w:name="_Toc4188"/>
      <w:bookmarkStart w:id="81" w:name="_Toc6285"/>
      <w:bookmarkStart w:id="82" w:name="_Toc108711146"/>
      <w:bookmarkStart w:id="83" w:name="_Toc21201"/>
      <w:bookmarkStart w:id="84" w:name="_Toc146272765"/>
      <w:bookmarkStart w:id="85" w:name="_Toc8224"/>
      <w:r>
        <w:rPr>
          <w:rFonts w:hint="eastAsia"/>
        </w:rPr>
        <w:t>设备开箱检验</w:t>
      </w:r>
      <w:bookmarkEnd w:id="75"/>
      <w:bookmarkEnd w:id="76"/>
      <w:bookmarkEnd w:id="77"/>
      <w:bookmarkEnd w:id="78"/>
      <w:bookmarkEnd w:id="79"/>
      <w:bookmarkEnd w:id="80"/>
      <w:bookmarkEnd w:id="81"/>
      <w:bookmarkEnd w:id="82"/>
      <w:bookmarkEnd w:id="83"/>
      <w:bookmarkEnd w:id="84"/>
      <w:bookmarkEnd w:id="85"/>
    </w:p>
    <w:p>
      <w:pPr>
        <w:ind w:firstLine="420"/>
      </w:pPr>
      <w:r>
        <w:rPr>
          <w:rFonts w:hint="eastAsia"/>
        </w:rPr>
        <w:t>设备到施工地，由我方组织人员在客户方监督的情况下进行开箱检验。在检验中如发现设备短缺或损坏，我方负责迅速采取措施补救。合格后签定《系统设备交货验收清单》。</w:t>
      </w:r>
    </w:p>
    <w:p>
      <w:pPr>
        <w:pStyle w:val="7"/>
        <w:ind w:firstLine="420"/>
      </w:pPr>
      <w:r>
        <w:rPr>
          <w:rFonts w:hint="eastAsia"/>
        </w:rPr>
        <w:t>产品安装</w:t>
      </w:r>
    </w:p>
    <w:p>
      <w:pPr>
        <w:ind w:firstLine="420"/>
        <w:rPr>
          <w:lang w:val="zh-CN"/>
        </w:rPr>
      </w:pPr>
      <w:r>
        <w:rPr>
          <w:rFonts w:hint="eastAsia"/>
          <w:lang w:val="zh-CN"/>
        </w:rPr>
        <w:t>在所有中标货物抵达项目地点后，由我司派出</w:t>
      </w:r>
      <w:r>
        <w:rPr>
          <w:rFonts w:hint="eastAsia"/>
        </w:rPr>
        <w:t>5</w:t>
      </w:r>
      <w:r>
        <w:rPr>
          <w:rFonts w:hint="eastAsia"/>
          <w:lang w:val="zh-CN"/>
        </w:rPr>
        <w:t>名技工、</w:t>
      </w:r>
      <w:r>
        <w:rPr>
          <w:rFonts w:hint="eastAsia"/>
        </w:rPr>
        <w:t>3</w:t>
      </w:r>
      <w:r>
        <w:rPr>
          <w:rFonts w:hint="eastAsia"/>
          <w:lang w:val="zh-CN"/>
        </w:rPr>
        <w:t>名工程师对货物进行现场安装；由项目的项目经理进行现场管理与监督。派出售后服务专员对现场安装情况进行记录（记录内容包括：安装货物数量、安装质量、零配件是否缺损、缺损数量、安装技术要点等）。</w:t>
      </w:r>
    </w:p>
    <w:p>
      <w:pPr>
        <w:ind w:firstLine="420"/>
        <w:rPr>
          <w:lang w:val="zh-CN"/>
        </w:rPr>
      </w:pPr>
      <w:r>
        <w:rPr>
          <w:rFonts w:hint="eastAsia"/>
          <w:lang w:val="zh-CN"/>
        </w:rPr>
        <w:t>由售后服务专员将整理好的《现场安装实况记录报告》，并交于项目经理，由项目经理组织技工、工程师、售后服务专员召开《安装总结会议》。对安装中出现的问题提出整改方案，并予以落实；对甲方因自身需要，需再次安装的，提供书面的安装技术指导。对安装所涉及的技术条件，我司将为甲方提供全面的相关图纸、文件，以便甲方使用之需。所有安装均为上门式、免费的、一条龙的安装服务。</w:t>
      </w:r>
    </w:p>
    <w:p>
      <w:pPr>
        <w:pStyle w:val="7"/>
        <w:ind w:firstLine="420"/>
      </w:pPr>
      <w:r>
        <w:rPr>
          <w:rFonts w:hint="eastAsia"/>
        </w:rPr>
        <w:t>产品调试</w:t>
      </w:r>
    </w:p>
    <w:p>
      <w:pPr>
        <w:ind w:firstLine="420"/>
      </w:pPr>
      <w:r>
        <w:rPr>
          <w:rFonts w:hint="eastAsia"/>
        </w:rPr>
        <w:t>我司提供中标产品出厂前合格的报告和记录。</w:t>
      </w:r>
    </w:p>
    <w:p>
      <w:pPr>
        <w:ind w:firstLine="420"/>
      </w:pPr>
      <w:r>
        <w:rPr>
          <w:rFonts w:hint="eastAsia"/>
        </w:rPr>
        <w:t>货物运至指定地点后，由我方负责进行安装、调试，最终要求达到文件规定的各项指标。在调试过程中如因设备质量问题或货物损坏导致经济损失，由我方承担相应责任。</w:t>
      </w:r>
    </w:p>
    <w:p>
      <w:pPr>
        <w:ind w:firstLine="420"/>
        <w:rPr>
          <w:lang w:val="zh-CN"/>
        </w:rPr>
      </w:pPr>
      <w:r>
        <w:rPr>
          <w:rFonts w:hint="eastAsia"/>
          <w:lang w:val="zh-CN"/>
        </w:rPr>
        <w:t>在中标货物现场安装完毕后，由我司派出</w:t>
      </w:r>
      <w:r>
        <w:rPr>
          <w:rFonts w:hint="eastAsia"/>
        </w:rPr>
        <w:t>5</w:t>
      </w:r>
      <w:r>
        <w:rPr>
          <w:rFonts w:hint="eastAsia"/>
          <w:lang w:val="zh-CN"/>
        </w:rPr>
        <w:t>名技工、</w:t>
      </w:r>
      <w:r>
        <w:rPr>
          <w:rFonts w:hint="eastAsia"/>
        </w:rPr>
        <w:t>3</w:t>
      </w:r>
      <w:r>
        <w:rPr>
          <w:rFonts w:hint="eastAsia"/>
          <w:lang w:val="zh-CN"/>
        </w:rPr>
        <w:t>名工程师对货物进行现场调试，并加以试运；由项目的项目经理进行现场管理与监督。由售后服务专员对现场调试情况进行记录（记录内容包括：调试步骤、调试方法、技术要点、注意事项等）。由售后服务专员将整理好的《现场调试实况记录报告》，并交于项目经理，由项目经理组织技工、工程师、售后服务专员召开《调试总结会议》。对调试中出现的问题提出整改方案，并予以落实；为对甲方进行的技术培训准备调试方面的技术资料。对调试所涉及的技术条件，我司将为甲方提供全面的相关图纸、文件，以便甲方使用之需。所有调试均在安装之后进行，服务方式与安装相同。</w:t>
      </w:r>
    </w:p>
    <w:p>
      <w:pPr>
        <w:ind w:firstLine="420"/>
        <w:rPr>
          <w:lang w:val="zh-CN"/>
        </w:rPr>
      </w:pPr>
      <w:r>
        <w:rPr>
          <w:rFonts w:hint="eastAsia"/>
          <w:lang w:val="zh-CN"/>
        </w:rPr>
        <w:t>在项目进行过程中，项目负责工程师应每天向项目经理书面汇报工程的实施进度（见《工程项目日报》），以便相关人员掌握工程实施情况。</w:t>
      </w:r>
    </w:p>
    <w:p>
      <w:pPr>
        <w:ind w:firstLine="420"/>
        <w:rPr>
          <w:lang w:val="zh-CN"/>
        </w:rPr>
      </w:pPr>
      <w:r>
        <w:rPr>
          <w:rFonts w:hint="eastAsia"/>
          <w:lang w:val="zh-CN"/>
        </w:rPr>
        <w:t>在项目实施过程中，若碰到由于甲方的原因导致项目无法进行的，则应第一时间汇报项目经理，同时跟甲方确认需多长时间才能够继续项目的实施，若是出差，时间跨度超过2天（不包括2天），则工程师可填报《项目停工报告》，在征得甲方同意后撤离现场，但必须保持与甲方的电话联系，待甲方问题解决后，尽快进场继续项目实施，重新进场必须填报《项目复工报告》。</w:t>
      </w:r>
    </w:p>
    <w:p>
      <w:pPr>
        <w:ind w:firstLine="420"/>
        <w:rPr>
          <w:lang w:val="zh-CN"/>
        </w:rPr>
      </w:pPr>
      <w:r>
        <w:rPr>
          <w:rFonts w:hint="eastAsia"/>
          <w:lang w:val="zh-CN"/>
        </w:rPr>
        <w:t>在现场调试过程中，遇见互连互通问题或设备无法正常工作的情况时首先要确认是否线路问题或是原有设备问题，有可能不是设备的问题，只是配置需要相应的调整，若是，则建议甲方进行妥善处理；若是我方的问题，应先排除配置方面原因，还应进行所有可能的尝试，仍无法解决时，应将此信息以报告的形式反馈给项目经理。</w:t>
      </w:r>
    </w:p>
    <w:p>
      <w:pPr>
        <w:pStyle w:val="5"/>
        <w:tabs>
          <w:tab w:val="left" w:pos="0"/>
        </w:tabs>
        <w:ind w:firstLine="480"/>
      </w:pPr>
      <w:bookmarkStart w:id="86" w:name="_Toc28660"/>
      <w:bookmarkStart w:id="87" w:name="_Toc19901"/>
      <w:r>
        <w:rPr>
          <w:rFonts w:hint="eastAsia"/>
        </w:rPr>
        <w:t>质量保障方案</w:t>
      </w:r>
      <w:bookmarkEnd w:id="86"/>
      <w:bookmarkEnd w:id="87"/>
    </w:p>
    <w:p>
      <w:pPr>
        <w:ind w:firstLine="420"/>
      </w:pPr>
      <w:r>
        <w:rPr>
          <w:rFonts w:hint="eastAsia"/>
        </w:rPr>
        <w:t>我公司提供的货物保证是具有合法来源、质量合格、节能环保指标达到国家相关标准、符合国家相关规定的产品，保证是全新、未使用过的、完整的、安全可靠的产品。提供产品必须并符合国家技术质量规范和招标文件规定的质量、规格、性能和技术规范等的要求。</w:t>
      </w:r>
    </w:p>
    <w:p>
      <w:pPr>
        <w:ind w:firstLine="420"/>
      </w:pPr>
      <w:r>
        <w:rPr>
          <w:rFonts w:hint="eastAsia"/>
        </w:rPr>
        <w:t>凡因货物本身或其相关事宜引起的责任事故均由我方承担货物或材料具备无合法来源、质量不合格、节能环保指标等达不到国家相关标准、不符合国家相关规定属于国家强制认证类产品而未提供有效证明材料、无检测报告、技术资料不齐全等条件之一的，采购方、监理单位有权拒绝该批货物验收，我方必须责无旁贷的在采购方要求时间内予以更换，所引起的费用或损失由我方承担。我方拒不更换的，按我方违约处理；情节严重者，校方有权单方解除合同并由我方向校方支付按照该项货物合同违约金。</w:t>
      </w:r>
    </w:p>
    <w:p>
      <w:pPr>
        <w:ind w:firstLine="420"/>
      </w:pPr>
      <w:r>
        <w:rPr>
          <w:rFonts w:hint="eastAsia"/>
        </w:rPr>
        <w:t>货物的合法来源：我方向校方提供有效证明材料。</w:t>
      </w:r>
    </w:p>
    <w:p>
      <w:pPr>
        <w:ind w:firstLine="420"/>
      </w:pPr>
      <w:r>
        <w:rPr>
          <w:rFonts w:hint="eastAsia"/>
        </w:rPr>
        <w:t>质量、节能、环保指标：由我方向校方提供权威机构出具的检测报告、检验报告、试验报告或货物制造商、生产商出具的产品出厂质量证明材料</w:t>
      </w:r>
    </w:p>
    <w:p>
      <w:pPr>
        <w:ind w:firstLine="420"/>
      </w:pPr>
      <w:r>
        <w:rPr>
          <w:rFonts w:hint="eastAsia"/>
        </w:rPr>
        <w:t>我方提供的货物经安装、正常运转和保养，在其使用寿命期内须具有符合质量要求和实现产品说明书的功能。在货物质量保证期之内，我方对由于设备、工艺或材料的缺陷而引起的任何不足或故障全权负责。</w:t>
      </w:r>
    </w:p>
    <w:p>
      <w:pPr>
        <w:ind w:firstLine="420"/>
      </w:pPr>
      <w:r>
        <w:rPr>
          <w:rFonts w:hint="eastAsia"/>
        </w:rPr>
        <w:t>我公司提供货物前按检验标准进行检测，公布自己检验结果或委托有资质的相关质检机构的检验结果，如发现货物的数量、质量、规格与合司不符；或者在质量保证期内，证实货物存在缺陷，包括潜在的缺陷或使用不符合要求的材料等。我方在收到通知后日内应免费维修或更换有缺陷的货物或部件。如果我方在收到通知后7日内没有弥补缺，采购方可采取必要的补救者施，但由此引发的风险和费用将由我方承担。</w:t>
      </w:r>
    </w:p>
    <w:p>
      <w:pPr>
        <w:ind w:firstLine="420"/>
      </w:pPr>
      <w:r>
        <w:rPr>
          <w:rFonts w:hint="eastAsia"/>
        </w:rPr>
        <w:t>合同项下货物免费保修期为因人为因素出现的故障不在免费保修范围内。</w:t>
      </w:r>
    </w:p>
    <w:p>
      <w:pPr>
        <w:ind w:firstLine="420"/>
      </w:pPr>
      <w:r>
        <w:rPr>
          <w:rFonts w:hint="eastAsia"/>
        </w:rPr>
        <w:t>1)在免费质保期内，其维护、维修服务不收取任何额外费用；</w:t>
      </w:r>
    </w:p>
    <w:p>
      <w:pPr>
        <w:ind w:firstLine="420"/>
      </w:pPr>
      <w:r>
        <w:rPr>
          <w:rFonts w:hint="eastAsia"/>
        </w:rPr>
        <w:t>2)在质量保证期内，我方为采购方提供免费保养，检查，清、修理、更换等服务；</w:t>
      </w:r>
    </w:p>
    <w:p>
      <w:pPr>
        <w:ind w:firstLine="420"/>
      </w:pPr>
      <w:r>
        <w:rPr>
          <w:rFonts w:hint="eastAsia"/>
        </w:rPr>
        <w:t>3)在免费质保期内，我方提供设备免费维修服务、提供7*24小时电话支持，接到一般故障通知后2小时上门服务，季度巡检服务。若需送回生产厂，我方承担往返费用。排除故障的期限不得超过8小时，否则采购方有权指定第二方维修，维修费用由我方承担</w:t>
      </w:r>
    </w:p>
    <w:p>
      <w:pPr>
        <w:ind w:firstLine="420"/>
      </w:pPr>
      <w:r>
        <w:rPr>
          <w:rFonts w:hint="eastAsia"/>
        </w:rPr>
        <w:t>4)合同款项结清前，对所供和进行系统检测，全面保养维护；</w:t>
      </w:r>
    </w:p>
    <w:p>
      <w:pPr>
        <w:ind w:firstLine="420"/>
      </w:pPr>
      <w:r>
        <w:rPr>
          <w:rFonts w:hint="eastAsia"/>
        </w:rPr>
        <w:t>5)对超过免费质保期的货物也进行终身维修，维修时只收部件成本费(免工时费)。</w:t>
      </w:r>
    </w:p>
    <w:p>
      <w:pPr>
        <w:pStyle w:val="6"/>
        <w:ind w:firstLine="420"/>
      </w:pPr>
      <w:bookmarkStart w:id="88" w:name="_Toc12235"/>
      <w:r>
        <w:rPr>
          <w:rFonts w:hint="eastAsia"/>
        </w:rPr>
        <w:t>质量方针</w:t>
      </w:r>
      <w:bookmarkEnd w:id="88"/>
    </w:p>
    <w:p>
      <w:pPr>
        <w:ind w:firstLine="420"/>
      </w:pPr>
      <w:r>
        <w:rPr>
          <w:rFonts w:hint="eastAsia"/>
        </w:rPr>
        <w:t>质量是“产品、过程或服务、满足规定或潜在要求（或需要）的特征的总和”，而对工程及施工方、业主方、设计方而言：产品就是经过几方合作完成的建筑物；过程就是从无到有的施工建造；服务就是为业主着想多快好省地完成施工任务使业主满意；规定指对工程质量的国家所制定的验收规范及标准。</w:t>
      </w:r>
    </w:p>
    <w:p>
      <w:pPr>
        <w:ind w:firstLine="420"/>
      </w:pPr>
      <w:r>
        <w:rPr>
          <w:rFonts w:hint="eastAsia"/>
        </w:rPr>
        <w:t>本工程将严格加强项目质量管理，规范管理工作程序，提高工程质量，从而达到我公司提出的质量目标、我公司提出的质量方针“质量第一，精益求精，规范施工，用户满意”不断地把最优秀的产品奉献于人类与社会。</w:t>
      </w:r>
    </w:p>
    <w:p>
      <w:pPr>
        <w:ind w:firstLine="420"/>
      </w:pPr>
      <w:r>
        <w:rPr>
          <w:rFonts w:hint="eastAsia"/>
        </w:rPr>
        <w:t>公司按ISO9002国际标准建立健全质量体系，配备充足的资源，按标准要求进行管理和监督。ISO9002全部要素是我们的行动准则，一次合格是我们的工作标准，精心组织、科学管理、优质高效是我们的手段，让用户满意是我们的最高目标。施工中，认真贯彻公司的质量方针，落实《质量手册》、《程序文件》和《技术交底》，实施全过程、全方位的管理，以确保该工程质量目标的实现。施工质量保证体系是确保工程施工质量的管理要素，而整个质量保证体系又可分为施工质量管理体系、施工质量控制体系两大部分。</w:t>
      </w:r>
    </w:p>
    <w:p>
      <w:pPr>
        <w:pStyle w:val="6"/>
        <w:ind w:firstLine="420"/>
      </w:pPr>
      <w:bookmarkStart w:id="89" w:name="_Toc29044"/>
      <w:r>
        <w:rPr>
          <w:rFonts w:hint="eastAsia"/>
        </w:rPr>
        <w:t>质量目标</w:t>
      </w:r>
      <w:bookmarkEnd w:id="89"/>
    </w:p>
    <w:p>
      <w:pPr>
        <w:ind w:firstLine="420"/>
      </w:pPr>
      <w:r>
        <w:rPr>
          <w:rFonts w:hint="eastAsia"/>
        </w:rPr>
        <w:t>施工质量管理体系是整个施工质量能加以控制的关键，而本工程质量的优劣对项目班子质量管理能力的最直接评价，同样质量管理体系设置的科学性对质量管理工作的开展起到决定性的作用。</w:t>
      </w:r>
    </w:p>
    <w:p>
      <w:pPr>
        <w:pStyle w:val="7"/>
        <w:ind w:firstLine="420"/>
      </w:pPr>
      <w:r>
        <w:rPr>
          <w:rFonts w:hint="eastAsia"/>
        </w:rPr>
        <w:t>施工质量管理组织</w:t>
      </w:r>
    </w:p>
    <w:p>
      <w:pPr>
        <w:ind w:firstLine="420"/>
      </w:pPr>
      <w:r>
        <w:rPr>
          <w:rFonts w:hint="eastAsia"/>
        </w:rPr>
        <w:t>施工质量的管理组织是确保工程质量的保证，其设置的合理、完善与否将直接关系到整个质量保证体系能否顺利地运转及操作，在本工程中，我们将以下的组织机构来全面地进行质量的管理及控制。</w:t>
      </w:r>
    </w:p>
    <w:p>
      <w:pPr>
        <w:pStyle w:val="7"/>
        <w:ind w:firstLine="420"/>
      </w:pPr>
      <w:r>
        <w:rPr>
          <w:rFonts w:hint="eastAsia"/>
        </w:rPr>
        <w:t>质量管理职责</w:t>
      </w:r>
    </w:p>
    <w:p>
      <w:pPr>
        <w:ind w:firstLine="420"/>
      </w:pPr>
      <w:r>
        <w:rPr>
          <w:rFonts w:hint="eastAsia"/>
        </w:rPr>
        <w:t>施工质量管理组织体系中最重要的是质量管理职责，职责明确，可责任到位，便于管理。</w:t>
      </w:r>
    </w:p>
    <w:p>
      <w:pPr>
        <w:ind w:firstLine="420"/>
      </w:pPr>
      <w:r>
        <w:rPr>
          <w:rFonts w:hint="eastAsia"/>
        </w:rPr>
        <w:t>项目负责人的质量职责：</w:t>
      </w:r>
    </w:p>
    <w:p>
      <w:pPr>
        <w:ind w:firstLine="420"/>
      </w:pPr>
      <w:r>
        <w:rPr>
          <w:rFonts w:hint="eastAsia"/>
        </w:rPr>
        <w:t>项目负责人作为项目的最高领导者，应对整个工程的质量全面负责，并在保证质量的前提下，平衡进度计划，经济效益等各项指标的完成，并督促项目所有管理人员树立质量第一的观念，确保质量保证计划的实施与落实。</w:t>
      </w:r>
    </w:p>
    <w:p>
      <w:pPr>
        <w:ind w:firstLine="420"/>
      </w:pPr>
      <w:r>
        <w:rPr>
          <w:rFonts w:hint="eastAsia"/>
        </w:rPr>
        <w:t>项目技术负责人的质量职责：</w:t>
      </w:r>
    </w:p>
    <w:p>
      <w:pPr>
        <w:ind w:firstLine="420"/>
      </w:pPr>
      <w:r>
        <w:rPr>
          <w:rFonts w:hint="eastAsia"/>
        </w:rPr>
        <w:t>技术负责人作为项目的质量控制及管理的执行者，应对整个工程的质量工作全面管理，从质保计划的编制到质保体系的设置、运转等，均由技术负责人负责。同时，作为技术负责人应组织编写各种方案，作业指导书，监督各施工管理人员质量职责的落实。</w:t>
      </w:r>
    </w:p>
    <w:p>
      <w:pPr>
        <w:ind w:firstLine="420"/>
      </w:pPr>
      <w:r>
        <w:rPr>
          <w:rFonts w:hint="eastAsia"/>
        </w:rPr>
        <w:t>质检人员的质量职责</w:t>
      </w:r>
    </w:p>
    <w:p>
      <w:pPr>
        <w:ind w:firstLine="420"/>
      </w:pPr>
      <w:r>
        <w:rPr>
          <w:rFonts w:hint="eastAsia"/>
        </w:rPr>
        <w:t>质检人员作为项目对工程质量进行全面检查的主要人员有相当的施工经验和吃苦耐劳的精神，在质量检查过程中有相当的预见性，提供准确而齐备的检查数据，对出现的质量隐患及时发出整改通知单，并监督整改以达到相应的质量要求，并对已成型的质量问题有独立的处理能力。</w:t>
      </w:r>
    </w:p>
    <w:p>
      <w:pPr>
        <w:ind w:firstLine="420"/>
      </w:pPr>
      <w:r>
        <w:rPr>
          <w:rFonts w:hint="eastAsia"/>
        </w:rPr>
        <w:t>施工工长的质量职责</w:t>
      </w:r>
    </w:p>
    <w:p>
      <w:pPr>
        <w:ind w:firstLine="420"/>
      </w:pPr>
      <w:r>
        <w:rPr>
          <w:rFonts w:hint="eastAsia"/>
        </w:rPr>
        <w:t>施工工长作为施工现场的直接指挥者，首先其自身应树立质量第一的观念，并在施工过程中随时对作业班组进行质量检查随时指出作业班组的不规范操作，质量达不到要求的施工内容，并督促整改。施工工长亦是各分项施工方案，作业指导书的主要编制者，并做好技术交底工作。</w:t>
      </w:r>
    </w:p>
    <w:p>
      <w:pPr>
        <w:ind w:firstLine="420"/>
      </w:pPr>
      <w:r>
        <w:rPr>
          <w:rFonts w:hint="eastAsia"/>
        </w:rPr>
        <w:t>3、施工质量管理体系</w:t>
      </w:r>
    </w:p>
    <w:p>
      <w:pPr>
        <w:ind w:firstLine="420"/>
      </w:pPr>
      <w:r>
        <w:rPr>
          <w:rFonts w:hint="eastAsia"/>
        </w:rPr>
        <w:t>施工质量管理体系的设置及运转均要围绕质量管理职责、质量控制来进行的，只要当职责明确、控制严格的前提下，才能使质量管理体系落到实处。本工程在管理过程中，将对这两个方面进行严格的控制。</w:t>
      </w:r>
    </w:p>
    <w:p>
      <w:pPr>
        <w:pStyle w:val="6"/>
        <w:ind w:firstLine="420"/>
      </w:pPr>
      <w:bookmarkStart w:id="90" w:name="_Toc4120"/>
      <w:r>
        <w:rPr>
          <w:rFonts w:hint="eastAsia"/>
        </w:rPr>
        <w:t>质量范围</w:t>
      </w:r>
      <w:bookmarkEnd w:id="90"/>
    </w:p>
    <w:p>
      <w:pPr>
        <w:ind w:firstLine="420"/>
      </w:pPr>
      <w:r>
        <w:rPr>
          <w:rFonts w:hint="eastAsia"/>
        </w:rPr>
        <w:t>质量保证体系是运用科学的管理模式，以质量为中心所制定的保证质量达到要求的循环系统，质量保证体系的设置可使施工过程中有法可依，但关键是在于运转正常，只有正常运转的质保体系，才能真正达到控制质量的目的。而质量保证体系的正常运作必须以质量控制体系来予以实现。</w:t>
      </w:r>
    </w:p>
    <w:p>
      <w:pPr>
        <w:pStyle w:val="7"/>
        <w:ind w:firstLine="420"/>
      </w:pPr>
      <w:r>
        <w:rPr>
          <w:rFonts w:hint="eastAsia"/>
        </w:rPr>
        <w:t>施工质量控制体系的设置</w:t>
      </w:r>
    </w:p>
    <w:p>
      <w:pPr>
        <w:ind w:firstLine="420"/>
      </w:pPr>
      <w:r>
        <w:rPr>
          <w:rFonts w:hint="eastAsia"/>
        </w:rPr>
        <w:t>施工质量控制体系是按科学的程序运转，其运转的基本方式是PDCA的循环管理活动，它是通过计划、实施、检查、处理四个阶段把经营和生产过程的质量有机地联系起来，而形成一个高效的体系来保证施工质量达到工程质量的保证。</w:t>
      </w:r>
    </w:p>
    <w:p>
      <w:pPr>
        <w:ind w:firstLine="420"/>
      </w:pPr>
      <w:r>
        <w:rPr>
          <w:rFonts w:hint="eastAsia"/>
        </w:rPr>
        <w:t>首先，以我们提出的质量目标为依据，编制相应的分项工程质量目标计划，这个分目标计划应使在项目参与管理的全体人员均熟悉了解，做到心中有数。</w:t>
      </w:r>
    </w:p>
    <w:p>
      <w:pPr>
        <w:ind w:firstLine="420"/>
      </w:pPr>
      <w:r>
        <w:rPr>
          <w:rFonts w:hint="eastAsia"/>
        </w:rPr>
        <w:t>其次，在目标计划制定后，各施工现场管理人员应编制相应的工作标准予以施工班组实施，在实施过程中，无论是施工工长还是质检人员均要加强检查，在检查中发现问题并及时解决，以使所有质量问题解决于施工之中，并同时对这些问题进行汇总，形成书面材料，以保证在今后或下次施工时不出现类似问题。</w:t>
      </w:r>
    </w:p>
    <w:p>
      <w:pPr>
        <w:ind w:firstLine="420"/>
      </w:pPr>
      <w:r>
        <w:rPr>
          <w:rFonts w:hint="eastAsia"/>
        </w:rPr>
        <w:t>最后，在实施完成后，对成型的建筑产品或分部工程分次成型产品进行全面检查，以发现问题、追查原因，对不同产生原因进行不同的处理方式，从人、物、方法、工艺、工序等方面进行讨论，并产生改进意见，再根据这些改进意见而使施工工序进入下次循环。</w:t>
      </w:r>
    </w:p>
    <w:p>
      <w:pPr>
        <w:pStyle w:val="7"/>
        <w:ind w:firstLine="420"/>
      </w:pPr>
      <w:r>
        <w:rPr>
          <w:rFonts w:hint="eastAsia"/>
        </w:rPr>
        <w:t>施工质量控制体系运转的保证</w:t>
      </w:r>
    </w:p>
    <w:p>
      <w:pPr>
        <w:ind w:firstLine="420"/>
      </w:pPr>
      <w:r>
        <w:rPr>
          <w:rFonts w:hint="eastAsia"/>
        </w:rPr>
        <w:t>（1）项目领导班子成员应充分重视施工质量控制体系的运转的正常，支持有关人员开展的围绕质保体系的各项活动。</w:t>
      </w:r>
    </w:p>
    <w:p>
      <w:pPr>
        <w:ind w:firstLine="420"/>
      </w:pPr>
      <w:r>
        <w:rPr>
          <w:rFonts w:hint="eastAsia"/>
        </w:rPr>
        <w:t>（2）配备强有力的质量检查管理人员，作为质保体系中的中坚力量。</w:t>
      </w:r>
    </w:p>
    <w:p>
      <w:pPr>
        <w:ind w:firstLine="420"/>
      </w:pPr>
      <w:r>
        <w:rPr>
          <w:rFonts w:hint="eastAsia"/>
        </w:rPr>
        <w:t>（3）提供必要的资金，添置必要的设备，以确保体系运转的物质基础。</w:t>
      </w:r>
    </w:p>
    <w:p>
      <w:pPr>
        <w:ind w:firstLine="420"/>
      </w:pPr>
      <w:r>
        <w:rPr>
          <w:rFonts w:hint="eastAsia"/>
        </w:rPr>
        <w:t>（4）制定强有力的措施、制度，以保证质保体系的运转。</w:t>
      </w:r>
    </w:p>
    <w:p>
      <w:pPr>
        <w:ind w:firstLine="420"/>
      </w:pPr>
      <w:r>
        <w:rPr>
          <w:rFonts w:hint="eastAsia"/>
        </w:rPr>
        <w:t>（5）每周召开一次质量分析会，以使在质保体系运转过程中发现的问题进行处理和解决。</w:t>
      </w:r>
    </w:p>
    <w:p>
      <w:pPr>
        <w:ind w:firstLine="420"/>
      </w:pPr>
      <w:r>
        <w:rPr>
          <w:rFonts w:hint="eastAsia"/>
        </w:rPr>
        <w:t>（6）开展全面质量管理活动，使本工程施工质量达到一个新的高度。</w:t>
      </w:r>
    </w:p>
    <w:p>
      <w:pPr>
        <w:pStyle w:val="7"/>
        <w:ind w:firstLine="420"/>
      </w:pPr>
      <w:r>
        <w:rPr>
          <w:rFonts w:hint="eastAsia"/>
        </w:rPr>
        <w:t>施工质量控制体系的落实</w:t>
      </w:r>
    </w:p>
    <w:p>
      <w:pPr>
        <w:ind w:firstLine="420"/>
      </w:pPr>
      <w:r>
        <w:rPr>
          <w:rFonts w:hint="eastAsia"/>
        </w:rPr>
        <w:t>施工质量控制体系主要是围绕“人、机、物、环、法”五大要素进行的，任何一个环节出了差错，则势必使施工的质量达不到相应的要求，故在质量保证计划中，对施工过程中的五大要素的质量保证措施必须予以明确地落实。</w:t>
      </w:r>
    </w:p>
    <w:p>
      <w:pPr>
        <w:pStyle w:val="6"/>
        <w:ind w:firstLine="420"/>
      </w:pPr>
      <w:bookmarkStart w:id="91" w:name="_Toc5053"/>
      <w:r>
        <w:rPr>
          <w:rFonts w:hint="eastAsia"/>
        </w:rPr>
        <w:t>质量保障组织和过程</w:t>
      </w:r>
      <w:bookmarkEnd w:id="91"/>
    </w:p>
    <w:p>
      <w:pPr>
        <w:pStyle w:val="7"/>
        <w:ind w:firstLine="420"/>
      </w:pPr>
      <w:r>
        <w:rPr>
          <w:rFonts w:hint="eastAsia"/>
        </w:rPr>
        <w:t>施工质量控制措施</w:t>
      </w:r>
    </w:p>
    <w:p>
      <w:pPr>
        <w:ind w:firstLine="420"/>
      </w:pPr>
      <w:r>
        <w:rPr>
          <w:rFonts w:hint="eastAsia"/>
        </w:rPr>
        <w:t>施工质量控制措施是施工质量控制体系的具体落实，其主要是对施工各阶段及施工中的各控制要素进行质量上的控制，从而达到施工质量目标的要求。</w:t>
      </w:r>
    </w:p>
    <w:p>
      <w:pPr>
        <w:pStyle w:val="8"/>
        <w:ind w:firstLine="420"/>
      </w:pPr>
      <w:r>
        <w:rPr>
          <w:rFonts w:hint="eastAsia"/>
        </w:rPr>
        <w:t>施工阶段性的质量控制措施</w:t>
      </w:r>
    </w:p>
    <w:p>
      <w:pPr>
        <w:ind w:firstLine="420"/>
      </w:pPr>
      <w:r>
        <w:rPr>
          <w:rFonts w:hint="eastAsia"/>
        </w:rPr>
        <w:t>施工阶段性的质量控制措施主要分为三个阶段，并通过这三阶段来对本工程各分部分项工程的施工进行有效的阶段性质质量控制。</w:t>
      </w:r>
    </w:p>
    <w:p>
      <w:pPr>
        <w:ind w:firstLine="420"/>
      </w:pPr>
      <w:r>
        <w:rPr>
          <w:rFonts w:hint="eastAsia"/>
        </w:rPr>
        <w:t>1、事前控制阶段</w:t>
      </w:r>
    </w:p>
    <w:p>
      <w:pPr>
        <w:ind w:firstLine="420"/>
      </w:pPr>
      <w:r>
        <w:rPr>
          <w:rFonts w:hint="eastAsia"/>
        </w:rPr>
        <w:t>事前控制是在正式施工活动开始前进行的质量控制，事前控制是向导。事前控制，主要是建立完善的质量保证体系，质量管理体系，编制《质量保证计划》，制定现场的各种管理制度，完善计量及质量检测技术和手段。对工程项目施工所需的原材料、半成品、构配件进行质量检查和控制，并编制相应的检验计划。</w:t>
      </w:r>
    </w:p>
    <w:p>
      <w:pPr>
        <w:ind w:firstLine="420"/>
      </w:pPr>
      <w:r>
        <w:rPr>
          <w:rFonts w:hint="eastAsia"/>
        </w:rPr>
        <w:t>进行设计交底，图纸会审等工作，并根据本工程特点确定施工流程、工艺及方法。对本工程将要采用的新技术、新结构、新工艺、新材料均要审核其技术审定书及运用范围。检查现场的测量标高，建筑物的定位线及高程水准点等。</w:t>
      </w:r>
    </w:p>
    <w:p>
      <w:pPr>
        <w:ind w:firstLine="420"/>
      </w:pPr>
      <w:r>
        <w:rPr>
          <w:rFonts w:hint="eastAsia"/>
        </w:rPr>
        <w:t>2、事中控制阶段</w:t>
      </w:r>
    </w:p>
    <w:p>
      <w:pPr>
        <w:ind w:firstLine="420"/>
      </w:pPr>
      <w:r>
        <w:rPr>
          <w:rFonts w:hint="eastAsia"/>
        </w:rPr>
        <w:t>事中控制是指在施工过程中进行的质量控制，是关键。主要有：</w:t>
      </w:r>
    </w:p>
    <w:p>
      <w:pPr>
        <w:ind w:firstLine="420"/>
      </w:pPr>
      <w:r>
        <w:rPr>
          <w:rFonts w:hint="eastAsia"/>
        </w:rPr>
        <w:t>完善工序质量控制，把影响工序质量的因素都纳入管理范围。及时检查和审核质量统计分析资料和质量控制图表，抓住影响质量的关键问题进行处理和解决。</w:t>
      </w:r>
    </w:p>
    <w:p>
      <w:pPr>
        <w:ind w:firstLine="420"/>
      </w:pPr>
      <w:r>
        <w:rPr>
          <w:rFonts w:hint="eastAsia"/>
        </w:rPr>
        <w:t>严格工序间交换检查，作好各项隐蔽验收工作，加强交检制度的落实，对达不到质量要求的前道工序决不交给下道工序施工，直至质量符合要求为止。</w:t>
      </w:r>
    </w:p>
    <w:p>
      <w:pPr>
        <w:ind w:firstLine="420"/>
      </w:pPr>
      <w:r>
        <w:rPr>
          <w:rFonts w:hint="eastAsia"/>
        </w:rPr>
        <w:t>对完成的分部分项工程，按相应的质量评定标准和办法进行检查、验收。审核设计变更和图纸修改。同时，如施工中出现特殊情况，隐蔽工程未经验收而擅自封闭，掩盖或使用无合格证的工程材料，或擅自变更替换工程材料等，主任工程师有权向项目负责人建议下达停工令。</w:t>
      </w:r>
    </w:p>
    <w:p>
      <w:pPr>
        <w:ind w:firstLine="420"/>
      </w:pPr>
      <w:r>
        <w:rPr>
          <w:rFonts w:hint="eastAsia"/>
        </w:rPr>
        <w:t>3、事后控制阶段</w:t>
      </w:r>
    </w:p>
    <w:p>
      <w:pPr>
        <w:ind w:firstLine="420"/>
      </w:pPr>
      <w:r>
        <w:rPr>
          <w:rFonts w:hint="eastAsia"/>
        </w:rPr>
        <w:t>事后控制是指对施工过的产品进行质量控制，是弥补。按规定的质量评定标准和办法，对完成的单位工程，单项工程进行检查验收。</w:t>
      </w:r>
    </w:p>
    <w:p>
      <w:pPr>
        <w:ind w:firstLine="420"/>
      </w:pPr>
      <w:r>
        <w:rPr>
          <w:rFonts w:hint="eastAsia"/>
        </w:rPr>
        <w:t>整理所有的技术资料，并编目、建档。</w:t>
      </w:r>
    </w:p>
    <w:p>
      <w:pPr>
        <w:ind w:firstLine="420"/>
      </w:pPr>
      <w:r>
        <w:rPr>
          <w:rFonts w:hint="eastAsia"/>
        </w:rPr>
        <w:t>在保修阶段，对本工程进行维修。</w:t>
      </w:r>
    </w:p>
    <w:p>
      <w:pPr>
        <w:pStyle w:val="8"/>
        <w:ind w:firstLine="420"/>
      </w:pPr>
      <w:r>
        <w:rPr>
          <w:rFonts w:hint="eastAsia"/>
        </w:rPr>
        <w:t>各施工要素的质量控制措施</w:t>
      </w:r>
    </w:p>
    <w:p>
      <w:pPr>
        <w:ind w:firstLine="420"/>
      </w:pPr>
      <w:r>
        <w:rPr>
          <w:rFonts w:hint="eastAsia"/>
        </w:rPr>
        <w:t>1、施工计划的质量控制</w:t>
      </w:r>
    </w:p>
    <w:p>
      <w:pPr>
        <w:ind w:firstLine="420"/>
      </w:pPr>
      <w:r>
        <w:rPr>
          <w:rFonts w:hint="eastAsia"/>
        </w:rPr>
        <w:t>作为施工单位在编制施工总进度计划、阶段性进度计划、月施工进度计划等控制计划时，应充分考虑人、财、物及任务量的平衡，合理安排施工工序和施工计划，合理配备各施工段上的操作人员，合理调拨原材料及各周转材料、施工机械，合理安排各工序的轮流作息时间，在确保工程安全及质量的前提下，充分发挥人的主观能动性，把工期抓上去。</w:t>
      </w:r>
    </w:p>
    <w:p>
      <w:pPr>
        <w:ind w:firstLine="420"/>
      </w:pPr>
      <w:r>
        <w:rPr>
          <w:rFonts w:hint="eastAsia"/>
        </w:rPr>
        <w:t>2、施工技术的质量控制措施</w:t>
      </w:r>
    </w:p>
    <w:p>
      <w:pPr>
        <w:ind w:firstLine="420"/>
      </w:pPr>
      <w:r>
        <w:rPr>
          <w:rFonts w:hint="eastAsia"/>
        </w:rPr>
        <w:t>施工技术的先进性、科学性、合理性决定了施工质量的优劣。发放图纸后，内业技术人员会同施工工长先对图纸进行深化、熟悉、了解，提出施工图纸中的问题、难点、错误，并在图纸会审及设计交底时予以解决。同时，根据设计图纸的要求，对在施工过程中，质量难以控制，或要采取相应的技术措施、新的施工工艺才能达到保证质量目的的内容进行摘录，并组织有关人员进行深入研究，编制相应的作业指导书，从而在技术上对此类问题进行质量上的保证，并在实施过程中予以改进。</w:t>
      </w:r>
    </w:p>
    <w:p>
      <w:pPr>
        <w:ind w:firstLine="420"/>
      </w:pPr>
      <w:r>
        <w:rPr>
          <w:rFonts w:hint="eastAsia"/>
        </w:rPr>
        <w:t>施工工长在熟悉图纸、施工方案或作业指导书的前提下，合理地安排施工工序、劳动力，并向操作人员作好相应的技术交底工作，落实质量保证计划、质量目标计划，特别是对一些施工难点、特殊点，更应落实至班组每一个人，而且应让他们了解本此交底的施工流程、施工进度、图纸要求、质量控制标准，以便操作人员心里有数，从而保证操作中按要求施工，杜绝质量问题的出现。</w:t>
      </w:r>
    </w:p>
    <w:p>
      <w:pPr>
        <w:ind w:firstLine="420"/>
      </w:pPr>
      <w:r>
        <w:rPr>
          <w:rFonts w:hint="eastAsia"/>
        </w:rPr>
        <w:t>在本工程施工过程中将采用二级交底模式进行技术交底。</w:t>
      </w:r>
    </w:p>
    <w:p>
      <w:pPr>
        <w:ind w:firstLine="420"/>
      </w:pPr>
      <w:r>
        <w:rPr>
          <w:rFonts w:hint="eastAsia"/>
        </w:rPr>
        <w:t>第一级为项目技术负责人，根据经审批后的施工组织设计、施工方案、作业指导书，对本工程的施工流程、进度安排、质量要求以及主要施工工艺等向项目全体施工管理人员，特别是施工工长、质检人员进行交底。第二级为施工工长向班组进行分项专业工种的技术交底。</w:t>
      </w:r>
    </w:p>
    <w:p>
      <w:pPr>
        <w:ind w:firstLine="420"/>
      </w:pPr>
      <w:r>
        <w:rPr>
          <w:rFonts w:hint="eastAsia"/>
        </w:rPr>
        <w:t>3、施工操作中的质量控制措施</w:t>
      </w:r>
    </w:p>
    <w:p>
      <w:pPr>
        <w:ind w:firstLine="420"/>
      </w:pPr>
      <w:r>
        <w:rPr>
          <w:rFonts w:hint="eastAsia"/>
        </w:rPr>
        <w:t>施工操作人员是工程质量的直接责任者，故从施工操作人员自身的素质以及对他们的管理均要有严格的要求，对操作人员加强质量意识的同时，加强管理，以确保操作过程中的质量要求。</w:t>
      </w:r>
    </w:p>
    <w:p>
      <w:pPr>
        <w:ind w:firstLine="420"/>
      </w:pPr>
      <w:r>
        <w:rPr>
          <w:rFonts w:hint="eastAsia"/>
        </w:rPr>
        <w:t>首先，对每个进入本项目施工的人员，均要求达到一定的技术等级，具有相应的操作技能，特殊工种必须持证上岗。对每个进场的劳动力进行考核，同时，在施工中进行考察，对不合格的施工人员坚决退场，以保证操作者本身具有合格的技术素质。</w:t>
      </w:r>
    </w:p>
    <w:p>
      <w:pPr>
        <w:ind w:firstLine="420"/>
      </w:pPr>
      <w:r>
        <w:rPr>
          <w:rFonts w:hint="eastAsia"/>
        </w:rPr>
        <w:t>其次，加强对每个施工人员的质量意识教育，提高他们的质量意识，自觉按操作规程进行操作，在质量控制上加强其自觉性。</w:t>
      </w:r>
    </w:p>
    <w:p>
      <w:pPr>
        <w:ind w:firstLine="420"/>
      </w:pPr>
      <w:r>
        <w:rPr>
          <w:rFonts w:hint="eastAsia"/>
        </w:rPr>
        <w:t>再次，施工管理人员，特别是工长及质检人员，应随时对操作人员所施工的内容，过程进行检查，在现场为他们解决施工难点，进行质量标准的测试，随时指导出达不到质量要求及标准的部位，要求操作者整改。</w:t>
      </w:r>
    </w:p>
    <w:p>
      <w:pPr>
        <w:ind w:firstLine="420"/>
      </w:pPr>
      <w:r>
        <w:rPr>
          <w:rFonts w:hint="eastAsia"/>
        </w:rPr>
        <w:t>最后，在施工中各工序要坚持自检、互检、专业检制度，在整个施工过程中，做到工前有交底，过程有检查，工后有验收的“一条龙”操作管理方式，以确保工程质量。</w:t>
      </w:r>
    </w:p>
    <w:p>
      <w:pPr>
        <w:ind w:firstLine="420"/>
      </w:pPr>
      <w:r>
        <w:rPr>
          <w:rFonts w:hint="eastAsia"/>
        </w:rPr>
        <w:t>4、施工材料的质量控制措施</w:t>
      </w:r>
    </w:p>
    <w:p>
      <w:pPr>
        <w:ind w:firstLine="420"/>
      </w:pPr>
      <w:r>
        <w:rPr>
          <w:rFonts w:hint="eastAsia"/>
        </w:rPr>
        <w:t>施工材料的质量，尤其是用于结构施工的材料质量，将会直接影响到整个工程结构安全，故在各种材料进场时，一定要求供应商随货提供产品的合格证或质保书，同时对水泥等及时做复试和分析报告，只有当复试报告、分析报告等全部合格方能允许于施工。</w:t>
      </w:r>
    </w:p>
    <w:p>
      <w:pPr>
        <w:ind w:firstLine="420"/>
      </w:pPr>
      <w:r>
        <w:rPr>
          <w:rFonts w:hint="eastAsia"/>
        </w:rPr>
        <w:t>为保证材料质量，要求材料管理部门严格按公司有关文件、规定进行操作及管理。对采购的原材料（配）件半成品等，均要建立完善的验收及送检制度，杜绝不合格材料进入现场，更不允许不合格材料用于施工。</w:t>
      </w:r>
    </w:p>
    <w:p>
      <w:pPr>
        <w:ind w:firstLine="420"/>
      </w:pPr>
      <w:r>
        <w:rPr>
          <w:rFonts w:hint="eastAsia"/>
        </w:rPr>
        <w:t>在材料供应和使用过程中，必须做到“四验”、“三把关”。即“验规格、验品种、验数量、验质量”、“材料验收人员把关、技术质量试验人员把关、操作人员把关”，以保证用于本工程上的各种材料均是合格优质的材料。</w:t>
      </w:r>
    </w:p>
    <w:p>
      <w:pPr>
        <w:ind w:firstLine="420"/>
      </w:pPr>
      <w:r>
        <w:rPr>
          <w:rFonts w:hint="eastAsia"/>
        </w:rPr>
        <w:t>5、施工中的计量管理的保证措施</w:t>
      </w:r>
    </w:p>
    <w:p>
      <w:pPr>
        <w:ind w:firstLine="420"/>
      </w:pPr>
      <w:r>
        <w:rPr>
          <w:rFonts w:hint="eastAsia"/>
        </w:rPr>
        <w:t>计量工作在整个质量控制中是一个重要的措施，在计量工作中，我们将加强各种计量设备的检测工作，并在湖州市指定权威的计量工具检测机构，按公司的计量管理文件进行周检管理。同时按要求对各操作程序绘制相应的计量网络图，使整个计量工作符合国家的计量规定的要求，使整个计量工作完全受控，从而确保工程的施工质量。</w:t>
      </w:r>
    </w:p>
    <w:p>
      <w:pPr>
        <w:pStyle w:val="7"/>
        <w:ind w:firstLine="420"/>
      </w:pPr>
      <w:r>
        <w:rPr>
          <w:rFonts w:hint="eastAsia"/>
        </w:rPr>
        <w:t>质量检查和检测手段</w:t>
      </w:r>
    </w:p>
    <w:p>
      <w:pPr>
        <w:ind w:firstLine="420"/>
      </w:pPr>
      <w:r>
        <w:rPr>
          <w:rFonts w:hint="eastAsia"/>
        </w:rPr>
        <w:t>切实可行的质量检查和检测手段是确保工程质量的重要保证。质量控制的实施过程及质量管理过程中一整套措施计划是质量保证的基础，只有在认真做好质量检查和检测工作的基础上才能最终体现在工程质量上。</w:t>
      </w:r>
    </w:p>
    <w:p>
      <w:pPr>
        <w:pStyle w:val="8"/>
        <w:ind w:firstLine="420"/>
      </w:pPr>
      <w:r>
        <w:rPr>
          <w:rFonts w:hint="eastAsia"/>
        </w:rPr>
        <w:t>质量检查</w:t>
      </w:r>
    </w:p>
    <w:p>
      <w:pPr>
        <w:ind w:firstLine="420"/>
      </w:pPr>
      <w:r>
        <w:rPr>
          <w:rFonts w:hint="eastAsia"/>
        </w:rPr>
        <w:t>1、自检</w:t>
      </w:r>
    </w:p>
    <w:p>
      <w:pPr>
        <w:ind w:firstLine="420"/>
      </w:pPr>
      <w:r>
        <w:rPr>
          <w:rFonts w:hint="eastAsia"/>
        </w:rPr>
        <w:t>操作工作每天下班前，对自己操作的该部位分项工程进行自行检查，检查质量是否符合设计和规范要求，不符合要求要求处及时修正。各作业班组班长及班组质检员对施工完毕的分项工程进行自检工作，发现问题及时修正，做好自检记录，并及时上报项目部质检员。</w:t>
      </w:r>
    </w:p>
    <w:p>
      <w:pPr>
        <w:ind w:firstLine="420"/>
      </w:pPr>
      <w:r>
        <w:rPr>
          <w:rFonts w:hint="eastAsia"/>
        </w:rPr>
        <w:t>2、互检</w:t>
      </w:r>
    </w:p>
    <w:p>
      <w:pPr>
        <w:ind w:firstLine="420"/>
      </w:pPr>
      <w:r>
        <w:rPr>
          <w:rFonts w:hint="eastAsia"/>
        </w:rPr>
        <w:t>每完成一个分部工程或分项工程，由质安负责、质检员、班组长、班组质检员和主要技工进行互相检查，存在问题及时指出整改，应做好检查记录，相互督促，取长补短，共同提高。</w:t>
      </w:r>
    </w:p>
    <w:p>
      <w:pPr>
        <w:ind w:firstLine="420"/>
      </w:pPr>
      <w:r>
        <w:rPr>
          <w:rFonts w:hint="eastAsia"/>
        </w:rPr>
        <w:t>3、交接检查</w:t>
      </w:r>
    </w:p>
    <w:p>
      <w:pPr>
        <w:ind w:firstLine="420"/>
      </w:pPr>
      <w:r>
        <w:rPr>
          <w:rFonts w:hint="eastAsia"/>
        </w:rPr>
        <w:t>每完成一道工序，由质量总负责、质检员、施工员组织有关工种班组进行工序交接检查员，并输交接手续，做到责任分明。不符合规范要求、整改未到位的不进入下道工序施工。</w:t>
      </w:r>
    </w:p>
    <w:p>
      <w:pPr>
        <w:ind w:firstLine="420"/>
      </w:pPr>
      <w:r>
        <w:rPr>
          <w:rFonts w:hint="eastAsia"/>
        </w:rPr>
        <w:t>4、隐检</w:t>
      </w:r>
    </w:p>
    <w:p>
      <w:pPr>
        <w:ind w:firstLine="420"/>
      </w:pPr>
      <w:r>
        <w:rPr>
          <w:rFonts w:hint="eastAsia"/>
        </w:rPr>
        <w:t>结构分部工程中每一分项工序完成后必须进行隐检验收，隐检由项目部组织质量总负责、质量员、施工员、监理、甲方和有关班组长进行验收，验收合格后进入下道工序，并做好隐检记录和签证手续。</w:t>
      </w:r>
    </w:p>
    <w:p>
      <w:pPr>
        <w:pStyle w:val="8"/>
        <w:ind w:firstLine="420"/>
      </w:pPr>
      <w:r>
        <w:rPr>
          <w:rFonts w:hint="eastAsia"/>
        </w:rPr>
        <w:t>质量手续</w:t>
      </w:r>
    </w:p>
    <w:p>
      <w:pPr>
        <w:ind w:firstLine="420"/>
      </w:pPr>
      <w:r>
        <w:rPr>
          <w:rFonts w:hint="eastAsia"/>
        </w:rPr>
        <w:t>工程质量实行两级检查员，三方监督，即在班组自检经验的基础上，项目质量员与施工员工负责复核，公司抽检和定期质量大检查员。工程质量由建设单位、监理公司和本公司持安科三方监督。质监部门及时掌握以下的隐检验收工作。</w:t>
      </w:r>
    </w:p>
    <w:p>
      <w:pPr>
        <w:pStyle w:val="5"/>
        <w:tabs>
          <w:tab w:val="left" w:pos="0"/>
        </w:tabs>
        <w:ind w:firstLine="480"/>
      </w:pPr>
      <w:bookmarkStart w:id="92" w:name="_Toc13644"/>
      <w:bookmarkStart w:id="93" w:name="_Toc2766"/>
      <w:r>
        <w:rPr>
          <w:rFonts w:hint="eastAsia"/>
        </w:rPr>
        <w:t>验收方案</w:t>
      </w:r>
      <w:bookmarkEnd w:id="92"/>
      <w:bookmarkEnd w:id="93"/>
    </w:p>
    <w:p>
      <w:pPr>
        <w:ind w:firstLine="420"/>
      </w:pPr>
      <w:r>
        <w:rPr>
          <w:rFonts w:hint="eastAsia"/>
        </w:rPr>
        <w:t>设备运抵安装现场后，项目相关各方共同开箱验收，验收时发现短缺、破损等问题由我方负责立即补发或更换。</w:t>
      </w:r>
    </w:p>
    <w:p>
      <w:pPr>
        <w:ind w:firstLine="420"/>
      </w:pPr>
      <w:r>
        <w:rPr>
          <w:rFonts w:hint="eastAsia"/>
        </w:rPr>
        <w:t>设备安装、调试达到技术规范书规定的要求后，组织验收测试，我方将在验收测试前5个工作日内将验收规范(包括项目、指标、方式和测试仪器等)提交给甲方。甲方可根据合同及技术规范书进行合理的修改与补充，经双方确认后形成验收文件作为验收依据。</w:t>
      </w:r>
    </w:p>
    <w:p>
      <w:pPr>
        <w:ind w:firstLine="420"/>
      </w:pPr>
      <w:r>
        <w:rPr>
          <w:rFonts w:hint="eastAsia"/>
        </w:rPr>
        <w:t>测试验收合格后，双方签署验收合格报告，系统进入质量保证期阶段。</w:t>
      </w:r>
    </w:p>
    <w:p>
      <w:pPr>
        <w:ind w:firstLine="420"/>
      </w:pPr>
      <w:bookmarkStart w:id="94" w:name="_Toc397439399"/>
      <w:bookmarkStart w:id="95" w:name="_Toc291620927"/>
      <w:bookmarkStart w:id="96" w:name="_Toc295206044"/>
      <w:bookmarkStart w:id="97" w:name="_Toc373485527"/>
      <w:r>
        <w:rPr>
          <w:rFonts w:hint="eastAsia"/>
        </w:rPr>
        <w:t>项目验收方案</w:t>
      </w:r>
      <w:bookmarkEnd w:id="94"/>
      <w:bookmarkEnd w:id="95"/>
      <w:bookmarkEnd w:id="96"/>
      <w:bookmarkEnd w:id="97"/>
    </w:p>
    <w:p>
      <w:pPr>
        <w:ind w:firstLine="420"/>
      </w:pPr>
      <w:r>
        <w:rPr>
          <w:rFonts w:hint="eastAsia"/>
        </w:rPr>
        <w:t>项目验收包括设备到货验收、项目初验及项目终验三部分。</w:t>
      </w:r>
    </w:p>
    <w:p>
      <w:pPr>
        <w:pStyle w:val="6"/>
        <w:ind w:firstLine="420"/>
      </w:pPr>
      <w:bookmarkStart w:id="98" w:name="_Toc32143"/>
      <w:r>
        <w:rPr>
          <w:rFonts w:hint="eastAsia"/>
        </w:rPr>
        <w:t>验收标准及内容</w:t>
      </w:r>
      <w:bookmarkEnd w:id="98"/>
    </w:p>
    <w:p>
      <w:pPr>
        <w:pStyle w:val="7"/>
        <w:ind w:firstLine="420"/>
      </w:pPr>
      <w:r>
        <w:rPr>
          <w:rFonts w:hint="eastAsia"/>
        </w:rPr>
        <w:t>验收标准：</w:t>
      </w:r>
    </w:p>
    <w:p>
      <w:pPr>
        <w:ind w:firstLine="420"/>
      </w:pPr>
      <w:r>
        <w:rPr>
          <w:rFonts w:hint="eastAsia"/>
        </w:rPr>
        <w:t>（1）所有设备由我方进行安装、维护。</w:t>
      </w:r>
    </w:p>
    <w:p>
      <w:pPr>
        <w:ind w:firstLine="420"/>
      </w:pPr>
      <w:r>
        <w:rPr>
          <w:rFonts w:hint="eastAsia"/>
        </w:rPr>
        <w:t>（2）现场验收试验在甲方主持下进行，由我方负责实施并承担质量责任。现场验收试验完毕后，应由双方会签本合同设备集成初步验收报告。</w:t>
      </w:r>
    </w:p>
    <w:p>
      <w:pPr>
        <w:ind w:firstLine="420"/>
      </w:pPr>
      <w:r>
        <w:rPr>
          <w:rFonts w:hint="eastAsia"/>
        </w:rPr>
        <w:t>（3）项目初步验收完成后，在甲方主持下，对项目进行最终验收，并由双方签发项目竣工验收报告。</w:t>
      </w:r>
    </w:p>
    <w:p>
      <w:pPr>
        <w:ind w:firstLine="420"/>
      </w:pPr>
      <w:r>
        <w:rPr>
          <w:rFonts w:hint="eastAsia"/>
        </w:rPr>
        <w:t>（4）我方严格按投标文件规定，向甲方提供满足工程设计的设备试验、检验、培训、运行和维修所需的技术资料。</w:t>
      </w:r>
    </w:p>
    <w:p>
      <w:pPr>
        <w:pStyle w:val="7"/>
        <w:ind w:firstLine="420"/>
      </w:pPr>
      <w:r>
        <w:rPr>
          <w:rFonts w:hint="eastAsia"/>
        </w:rPr>
        <w:t>验收内容：</w:t>
      </w:r>
    </w:p>
    <w:p>
      <w:pPr>
        <w:ind w:firstLine="420"/>
      </w:pPr>
      <w:r>
        <w:rPr>
          <w:rFonts w:hint="eastAsia"/>
        </w:rPr>
        <w:t>本次招标所投产品。</w:t>
      </w:r>
    </w:p>
    <w:p>
      <w:pPr>
        <w:pStyle w:val="6"/>
        <w:ind w:firstLine="420"/>
      </w:pPr>
      <w:bookmarkStart w:id="99" w:name="_Toc17313"/>
      <w:r>
        <w:rPr>
          <w:rFonts w:hint="eastAsia"/>
        </w:rPr>
        <w:t>验收方法及程序</w:t>
      </w:r>
      <w:bookmarkEnd w:id="99"/>
    </w:p>
    <w:p>
      <w:pPr>
        <w:ind w:firstLine="420"/>
      </w:pPr>
      <w:r>
        <w:rPr>
          <w:rFonts w:hint="eastAsia"/>
        </w:rPr>
        <w:t>在产品安装合格后，我方提前7日编制验收程序报验甲方审批，由监理单位组织业主、安装单位等根据验收程序共同参加验收，验收报告包括：</w:t>
      </w:r>
    </w:p>
    <w:p>
      <w:pPr>
        <w:numPr>
          <w:ilvl w:val="0"/>
          <w:numId w:val="113"/>
        </w:numPr>
        <w:ind w:left="0" w:firstLine="420"/>
      </w:pPr>
      <w:r>
        <w:rPr>
          <w:rFonts w:hint="eastAsia"/>
        </w:rPr>
        <w:t>产品说明及技术方案</w:t>
      </w:r>
    </w:p>
    <w:p>
      <w:pPr>
        <w:numPr>
          <w:ilvl w:val="0"/>
          <w:numId w:val="113"/>
        </w:numPr>
        <w:ind w:left="0" w:firstLine="420"/>
      </w:pPr>
      <w:r>
        <w:rPr>
          <w:rFonts w:hint="eastAsia"/>
        </w:rPr>
        <w:t>供货合同</w:t>
      </w:r>
    </w:p>
    <w:p>
      <w:pPr>
        <w:numPr>
          <w:ilvl w:val="0"/>
          <w:numId w:val="113"/>
        </w:numPr>
        <w:ind w:left="0" w:firstLine="420"/>
      </w:pPr>
      <w:r>
        <w:rPr>
          <w:rFonts w:hint="eastAsia"/>
        </w:rPr>
        <w:t>验收大纲</w:t>
      </w:r>
    </w:p>
    <w:p>
      <w:pPr>
        <w:numPr>
          <w:ilvl w:val="0"/>
          <w:numId w:val="113"/>
        </w:numPr>
        <w:ind w:left="0" w:firstLine="420"/>
      </w:pPr>
      <w:r>
        <w:rPr>
          <w:rFonts w:hint="eastAsia"/>
        </w:rPr>
        <w:t>验收记录及过程验收记录</w:t>
      </w:r>
    </w:p>
    <w:p>
      <w:pPr>
        <w:numPr>
          <w:ilvl w:val="0"/>
          <w:numId w:val="113"/>
        </w:numPr>
        <w:ind w:left="0" w:firstLine="420"/>
      </w:pPr>
      <w:r>
        <w:rPr>
          <w:rFonts w:hint="eastAsia"/>
        </w:rPr>
        <w:t>操作手册及说明书等</w:t>
      </w:r>
    </w:p>
    <w:p>
      <w:pPr>
        <w:ind w:firstLine="420"/>
      </w:pPr>
      <w:r>
        <w:rPr>
          <w:rFonts w:hint="eastAsia"/>
        </w:rPr>
        <w:t>对以上验收中未达到设计要求的部分，我方立即进行整改，整改完成后再次验收直到满足系统要求，我方自己的目标要求是一次100%通过验收。</w:t>
      </w:r>
    </w:p>
    <w:p>
      <w:pPr>
        <w:pStyle w:val="6"/>
        <w:ind w:firstLine="420"/>
      </w:pPr>
      <w:bookmarkStart w:id="100" w:name="_Toc25566"/>
      <w:r>
        <w:rPr>
          <w:rFonts w:hint="eastAsia"/>
        </w:rPr>
        <w:t>验收提交成果</w:t>
      </w:r>
      <w:bookmarkEnd w:id="100"/>
    </w:p>
    <w:p>
      <w:pPr>
        <w:ind w:firstLine="420"/>
      </w:pPr>
      <w:r>
        <w:rPr>
          <w:rFonts w:hint="eastAsia"/>
        </w:rPr>
        <w:t>设备</w:t>
      </w:r>
      <w:r>
        <w:t>到货后，由采购单位及时对</w:t>
      </w:r>
      <w:r>
        <w:rPr>
          <w:rFonts w:hint="eastAsia"/>
        </w:rPr>
        <w:t>设备</w:t>
      </w:r>
      <w:r>
        <w:t>进行初验，</w:t>
      </w:r>
      <w:r>
        <w:rPr>
          <w:rFonts w:hint="eastAsia"/>
        </w:rPr>
        <w:t>初验</w:t>
      </w:r>
      <w:r>
        <w:t>标准：产品包装，产品数量，</w:t>
      </w:r>
      <w:r>
        <w:rPr>
          <w:rFonts w:hint="eastAsia"/>
        </w:rPr>
        <w:t>是否</w:t>
      </w:r>
      <w:r>
        <w:t>按</w:t>
      </w:r>
      <w:r>
        <w:rPr>
          <w:rFonts w:hint="eastAsia"/>
        </w:rPr>
        <w:t>招标</w:t>
      </w:r>
      <w:r>
        <w:t>要求响应，初验合格后方能安装。安装调试完毕后，由采购单位组织人员验收，验收内容包括材料名称、数量、规格型号、运行情况等，凡不符合要求或质量标准一律不予验收，造成的一切后果由供货方负责，验收依据为双方所签合同及国家相关软件标准和规范。</w:t>
      </w:r>
      <w:r>
        <w:rPr>
          <w:rFonts w:hint="eastAsia"/>
        </w:rPr>
        <w:t>附：</w:t>
      </w:r>
    </w:p>
    <w:p>
      <w:pPr>
        <w:pStyle w:val="23"/>
      </w:pPr>
      <w:r>
        <w:drawing>
          <wp:inline distT="0" distB="0" distL="114300" distR="114300">
            <wp:extent cx="5760085" cy="7073265"/>
            <wp:effectExtent l="0" t="0" r="12065" b="13335"/>
            <wp:docPr id="8" name="图片框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框 1033"/>
                    <pic:cNvPicPr>
                      <a:picLocks noChangeAspect="1"/>
                    </pic:cNvPicPr>
                  </pic:nvPicPr>
                  <pic:blipFill>
                    <a:blip r:embed="rId31">
                      <a:lum/>
                    </a:blip>
                    <a:stretch>
                      <a:fillRect/>
                    </a:stretch>
                  </pic:blipFill>
                  <pic:spPr>
                    <a:xfrm>
                      <a:off x="0" y="0"/>
                      <a:ext cx="5760085" cy="7073265"/>
                    </a:xfrm>
                    <a:prstGeom prst="rect">
                      <a:avLst/>
                    </a:prstGeom>
                    <a:noFill/>
                    <a:ln>
                      <a:noFill/>
                    </a:ln>
                  </pic:spPr>
                </pic:pic>
              </a:graphicData>
            </a:graphic>
          </wp:inline>
        </w:drawing>
      </w:r>
    </w:p>
    <w:p>
      <w:pPr>
        <w:pStyle w:val="4"/>
        <w:tabs>
          <w:tab w:val="left" w:pos="0"/>
        </w:tabs>
        <w:spacing w:before="156" w:after="156"/>
        <w:ind w:firstLine="560"/>
      </w:pPr>
      <w:bookmarkStart w:id="101" w:name="_Toc896"/>
      <w:bookmarkStart w:id="102" w:name="_Toc6408"/>
      <w:r>
        <w:rPr>
          <w:rFonts w:hint="eastAsia"/>
        </w:rPr>
        <w:t>项目服务方案</w:t>
      </w:r>
      <w:bookmarkEnd w:id="101"/>
      <w:bookmarkEnd w:id="102"/>
    </w:p>
    <w:p>
      <w:pPr>
        <w:pStyle w:val="5"/>
        <w:tabs>
          <w:tab w:val="left" w:pos="0"/>
        </w:tabs>
        <w:ind w:firstLine="480"/>
      </w:pPr>
      <w:bookmarkStart w:id="103" w:name="_Toc29446"/>
      <w:bookmarkStart w:id="104" w:name="_Toc23676"/>
      <w:r>
        <w:rPr>
          <w:rFonts w:hint="eastAsia"/>
        </w:rPr>
        <w:t>售后服务网点的设定</w:t>
      </w:r>
      <w:bookmarkEnd w:id="103"/>
      <w:bookmarkEnd w:id="104"/>
    </w:p>
    <w:p>
      <w:pPr>
        <w:pStyle w:val="6"/>
        <w:ind w:firstLine="420"/>
      </w:pPr>
      <w:bookmarkStart w:id="105" w:name="_Toc16143"/>
      <w:r>
        <w:rPr>
          <w:rFonts w:hint="eastAsia"/>
        </w:rPr>
        <w:t>售后服务网点信息</w:t>
      </w:r>
      <w:bookmarkEnd w:id="105"/>
    </w:p>
    <w:p>
      <w:pPr>
        <w:ind w:firstLine="420"/>
      </w:pPr>
      <w:r>
        <w:rPr>
          <w:rFonts w:hint="eastAsia"/>
        </w:rPr>
        <w:t>我公司与厂家之间保持着良好的合作关系，共同协作为用户提供良好的售后服务保证。且针对该项目，各产品生产厂家提供专人负责的售后服务体系，，以保证用户的全力和利益。</w:t>
      </w:r>
    </w:p>
    <w:tbl>
      <w:tblPr>
        <w:tblStyle w:val="16"/>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00"/>
        <w:tblLayout w:type="fixed"/>
        <w:tblCellMar>
          <w:top w:w="0" w:type="dxa"/>
          <w:left w:w="108" w:type="dxa"/>
          <w:bottom w:w="0" w:type="dxa"/>
          <w:right w:w="108" w:type="dxa"/>
        </w:tblCellMar>
      </w:tblPr>
      <w:tblGrid>
        <w:gridCol w:w="2468"/>
        <w:gridCol w:w="1020"/>
        <w:gridCol w:w="1188"/>
        <w:gridCol w:w="1654"/>
        <w:gridCol w:w="27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00"/>
          <w:tblCellMar>
            <w:top w:w="0" w:type="dxa"/>
            <w:left w:w="108" w:type="dxa"/>
            <w:bottom w:w="0" w:type="dxa"/>
            <w:right w:w="108" w:type="dxa"/>
          </w:tblCellMar>
        </w:tblPrEx>
        <w:trPr>
          <w:trHeight w:val="639" w:hRule="atLeast"/>
          <w:jc w:val="center"/>
        </w:trPr>
        <w:tc>
          <w:tcPr>
            <w:tcW w:w="2476" w:type="dxa"/>
            <w:shd w:val="clear" w:color="auto" w:fill="auto"/>
            <w:vAlign w:val="center"/>
          </w:tcPr>
          <w:p>
            <w:pPr>
              <w:pStyle w:val="24"/>
              <w:rPr>
                <w:rFonts w:hint="default" w:eastAsia="等线" w:cs="等线" w:asciiTheme="minorHAnsi" w:hAnsiTheme="minorHAnsi"/>
              </w:rPr>
            </w:pPr>
            <w:r>
              <w:rPr>
                <w:rFonts w:hint="default" w:eastAsia="等线" w:cs="等线" w:asciiTheme="minorHAnsi" w:hAnsiTheme="minorHAnsi"/>
              </w:rPr>
              <w:t>服务机构名称</w:t>
            </w:r>
          </w:p>
        </w:tc>
        <w:tc>
          <w:tcPr>
            <w:tcW w:w="1023" w:type="dxa"/>
            <w:shd w:val="clear" w:color="auto" w:fill="auto"/>
            <w:vAlign w:val="center"/>
          </w:tcPr>
          <w:p>
            <w:pPr>
              <w:pStyle w:val="24"/>
              <w:rPr>
                <w:rFonts w:hint="default" w:eastAsia="等线" w:cs="等线" w:asciiTheme="minorHAnsi" w:hAnsiTheme="minorHAnsi"/>
              </w:rPr>
            </w:pPr>
            <w:r>
              <w:rPr>
                <w:rFonts w:hint="default" w:eastAsia="等线" w:cs="等线" w:asciiTheme="minorHAnsi" w:hAnsiTheme="minorHAnsi"/>
              </w:rPr>
              <w:t>所在地</w:t>
            </w:r>
          </w:p>
        </w:tc>
        <w:tc>
          <w:tcPr>
            <w:tcW w:w="1192" w:type="dxa"/>
            <w:shd w:val="clear" w:color="auto" w:fill="auto"/>
            <w:vAlign w:val="center"/>
          </w:tcPr>
          <w:p>
            <w:pPr>
              <w:pStyle w:val="24"/>
              <w:rPr>
                <w:rFonts w:hint="default" w:eastAsia="等线" w:cs="等线" w:asciiTheme="minorHAnsi" w:hAnsiTheme="minorHAnsi"/>
              </w:rPr>
            </w:pPr>
            <w:r>
              <w:rPr>
                <w:rFonts w:hint="default" w:eastAsia="等线" w:cs="等线" w:asciiTheme="minorHAnsi" w:hAnsiTheme="minorHAnsi"/>
              </w:rPr>
              <w:t>联系人</w:t>
            </w:r>
          </w:p>
        </w:tc>
        <w:tc>
          <w:tcPr>
            <w:tcW w:w="1660" w:type="dxa"/>
            <w:shd w:val="clear" w:color="auto" w:fill="auto"/>
            <w:vAlign w:val="center"/>
          </w:tcPr>
          <w:p>
            <w:pPr>
              <w:pStyle w:val="24"/>
              <w:rPr>
                <w:rFonts w:hint="default" w:eastAsia="等线" w:cs="等线" w:asciiTheme="minorHAnsi" w:hAnsiTheme="minorHAnsi"/>
              </w:rPr>
            </w:pPr>
            <w:r>
              <w:rPr>
                <w:rFonts w:hint="default" w:eastAsia="等线" w:cs="等线" w:asciiTheme="minorHAnsi" w:hAnsiTheme="minorHAnsi"/>
              </w:rPr>
              <w:t>联系电话</w:t>
            </w:r>
          </w:p>
        </w:tc>
        <w:tc>
          <w:tcPr>
            <w:tcW w:w="2751" w:type="dxa"/>
            <w:shd w:val="clear" w:color="auto" w:fill="auto"/>
            <w:vAlign w:val="center"/>
          </w:tcPr>
          <w:p>
            <w:pPr>
              <w:pStyle w:val="24"/>
              <w:rPr>
                <w:rFonts w:hint="default" w:eastAsia="等线" w:cs="等线" w:asciiTheme="minorHAnsi" w:hAnsiTheme="minorHAnsi"/>
              </w:rPr>
            </w:pPr>
            <w:r>
              <w:rPr>
                <w:rFonts w:hint="default" w:eastAsia="等线" w:cs="等线" w:asciiTheme="minorHAnsi" w:hAnsiTheme="minorHAnsi"/>
              </w:rPr>
              <w:t>地址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00"/>
          <w:tblCellMar>
            <w:top w:w="0" w:type="dxa"/>
            <w:left w:w="108" w:type="dxa"/>
            <w:bottom w:w="0" w:type="dxa"/>
            <w:right w:w="108" w:type="dxa"/>
          </w:tblCellMar>
        </w:tblPrEx>
        <w:trPr>
          <w:trHeight w:val="466" w:hRule="atLeast"/>
          <w:jc w:val="center"/>
        </w:trPr>
        <w:tc>
          <w:tcPr>
            <w:tcW w:w="2476" w:type="dxa"/>
            <w:shd w:val="clear" w:color="auto" w:fill="auto"/>
            <w:vAlign w:val="center"/>
          </w:tcPr>
          <w:p>
            <w:pPr>
              <w:adjustRightInd w:val="0"/>
              <w:snapToGrid w:val="0"/>
              <w:spacing w:line="240" w:lineRule="auto"/>
              <w:ind w:firstLine="0" w:firstLineChars="0"/>
              <w:jc w:val="center"/>
            </w:pPr>
            <w:r>
              <w:t>明臻智慧科技（北京）有限责任公司</w:t>
            </w:r>
          </w:p>
        </w:tc>
        <w:tc>
          <w:tcPr>
            <w:tcW w:w="1023" w:type="dxa"/>
            <w:shd w:val="clear" w:color="auto" w:fill="auto"/>
            <w:vAlign w:val="center"/>
          </w:tcPr>
          <w:p>
            <w:pPr>
              <w:pStyle w:val="24"/>
              <w:rPr>
                <w:rFonts w:hint="default" w:eastAsia="等线" w:cs="等线" w:asciiTheme="minorHAnsi" w:hAnsiTheme="minorHAnsi"/>
              </w:rPr>
            </w:pPr>
            <w:r>
              <w:rPr>
                <w:rFonts w:hint="default" w:eastAsia="等线" w:cs="等线" w:asciiTheme="minorHAnsi" w:hAnsiTheme="minorHAnsi"/>
              </w:rPr>
              <w:t>牡丹江</w:t>
            </w:r>
          </w:p>
        </w:tc>
        <w:tc>
          <w:tcPr>
            <w:tcW w:w="1192" w:type="dxa"/>
            <w:shd w:val="clear" w:color="auto" w:fill="auto"/>
            <w:vAlign w:val="center"/>
          </w:tcPr>
          <w:p>
            <w:pPr>
              <w:pStyle w:val="24"/>
              <w:rPr>
                <w:rFonts w:hint="default" w:eastAsia="等线" w:cs="等线" w:asciiTheme="minorHAnsi" w:hAnsiTheme="minorHAnsi"/>
              </w:rPr>
            </w:pPr>
            <w:r>
              <w:rPr>
                <w:rFonts w:eastAsia="等线" w:cs="等线" w:asciiTheme="minorHAnsi" w:hAnsiTheme="minorHAnsi"/>
              </w:rPr>
              <w:t>张伟超</w:t>
            </w:r>
          </w:p>
        </w:tc>
        <w:tc>
          <w:tcPr>
            <w:tcW w:w="1660" w:type="dxa"/>
            <w:shd w:val="clear" w:color="auto" w:fill="auto"/>
            <w:vAlign w:val="center"/>
          </w:tcPr>
          <w:p>
            <w:pPr>
              <w:pStyle w:val="24"/>
              <w:rPr>
                <w:rFonts w:hint="default" w:eastAsia="等线" w:cs="等线" w:asciiTheme="minorHAnsi" w:hAnsiTheme="minorHAnsi"/>
              </w:rPr>
            </w:pPr>
            <w:r>
              <w:rPr>
                <w:rFonts w:eastAsia="等线" w:cs="等线" w:asciiTheme="minorHAnsi" w:hAnsiTheme="minorHAnsi"/>
              </w:rPr>
              <w:t>17679520666</w:t>
            </w:r>
          </w:p>
        </w:tc>
        <w:tc>
          <w:tcPr>
            <w:tcW w:w="2751" w:type="dxa"/>
            <w:shd w:val="clear" w:color="auto" w:fill="auto"/>
            <w:vAlign w:val="center"/>
          </w:tcPr>
          <w:p>
            <w:pPr>
              <w:adjustRightInd w:val="0"/>
              <w:snapToGrid w:val="0"/>
              <w:spacing w:line="240" w:lineRule="auto"/>
              <w:ind w:firstLine="0" w:firstLineChars="0"/>
              <w:jc w:val="center"/>
            </w:pPr>
            <w:r>
              <w:rPr>
                <w:shd w:val="clear" w:color="auto" w:fill="FFFFFF"/>
              </w:rPr>
              <w:t>黑龙江省牡丹江市西安区邮政路66号</w:t>
            </w:r>
          </w:p>
        </w:tc>
      </w:tr>
    </w:tbl>
    <w:p>
      <w:pPr>
        <w:pStyle w:val="6"/>
        <w:ind w:firstLine="420"/>
      </w:pPr>
      <w:bookmarkStart w:id="106" w:name="_Toc20278"/>
      <w:r>
        <w:rPr>
          <w:rFonts w:hint="eastAsia"/>
        </w:rPr>
        <w:t>售后服务承诺</w:t>
      </w:r>
      <w:bookmarkEnd w:id="106"/>
    </w:p>
    <w:p>
      <w:pPr>
        <w:ind w:firstLine="420"/>
      </w:pPr>
      <w:r>
        <w:t>公司从成立之初就将</w:t>
      </w:r>
      <w:r>
        <w:rPr>
          <w:rFonts w:hint="eastAsia"/>
        </w:rPr>
        <w:t>“</w:t>
      </w:r>
      <w:r>
        <w:t>坚持客户视角观，即站在客户的角度来审视我们的工作</w:t>
      </w:r>
      <w:r>
        <w:rPr>
          <w:rFonts w:hint="eastAsia"/>
        </w:rPr>
        <w:t>”</w:t>
      </w:r>
      <w:r>
        <w:t>作为我公司服务教育的服务宗旨。</w:t>
      </w:r>
      <w:r>
        <w:rPr>
          <w:rFonts w:hint="eastAsia"/>
        </w:rPr>
        <w:t>“</w:t>
      </w:r>
      <w:r>
        <w:t>客户的满意才是我们的成功</w:t>
      </w:r>
      <w:r>
        <w:rPr>
          <w:rFonts w:hint="eastAsia"/>
        </w:rPr>
        <w:t>”</w:t>
      </w:r>
      <w:r>
        <w:t>是我司一直的追求，客户的满意一方面来自对工程质量的满意，更重要的将是今后长时期的售后服务满意度。我们将为客户提供全面的售后服务和支持，让用户用得放心、使得开心。</w:t>
      </w:r>
    </w:p>
    <w:p>
      <w:pPr>
        <w:ind w:firstLine="420"/>
      </w:pPr>
      <w:r>
        <w:t>特设置客户服务专线：免费提供电话技术支持，为用户解答关于平台及虚拟仿真资源相关问题。在最短的时间内为客户提供完整的解决方案：对客户的需求和公司产品用途全面系统地分析，并在较短时间内为用户提供最详尽、合适、性价比最高的设计方案，使客户能清晰准确地选择自己所需要的产品，掌握工程预算，令用户的投入发挥出最大的经济效益。</w:t>
      </w:r>
    </w:p>
    <w:p>
      <w:pPr>
        <w:numPr>
          <w:ilvl w:val="0"/>
          <w:numId w:val="114"/>
        </w:numPr>
        <w:ind w:left="0" w:firstLine="422"/>
        <w:rPr>
          <w:rFonts w:ascii="Times New Roman" w:hAnsi="Times New Roman" w:eastAsia="宋体" w:cs="Times New Roman"/>
          <w:b/>
          <w:bCs/>
        </w:rPr>
      </w:pPr>
      <w:r>
        <w:rPr>
          <w:rFonts w:ascii="Times New Roman" w:hAnsi="Times New Roman" w:eastAsia="宋体" w:cs="Times New Roman"/>
          <w:b/>
          <w:bCs/>
        </w:rPr>
        <w:t>质保期自验收合格之日起计</w:t>
      </w:r>
      <w:r>
        <w:rPr>
          <w:rFonts w:hint="eastAsia" w:ascii="Times New Roman" w:hAnsi="Times New Roman" w:eastAsia="宋体" w:cs="Times New Roman"/>
          <w:b/>
          <w:bCs/>
        </w:rPr>
        <w:t>软件1年质保期、硬件1年质保期</w:t>
      </w:r>
      <w:r>
        <w:rPr>
          <w:rFonts w:ascii="Times New Roman" w:hAnsi="Times New Roman" w:eastAsia="宋体" w:cs="Times New Roman"/>
          <w:b/>
          <w:bCs/>
        </w:rPr>
        <w:t>。质保期</w:t>
      </w:r>
      <w:r>
        <w:rPr>
          <w:rFonts w:hint="eastAsia" w:ascii="Times New Roman" w:hAnsi="Times New Roman" w:eastAsia="宋体" w:cs="Times New Roman"/>
          <w:b/>
          <w:bCs/>
        </w:rPr>
        <w:t>我</w:t>
      </w:r>
      <w:r>
        <w:rPr>
          <w:rFonts w:ascii="Times New Roman" w:hAnsi="Times New Roman" w:eastAsia="宋体" w:cs="Times New Roman"/>
          <w:b/>
          <w:bCs/>
        </w:rPr>
        <w:t>方提供</w:t>
      </w:r>
      <w:r>
        <w:rPr>
          <w:rFonts w:hint="eastAsia" w:ascii="Times New Roman" w:hAnsi="Times New Roman" w:eastAsia="宋体" w:cs="Times New Roman"/>
          <w:b/>
          <w:bCs/>
        </w:rPr>
        <w:t>1</w:t>
      </w:r>
      <w:r>
        <w:rPr>
          <w:rFonts w:ascii="Times New Roman" w:hAnsi="Times New Roman" w:eastAsia="宋体" w:cs="Times New Roman"/>
          <w:b/>
          <w:bCs/>
        </w:rPr>
        <w:t>年的免费上门保修</w:t>
      </w:r>
      <w:r>
        <w:rPr>
          <w:rFonts w:hint="eastAsia" w:ascii="Times New Roman" w:hAnsi="Times New Roman" w:eastAsia="宋体" w:cs="Times New Roman"/>
          <w:b/>
          <w:bCs/>
        </w:rPr>
        <w:t>，针对“虚拟仿真教研管理平台”产品提供免费</w:t>
      </w:r>
      <w:r>
        <w:rPr>
          <w:rFonts w:ascii="Times New Roman" w:hAnsi="Times New Roman" w:eastAsia="宋体" w:cs="Times New Roman"/>
          <w:b/>
          <w:bCs/>
        </w:rPr>
        <w:t>3</w:t>
      </w:r>
      <w:r>
        <w:rPr>
          <w:rFonts w:hint="eastAsia" w:ascii="Times New Roman" w:hAnsi="Times New Roman" w:eastAsia="宋体" w:cs="Times New Roman"/>
          <w:b/>
          <w:bCs/>
        </w:rPr>
        <w:t>年调试及升级，同时提供</w:t>
      </w:r>
      <w:r>
        <w:rPr>
          <w:rFonts w:ascii="Times New Roman" w:hAnsi="Times New Roman" w:eastAsia="宋体" w:cs="Times New Roman"/>
          <w:b/>
          <w:bCs/>
        </w:rPr>
        <w:t>3</w:t>
      </w:r>
      <w:r>
        <w:rPr>
          <w:rFonts w:hint="eastAsia" w:ascii="Times New Roman" w:hAnsi="Times New Roman" w:eastAsia="宋体" w:cs="Times New Roman"/>
          <w:b/>
          <w:bCs/>
        </w:rPr>
        <w:t>年培训</w:t>
      </w:r>
      <w:r>
        <w:rPr>
          <w:rFonts w:ascii="Times New Roman" w:hAnsi="Times New Roman" w:eastAsia="宋体" w:cs="Times New Roman"/>
          <w:b/>
          <w:bCs/>
        </w:rPr>
        <w:t>6</w:t>
      </w:r>
      <w:r>
        <w:rPr>
          <w:rFonts w:hint="eastAsia" w:ascii="Times New Roman" w:hAnsi="Times New Roman" w:eastAsia="宋体" w:cs="Times New Roman"/>
          <w:b/>
          <w:bCs/>
        </w:rPr>
        <w:t>次的售后服务承诺，</w:t>
      </w:r>
      <w:r>
        <w:rPr>
          <w:rFonts w:ascii="Times New Roman" w:hAnsi="Times New Roman" w:eastAsia="宋体" w:cs="Times New Roman"/>
          <w:b/>
          <w:bCs/>
        </w:rPr>
        <w:t>7×24小时技术响应，24小时内维修工程师到达维修现场。保修期自验收合格之日起计算。</w:t>
      </w:r>
    </w:p>
    <w:p>
      <w:pPr>
        <w:numPr>
          <w:ilvl w:val="0"/>
          <w:numId w:val="114"/>
        </w:numPr>
        <w:ind w:left="0" w:firstLine="420"/>
      </w:pPr>
      <w:r>
        <w:t>质保期内免费提供系统维护、升级等技术支持服务。</w:t>
      </w:r>
    </w:p>
    <w:p>
      <w:pPr>
        <w:numPr>
          <w:ilvl w:val="0"/>
          <w:numId w:val="114"/>
        </w:numPr>
        <w:ind w:left="0" w:firstLine="420"/>
      </w:pPr>
      <w:r>
        <w:t>保修期后提供系统维护、扩充、升级等方面的技术支持服务。</w:t>
      </w:r>
    </w:p>
    <w:p>
      <w:pPr>
        <w:numPr>
          <w:ilvl w:val="0"/>
          <w:numId w:val="114"/>
        </w:numPr>
        <w:ind w:left="0" w:firstLine="420"/>
      </w:pPr>
      <w:r>
        <w:t>系统故障报修的响应时间：</w:t>
      </w:r>
      <w:r>
        <w:rPr>
          <w:rFonts w:hint="eastAsia"/>
        </w:rPr>
        <w:t>我方</w:t>
      </w:r>
      <w:r>
        <w:t>提供全天候无间断的远程技术服务，4小时内对问题做出响应。若电话中无法解决，</w:t>
      </w:r>
      <w:r>
        <w:rPr>
          <w:rFonts w:hint="eastAsia"/>
        </w:rPr>
        <w:t>2</w:t>
      </w:r>
      <w:r>
        <w:t>个工作日内到达现场进行解决。</w:t>
      </w:r>
    </w:p>
    <w:p>
      <w:pPr>
        <w:numPr>
          <w:ilvl w:val="0"/>
          <w:numId w:val="114"/>
        </w:numPr>
        <w:ind w:left="0" w:firstLine="420"/>
      </w:pPr>
      <w:r>
        <w:rPr>
          <w:rFonts w:hint="eastAsia"/>
        </w:rPr>
        <w:t>我</w:t>
      </w:r>
      <w:r>
        <w:t>方负责将全新原包装产品交付至需方指定地点，所有运输及安装调试和培训所发生的费用由</w:t>
      </w:r>
      <w:r>
        <w:rPr>
          <w:rFonts w:hint="eastAsia"/>
        </w:rPr>
        <w:t>我</w:t>
      </w:r>
      <w:r>
        <w:t>方承担。</w:t>
      </w:r>
    </w:p>
    <w:p>
      <w:pPr>
        <w:numPr>
          <w:ilvl w:val="0"/>
          <w:numId w:val="114"/>
        </w:numPr>
        <w:ind w:left="0" w:firstLine="420"/>
      </w:pPr>
      <w:r>
        <w:t>长期免费为教师提供培训及咨询服务。免费提供所购软件中文版的操作说明书及相关技术资料。</w:t>
      </w:r>
    </w:p>
    <w:p>
      <w:pPr>
        <w:numPr>
          <w:ilvl w:val="0"/>
          <w:numId w:val="114"/>
        </w:numPr>
        <w:ind w:left="0" w:firstLine="420"/>
      </w:pPr>
      <w:r>
        <w:rPr>
          <w:rFonts w:hint="eastAsia"/>
        </w:rPr>
        <w:t>我</w:t>
      </w:r>
      <w:r>
        <w:t>方承诺的服务中如涉及第三方提供的，由</w:t>
      </w:r>
      <w:r>
        <w:rPr>
          <w:rFonts w:hint="eastAsia"/>
        </w:rPr>
        <w:t>我</w:t>
      </w:r>
      <w:r>
        <w:t>方负责协调</w:t>
      </w:r>
      <w:r>
        <w:rPr>
          <w:rFonts w:hint="eastAsia"/>
        </w:rPr>
        <w:t>。</w:t>
      </w:r>
    </w:p>
    <w:p>
      <w:pPr>
        <w:numPr>
          <w:ilvl w:val="0"/>
          <w:numId w:val="114"/>
        </w:numPr>
        <w:ind w:left="0" w:firstLine="420"/>
      </w:pPr>
      <w:r>
        <w:t>产品的技术咨询：</w:t>
      </w:r>
    </w:p>
    <w:p>
      <w:pPr>
        <w:ind w:firstLine="420"/>
      </w:pPr>
      <w:r>
        <w:t>A．提供电子版使用说明书；</w:t>
      </w:r>
    </w:p>
    <w:p>
      <w:pPr>
        <w:ind w:firstLine="420"/>
      </w:pPr>
      <w:r>
        <w:t>B．支持电话、电子邮件、上门等多种形式技术支持。</w:t>
      </w:r>
    </w:p>
    <w:p>
      <w:pPr>
        <w:numPr>
          <w:ilvl w:val="0"/>
          <w:numId w:val="114"/>
        </w:numPr>
        <w:ind w:left="0" w:firstLine="420"/>
        <w:rPr>
          <w:rFonts w:ascii="Times New Roman" w:hAnsi="Times New Roman" w:eastAsia="宋体" w:cs="Times New Roman"/>
        </w:rPr>
      </w:pPr>
      <w:r>
        <w:rPr>
          <w:rFonts w:ascii="Times New Roman" w:hAnsi="Times New Roman" w:eastAsia="宋体" w:cs="Times New Roman"/>
        </w:rPr>
        <w:t>我方承诺的服务中如涉及第三方提供的，由我方负责协调。</w:t>
      </w:r>
    </w:p>
    <w:p>
      <w:pPr>
        <w:numPr>
          <w:ilvl w:val="0"/>
          <w:numId w:val="114"/>
        </w:numPr>
        <w:ind w:left="0" w:firstLine="420"/>
        <w:rPr>
          <w:rFonts w:ascii="Times New Roman" w:hAnsi="Times New Roman" w:eastAsia="宋体" w:cs="Times New Roman"/>
        </w:rPr>
      </w:pPr>
      <w:r>
        <w:rPr>
          <w:rFonts w:ascii="Times New Roman" w:hAnsi="Times New Roman" w:eastAsia="宋体" w:cs="Times New Roman"/>
        </w:rPr>
        <w:t>远程连接服务：技术支持人员在客户授权后，可通过远程连接进入客户的系统帮助客户解决问题。可远程连接到客户的系统在客户的系统上做编程调整，从而确保系统为用户产生最大的效益。</w:t>
      </w:r>
    </w:p>
    <w:p>
      <w:pPr>
        <w:numPr>
          <w:ilvl w:val="0"/>
          <w:numId w:val="114"/>
        </w:numPr>
        <w:ind w:left="0" w:firstLine="420"/>
        <w:rPr>
          <w:rFonts w:ascii="Times New Roman" w:hAnsi="Times New Roman" w:eastAsia="宋体" w:cs="Times New Roman"/>
        </w:rPr>
      </w:pPr>
      <w:r>
        <w:rPr>
          <w:rFonts w:ascii="Times New Roman" w:hAnsi="Times New Roman" w:eastAsia="宋体" w:cs="Times New Roman"/>
        </w:rPr>
        <w:t>现场服务：在客户授权的情况下，进入客户的软件管理系统，定期检查系统运行状况，预测系统未来可能出现的问题。如需工程师现场了解判断和解决问题，我公司将尽快安排工程师以最快的速度赶赴现场。</w:t>
      </w:r>
    </w:p>
    <w:p>
      <w:pPr>
        <w:numPr>
          <w:ilvl w:val="0"/>
          <w:numId w:val="114"/>
        </w:numPr>
        <w:ind w:left="0" w:firstLine="420"/>
      </w:pPr>
      <w:r>
        <w:rPr>
          <w:rFonts w:ascii="Times New Roman" w:hAnsi="Times New Roman" w:eastAsia="宋体" w:cs="Times New Roman"/>
        </w:rPr>
        <w:t>客户回访：公司为了保证每次客户服务工作落地有声，公司客户服务中心工作人员对每次服务工作情况进行电话或上门回访，具体内容有服务态度、服务质量、故障解决水平等。</w:t>
      </w:r>
    </w:p>
    <w:p>
      <w:pPr>
        <w:pStyle w:val="5"/>
        <w:tabs>
          <w:tab w:val="left" w:pos="0"/>
        </w:tabs>
        <w:ind w:firstLine="480"/>
      </w:pPr>
      <w:bookmarkStart w:id="107" w:name="_Toc6187"/>
      <w:bookmarkStart w:id="108" w:name="_Toc13775"/>
      <w:r>
        <w:rPr>
          <w:rFonts w:hint="eastAsia"/>
        </w:rPr>
        <w:t>拟投入售后服务人员配置情况</w:t>
      </w:r>
      <w:bookmarkEnd w:id="107"/>
      <w:bookmarkEnd w:id="108"/>
    </w:p>
    <w:p>
      <w:pPr>
        <w:ind w:firstLine="420"/>
      </w:pPr>
      <w:r>
        <w:rPr>
          <w:rFonts w:hint="eastAsia"/>
        </w:rPr>
        <w:t>项目组成人员一览表</w:t>
      </w:r>
    </w:p>
    <w:p>
      <w:pPr>
        <w:ind w:firstLine="0" w:firstLineChars="0"/>
      </w:pPr>
    </w:p>
    <w:tbl>
      <w:tblPr>
        <w:tblStyle w:val="16"/>
        <w:tblW w:w="9071" w:type="dxa"/>
        <w:jc w:val="center"/>
        <w:tblLayout w:type="fixed"/>
        <w:tblCellMar>
          <w:top w:w="0" w:type="dxa"/>
          <w:left w:w="108" w:type="dxa"/>
          <w:bottom w:w="0" w:type="dxa"/>
          <w:right w:w="108" w:type="dxa"/>
        </w:tblCellMar>
      </w:tblPr>
      <w:tblGrid>
        <w:gridCol w:w="661"/>
        <w:gridCol w:w="925"/>
        <w:gridCol w:w="1518"/>
        <w:gridCol w:w="641"/>
        <w:gridCol w:w="1728"/>
        <w:gridCol w:w="2163"/>
        <w:gridCol w:w="1435"/>
      </w:tblGrid>
      <w:tr>
        <w:tblPrEx>
          <w:tblCellMar>
            <w:top w:w="0" w:type="dxa"/>
            <w:left w:w="108" w:type="dxa"/>
            <w:bottom w:w="0" w:type="dxa"/>
            <w:right w:w="108" w:type="dxa"/>
          </w:tblCellMar>
        </w:tblPrEx>
        <w:trPr>
          <w:trHeight w:val="454" w:hRule="atLeast"/>
          <w:jc w:val="center"/>
        </w:trPr>
        <w:tc>
          <w:tcPr>
            <w:tcW w:w="661" w:type="dxa"/>
            <w:tcBorders>
              <w:top w:val="single" w:color="auto" w:sz="12" w:space="0"/>
              <w:left w:val="single" w:color="auto" w:sz="12"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序号</w:t>
            </w:r>
          </w:p>
        </w:tc>
        <w:tc>
          <w:tcPr>
            <w:tcW w:w="925"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姓名</w:t>
            </w:r>
          </w:p>
        </w:tc>
        <w:tc>
          <w:tcPr>
            <w:tcW w:w="1518"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本项目拟任职务</w:t>
            </w:r>
          </w:p>
        </w:tc>
        <w:tc>
          <w:tcPr>
            <w:tcW w:w="641"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学历</w:t>
            </w:r>
          </w:p>
        </w:tc>
        <w:tc>
          <w:tcPr>
            <w:tcW w:w="1728"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职称或职业资格</w:t>
            </w:r>
          </w:p>
        </w:tc>
        <w:tc>
          <w:tcPr>
            <w:tcW w:w="2163"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身份证</w:t>
            </w:r>
          </w:p>
        </w:tc>
        <w:tc>
          <w:tcPr>
            <w:tcW w:w="1435" w:type="dxa"/>
            <w:tcBorders>
              <w:top w:val="single" w:color="auto" w:sz="12" w:space="0"/>
              <w:left w:val="nil"/>
              <w:bottom w:val="single" w:color="auto" w:sz="4" w:space="0"/>
              <w:right w:val="single" w:color="auto" w:sz="12"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电话</w:t>
            </w:r>
          </w:p>
        </w:tc>
      </w:tr>
      <w:tr>
        <w:tblPrEx>
          <w:tblCellMar>
            <w:top w:w="0" w:type="dxa"/>
            <w:left w:w="108" w:type="dxa"/>
            <w:bottom w:w="0" w:type="dxa"/>
            <w:right w:w="108" w:type="dxa"/>
          </w:tblCellMar>
        </w:tblPrEx>
        <w:trPr>
          <w:trHeight w:val="454" w:hRule="atLeast"/>
          <w:jc w:val="center"/>
        </w:trPr>
        <w:tc>
          <w:tcPr>
            <w:tcW w:w="661" w:type="dxa"/>
            <w:tcBorders>
              <w:top w:val="nil"/>
              <w:left w:val="single" w:color="auto" w:sz="12"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1</w:t>
            </w:r>
          </w:p>
        </w:tc>
        <w:tc>
          <w:tcPr>
            <w:tcW w:w="925"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张伟超</w:t>
            </w:r>
          </w:p>
        </w:tc>
        <w:tc>
          <w:tcPr>
            <w:tcW w:w="151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项目负责人</w:t>
            </w:r>
          </w:p>
        </w:tc>
        <w:tc>
          <w:tcPr>
            <w:tcW w:w="641"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本科</w:t>
            </w:r>
          </w:p>
        </w:tc>
        <w:tc>
          <w:tcPr>
            <w:tcW w:w="172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t>系统工程师</w:t>
            </w:r>
          </w:p>
        </w:tc>
        <w:tc>
          <w:tcPr>
            <w:tcW w:w="216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pPr>
            <w:r>
              <w:rPr>
                <w:rFonts w:hint="eastAsia"/>
              </w:rPr>
              <w:t>230802198411290512</w:t>
            </w:r>
          </w:p>
        </w:tc>
        <w:tc>
          <w:tcPr>
            <w:tcW w:w="1435" w:type="dxa"/>
            <w:tcBorders>
              <w:top w:val="nil"/>
              <w:left w:val="nil"/>
              <w:bottom w:val="single" w:color="auto" w:sz="4" w:space="0"/>
              <w:right w:val="single" w:color="auto" w:sz="12" w:space="0"/>
            </w:tcBorders>
            <w:shd w:val="clear" w:color="auto" w:fill="auto"/>
            <w:vAlign w:val="center"/>
          </w:tcPr>
          <w:p>
            <w:pPr>
              <w:widowControl/>
              <w:adjustRightInd w:val="0"/>
              <w:snapToGrid w:val="0"/>
              <w:spacing w:line="240" w:lineRule="auto"/>
              <w:ind w:firstLine="0" w:firstLineChars="0"/>
              <w:jc w:val="center"/>
            </w:pPr>
            <w:r>
              <w:t>17679520666</w:t>
            </w:r>
          </w:p>
        </w:tc>
      </w:tr>
      <w:tr>
        <w:tblPrEx>
          <w:tblCellMar>
            <w:top w:w="0" w:type="dxa"/>
            <w:left w:w="108" w:type="dxa"/>
            <w:bottom w:w="0" w:type="dxa"/>
            <w:right w:w="108" w:type="dxa"/>
          </w:tblCellMar>
        </w:tblPrEx>
        <w:trPr>
          <w:trHeight w:val="454" w:hRule="atLeast"/>
          <w:jc w:val="center"/>
        </w:trPr>
        <w:tc>
          <w:tcPr>
            <w:tcW w:w="661" w:type="dxa"/>
            <w:tcBorders>
              <w:top w:val="nil"/>
              <w:left w:val="single" w:color="auto" w:sz="12"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2</w:t>
            </w:r>
          </w:p>
        </w:tc>
        <w:tc>
          <w:tcPr>
            <w:tcW w:w="925"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杨宪杰</w:t>
            </w:r>
          </w:p>
        </w:tc>
        <w:tc>
          <w:tcPr>
            <w:tcW w:w="151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项目联系人</w:t>
            </w:r>
          </w:p>
        </w:tc>
        <w:tc>
          <w:tcPr>
            <w:tcW w:w="641"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本科</w:t>
            </w:r>
          </w:p>
        </w:tc>
        <w:tc>
          <w:tcPr>
            <w:tcW w:w="172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rPr>
              <w:t>硬件工程师</w:t>
            </w:r>
          </w:p>
        </w:tc>
        <w:tc>
          <w:tcPr>
            <w:tcW w:w="216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pPr>
            <w:r>
              <w:t>210124199411161017</w:t>
            </w:r>
          </w:p>
        </w:tc>
        <w:tc>
          <w:tcPr>
            <w:tcW w:w="1435" w:type="dxa"/>
            <w:tcBorders>
              <w:top w:val="nil"/>
              <w:left w:val="nil"/>
              <w:bottom w:val="single" w:color="auto" w:sz="4" w:space="0"/>
              <w:right w:val="single" w:color="auto" w:sz="12" w:space="0"/>
            </w:tcBorders>
            <w:shd w:val="clear" w:color="auto" w:fill="auto"/>
            <w:vAlign w:val="center"/>
          </w:tcPr>
          <w:p>
            <w:pPr>
              <w:widowControl/>
              <w:adjustRightInd w:val="0"/>
              <w:snapToGrid w:val="0"/>
              <w:spacing w:line="240" w:lineRule="auto"/>
              <w:ind w:firstLine="0" w:firstLineChars="0"/>
              <w:jc w:val="center"/>
            </w:pPr>
            <w:r>
              <w:t>15911166024</w:t>
            </w:r>
          </w:p>
        </w:tc>
      </w:tr>
      <w:tr>
        <w:tblPrEx>
          <w:tblCellMar>
            <w:top w:w="0" w:type="dxa"/>
            <w:left w:w="108" w:type="dxa"/>
            <w:bottom w:w="0" w:type="dxa"/>
            <w:right w:w="108" w:type="dxa"/>
          </w:tblCellMar>
        </w:tblPrEx>
        <w:trPr>
          <w:trHeight w:val="454" w:hRule="atLeast"/>
          <w:jc w:val="center"/>
        </w:trPr>
        <w:tc>
          <w:tcPr>
            <w:tcW w:w="661" w:type="dxa"/>
            <w:tcBorders>
              <w:top w:val="single" w:color="auto" w:sz="4" w:space="0"/>
              <w:left w:val="single" w:color="auto" w:sz="12"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3</w:t>
            </w:r>
          </w:p>
        </w:tc>
        <w:tc>
          <w:tcPr>
            <w:tcW w:w="925"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林源</w:t>
            </w:r>
          </w:p>
        </w:tc>
        <w:tc>
          <w:tcPr>
            <w:tcW w:w="1518"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售后服务人员</w:t>
            </w:r>
          </w:p>
        </w:tc>
        <w:tc>
          <w:tcPr>
            <w:tcW w:w="641"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本科</w:t>
            </w:r>
          </w:p>
        </w:tc>
        <w:tc>
          <w:tcPr>
            <w:tcW w:w="1728"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pPr>
            <w:r>
              <w:rPr>
                <w:rFonts w:hint="eastAsia"/>
              </w:rPr>
              <w:t>售后服务专员</w:t>
            </w:r>
          </w:p>
        </w:tc>
        <w:tc>
          <w:tcPr>
            <w:tcW w:w="2163"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pPr>
            <w:r>
              <w:rPr>
                <w:rFonts w:hint="eastAsia"/>
              </w:rPr>
              <w:t>500109198704047534</w:t>
            </w:r>
          </w:p>
        </w:tc>
        <w:tc>
          <w:tcPr>
            <w:tcW w:w="1435" w:type="dxa"/>
            <w:tcBorders>
              <w:top w:val="single" w:color="auto" w:sz="4" w:space="0"/>
              <w:left w:val="single" w:color="auto" w:sz="4" w:space="0"/>
              <w:bottom w:val="single" w:color="auto" w:sz="12" w:space="0"/>
              <w:right w:val="single" w:color="auto" w:sz="12" w:space="0"/>
            </w:tcBorders>
            <w:shd w:val="clear" w:color="auto" w:fill="auto"/>
            <w:vAlign w:val="center"/>
          </w:tcPr>
          <w:p>
            <w:pPr>
              <w:widowControl/>
              <w:adjustRightInd w:val="0"/>
              <w:snapToGrid w:val="0"/>
              <w:spacing w:line="240" w:lineRule="auto"/>
              <w:ind w:firstLine="0" w:firstLineChars="0"/>
              <w:jc w:val="center"/>
            </w:pPr>
            <w:r>
              <w:rPr>
                <w:rFonts w:hint="eastAsia"/>
              </w:rPr>
              <w:t>13598562588</w:t>
            </w:r>
          </w:p>
        </w:tc>
      </w:tr>
    </w:tbl>
    <w:p>
      <w:pPr>
        <w:ind w:firstLine="0" w:firstLineChars="0"/>
      </w:pPr>
    </w:p>
    <w:p>
      <w:pPr>
        <w:ind w:firstLine="0" w:firstLineChars="0"/>
      </w:pPr>
      <w:r>
        <w:rPr>
          <w:rFonts w:hint="eastAsia"/>
        </w:rPr>
        <w:t>按磋商文件要求在本表后附相关人员证书。</w:t>
      </w:r>
    </w:p>
    <w:p>
      <w:pPr>
        <w:ind w:firstLine="0" w:firstLineChars="0"/>
      </w:pPr>
      <w:r>
        <w:drawing>
          <wp:inline distT="0" distB="0" distL="114300" distR="114300">
            <wp:extent cx="5600700" cy="3924300"/>
            <wp:effectExtent l="0" t="0" r="0" b="0"/>
            <wp:docPr id="1673668554" name="图片 1673668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68554" name="图片 1673668554"/>
                    <pic:cNvPicPr>
                      <a:picLocks noChangeAspect="1"/>
                    </pic:cNvPicPr>
                  </pic:nvPicPr>
                  <pic:blipFill>
                    <a:blip r:embed="rId32"/>
                    <a:stretch>
                      <a:fillRect/>
                    </a:stretch>
                  </pic:blipFill>
                  <pic:spPr>
                    <a:xfrm>
                      <a:off x="0" y="0"/>
                      <a:ext cx="5600700" cy="3924300"/>
                    </a:xfrm>
                    <a:prstGeom prst="rect">
                      <a:avLst/>
                    </a:prstGeom>
                    <a:noFill/>
                    <a:ln>
                      <a:noFill/>
                    </a:ln>
                  </pic:spPr>
                </pic:pic>
              </a:graphicData>
            </a:graphic>
          </wp:inline>
        </w:drawing>
      </w:r>
    </w:p>
    <w:p>
      <w:pPr>
        <w:ind w:firstLine="0" w:firstLineChars="0"/>
      </w:pPr>
      <w:r>
        <w:rPr>
          <w:rFonts w:hint="eastAsia"/>
        </w:rPr>
        <w:t>注：</w:t>
      </w:r>
    </w:p>
    <w:p>
      <w:pPr>
        <w:ind w:firstLine="0" w:firstLineChars="0"/>
      </w:pPr>
      <w:r>
        <w:rPr>
          <w:rFonts w:hint="eastAsia"/>
        </w:rPr>
        <w:t>1.本项目拟任职务处应包括：项目负责人、项目联系人、项目服务人员或技术人员等。</w:t>
      </w:r>
    </w:p>
    <w:p>
      <w:pPr>
        <w:ind w:firstLine="0" w:firstLineChars="0"/>
      </w:pPr>
      <w:r>
        <w:rPr>
          <w:rFonts w:hint="eastAsia"/>
        </w:rPr>
        <w:t>2.如供应商中标，须按本表承诺人员操作，不得随意更换。</w:t>
      </w:r>
    </w:p>
    <w:p>
      <w:pPr>
        <w:ind w:firstLine="0" w:firstLineChars="0"/>
      </w:pPr>
    </w:p>
    <w:p>
      <w:pPr>
        <w:pStyle w:val="5"/>
        <w:tabs>
          <w:tab w:val="left" w:pos="0"/>
        </w:tabs>
        <w:ind w:firstLine="480"/>
      </w:pPr>
      <w:bookmarkStart w:id="109" w:name="_Toc1875"/>
      <w:bookmarkStart w:id="110" w:name="_Toc16579"/>
      <w:r>
        <w:rPr>
          <w:rFonts w:hint="eastAsia"/>
        </w:rPr>
        <w:t>日常维护</w:t>
      </w:r>
      <w:bookmarkEnd w:id="109"/>
      <w:bookmarkEnd w:id="110"/>
    </w:p>
    <w:p>
      <w:pPr>
        <w:pStyle w:val="6"/>
        <w:ind w:firstLine="420"/>
      </w:pPr>
      <w:bookmarkStart w:id="111" w:name="_Toc10626"/>
      <w:bookmarkStart w:id="112" w:name="_Toc25199"/>
      <w:bookmarkStart w:id="113" w:name="_Toc22308"/>
      <w:bookmarkStart w:id="114" w:name="_Toc6106"/>
      <w:bookmarkStart w:id="115" w:name="_Toc28895"/>
      <w:bookmarkStart w:id="116" w:name="_Toc32106"/>
      <w:bookmarkStart w:id="117" w:name="_Toc16693"/>
      <w:bookmarkStart w:id="118" w:name="_Toc30492"/>
      <w:bookmarkStart w:id="119" w:name="_Toc12743"/>
      <w:bookmarkStart w:id="120" w:name="_Toc19643"/>
      <w:bookmarkStart w:id="121" w:name="_Toc13176"/>
      <w:r>
        <w:rPr>
          <w:rFonts w:hint="eastAsia"/>
        </w:rPr>
        <w:t>技术咨询与交流</w:t>
      </w:r>
      <w:bookmarkEnd w:id="111"/>
      <w:bookmarkEnd w:id="112"/>
      <w:bookmarkEnd w:id="113"/>
      <w:bookmarkEnd w:id="114"/>
      <w:bookmarkEnd w:id="115"/>
      <w:bookmarkEnd w:id="116"/>
      <w:bookmarkEnd w:id="117"/>
      <w:bookmarkEnd w:id="118"/>
      <w:bookmarkEnd w:id="119"/>
      <w:bookmarkEnd w:id="120"/>
      <w:bookmarkEnd w:id="121"/>
    </w:p>
    <w:p>
      <w:pPr>
        <w:ind w:firstLine="420"/>
      </w:pPr>
      <w:r>
        <w:rPr>
          <w:rFonts w:hint="eastAsia"/>
        </w:rPr>
        <w:t>在保修期内，我方的技术人员将时刻跟踪新的技术领域，收集整理相关资料。根据甲方的实际情况和需求与甲方的技术人员进行技术交流，并采用电话、传真、邮件、网站的方式将最新的信息传送给甲方的技术人员。</w:t>
      </w:r>
    </w:p>
    <w:p>
      <w:pPr>
        <w:ind w:firstLine="420"/>
      </w:pPr>
      <w:r>
        <w:rPr>
          <w:rFonts w:hint="eastAsia"/>
        </w:rPr>
        <w:t>对甲方技术人员提出的技术交流需求，我方的技术人员将会在最短时间内与甲方技术人员取得联系，详细了解和分析具体需求内容并回答甲方技术人员提出的问题，以最快速度从我技术支持知识库中提取相应内容，或从其他途径获得相应技术资料，反馈给甲方技术人员，并对知识库进行内容更新。</w:t>
      </w:r>
    </w:p>
    <w:p>
      <w:pPr>
        <w:pStyle w:val="6"/>
        <w:ind w:firstLine="420"/>
      </w:pPr>
      <w:bookmarkStart w:id="122" w:name="_Toc20263"/>
      <w:bookmarkStart w:id="123" w:name="_Toc281470572"/>
      <w:bookmarkStart w:id="124" w:name="_Toc319434167"/>
      <w:bookmarkStart w:id="125" w:name="_Toc17832"/>
      <w:bookmarkStart w:id="126" w:name="_Toc26147"/>
      <w:bookmarkStart w:id="127" w:name="_Toc29508"/>
      <w:bookmarkStart w:id="128" w:name="_Toc7284"/>
      <w:bookmarkStart w:id="129" w:name="_Toc29440"/>
      <w:bookmarkStart w:id="130" w:name="_Toc307803015"/>
      <w:bookmarkStart w:id="131" w:name="_Toc16206"/>
      <w:bookmarkStart w:id="132" w:name="_Toc28228"/>
      <w:bookmarkStart w:id="133" w:name="_Toc16804"/>
      <w:bookmarkStart w:id="134" w:name="_Toc14863"/>
      <w:bookmarkStart w:id="135" w:name="_Toc26463"/>
      <w:bookmarkStart w:id="136" w:name="_Toc318119769"/>
      <w:bookmarkStart w:id="137" w:name="_Toc18272"/>
      <w:bookmarkStart w:id="138" w:name="_Toc304841449"/>
      <w:bookmarkStart w:id="139" w:name="_Toc29479"/>
      <w:bookmarkStart w:id="140" w:name="_Toc707"/>
      <w:bookmarkStart w:id="141" w:name="_Toc313896546"/>
      <w:bookmarkStart w:id="142" w:name="_Toc20748"/>
      <w:bookmarkStart w:id="143" w:name="_Toc52"/>
      <w:bookmarkStart w:id="144" w:name="_Toc5439"/>
      <w:bookmarkStart w:id="145" w:name="_Toc31167"/>
      <w:bookmarkStart w:id="146" w:name="_Toc24790"/>
      <w:bookmarkStart w:id="147" w:name="_Toc24400"/>
      <w:bookmarkStart w:id="148" w:name="_Toc14093"/>
      <w:bookmarkStart w:id="149" w:name="_Toc32333"/>
      <w:bookmarkStart w:id="150" w:name="_Toc25542"/>
      <w:bookmarkStart w:id="151" w:name="_Toc20015"/>
      <w:bookmarkStart w:id="152" w:name="_Toc2601"/>
      <w:bookmarkStart w:id="153" w:name="_Toc11328"/>
      <w:bookmarkStart w:id="154" w:name="_Toc20557"/>
      <w:bookmarkStart w:id="155" w:name="_Toc22258"/>
      <w:bookmarkStart w:id="156" w:name="_Toc9828"/>
      <w:bookmarkStart w:id="157" w:name="_Toc317465977"/>
      <w:bookmarkStart w:id="158" w:name="_Toc13947"/>
      <w:bookmarkStart w:id="159" w:name="_Toc301812561"/>
      <w:r>
        <w:rPr>
          <w:rFonts w:hint="eastAsia"/>
        </w:rPr>
        <w:t>设备保修</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p>
    <w:p>
      <w:pPr>
        <w:ind w:firstLine="420"/>
      </w:pPr>
      <w:r>
        <w:rPr>
          <w:rFonts w:hint="eastAsia"/>
        </w:rPr>
        <w:t>我公司与设备生产厂商共同为本项目的全部设备提供优质的免费保修服务。在接到系统中的设备故障报告之后，甲方服务中心将立即做出实质性响应，与甲方技术人员沟通，并就近派出技术人员到达甲方现场进行现场服务，了解故障的详细信息，判断故障的性质，为甲方提供应急策略，保证正常使用。</w:t>
      </w:r>
    </w:p>
    <w:p>
      <w:pPr>
        <w:ind w:firstLine="420"/>
      </w:pPr>
      <w:r>
        <w:rPr>
          <w:rFonts w:hint="eastAsia"/>
        </w:rPr>
        <w:t>同时甲方服务中心会及时提取设备厂商备品备件进行更换，保甲方得到无故障设备。为了保证出现设备故障时，及时恢复系统运行并进行设备更换，我们制定了多种保障措施，详细说明如下：</w:t>
      </w:r>
    </w:p>
    <w:p>
      <w:pPr>
        <w:ind w:firstLine="420"/>
      </w:pPr>
      <w:r>
        <w:rPr>
          <w:rFonts w:hint="eastAsia"/>
        </w:rPr>
        <w:t>工程建设期间及质保期内，提供硬件设备原厂商售后服务支持。</w:t>
      </w:r>
    </w:p>
    <w:p>
      <w:pPr>
        <w:ind w:firstLine="420"/>
      </w:pPr>
      <w:r>
        <w:rPr>
          <w:rFonts w:hint="eastAsia"/>
        </w:rPr>
        <w:t>对确定不能当场修复的硬件设备，在设备维修期间，我提供替代产品，由此产生的一切费用，由我公司承担。</w:t>
      </w:r>
    </w:p>
    <w:p>
      <w:pPr>
        <w:ind w:firstLine="420"/>
      </w:pPr>
      <w:r>
        <w:rPr>
          <w:rFonts w:hint="eastAsia"/>
        </w:rPr>
        <w:t>保证长期向甲方提供维修配件。</w:t>
      </w:r>
    </w:p>
    <w:p>
      <w:pPr>
        <w:ind w:firstLine="420"/>
      </w:pPr>
      <w:r>
        <w:rPr>
          <w:rFonts w:hint="eastAsia"/>
        </w:rPr>
        <w:t>我们为本项目设计了周密的备品备件方案，关键设备厂商备件库均有充足的备品备件资源，能够保证及时为甲方提供备件供应。</w:t>
      </w:r>
    </w:p>
    <w:p>
      <w:pPr>
        <w:ind w:firstLine="420"/>
      </w:pPr>
      <w:r>
        <w:rPr>
          <w:rFonts w:hint="eastAsia"/>
        </w:rPr>
        <w:t>一旦出现设备故障，我公司甲方服务中心保证能够在最短时间内到达故障现场，分析并处理故障，甲方服务中心将会及时提取设备厂商备品备件资源，派出技术人员前往故障现场进行更换。</w:t>
      </w:r>
    </w:p>
    <w:p>
      <w:pPr>
        <w:pStyle w:val="6"/>
        <w:ind w:firstLine="420"/>
      </w:pPr>
      <w:bookmarkStart w:id="160" w:name="_Toc15796"/>
      <w:bookmarkStart w:id="161" w:name="_Toc318119770"/>
      <w:bookmarkStart w:id="162" w:name="_Toc12936"/>
      <w:bookmarkStart w:id="163" w:name="_Toc301812563"/>
      <w:bookmarkStart w:id="164" w:name="_Toc10083"/>
      <w:bookmarkStart w:id="165" w:name="_Toc19417"/>
      <w:bookmarkStart w:id="166" w:name="_Toc30162"/>
      <w:bookmarkStart w:id="167" w:name="_Toc23007"/>
      <w:bookmarkStart w:id="168" w:name="_Toc281470574"/>
      <w:bookmarkStart w:id="169" w:name="_Toc16411"/>
      <w:bookmarkStart w:id="170" w:name="_Toc304841450"/>
      <w:bookmarkStart w:id="171" w:name="_Toc26002"/>
      <w:bookmarkStart w:id="172" w:name="_Toc2188"/>
      <w:bookmarkStart w:id="173" w:name="_Toc32670"/>
      <w:bookmarkStart w:id="174" w:name="_Toc307803016"/>
      <w:bookmarkStart w:id="175" w:name="_Toc9748"/>
      <w:bookmarkStart w:id="176" w:name="_Toc27946"/>
      <w:bookmarkStart w:id="177" w:name="_Toc38"/>
      <w:bookmarkStart w:id="178" w:name="_Toc26771"/>
      <w:bookmarkStart w:id="179" w:name="_Toc317465978"/>
      <w:bookmarkStart w:id="180" w:name="_Toc12534"/>
      <w:bookmarkStart w:id="181" w:name="_Toc24823"/>
      <w:bookmarkStart w:id="182" w:name="_Toc9554"/>
      <w:bookmarkStart w:id="183" w:name="_Toc25714"/>
      <w:bookmarkStart w:id="184" w:name="_Toc319434168"/>
      <w:bookmarkStart w:id="185" w:name="_Toc313896547"/>
      <w:bookmarkStart w:id="186" w:name="_Toc29361"/>
      <w:bookmarkStart w:id="187" w:name="_Toc17966"/>
      <w:bookmarkStart w:id="188" w:name="_Toc19987"/>
      <w:bookmarkStart w:id="189" w:name="_Toc3499"/>
      <w:bookmarkStart w:id="190" w:name="_Toc10795"/>
      <w:bookmarkStart w:id="191" w:name="_Toc22031"/>
      <w:bookmarkStart w:id="192" w:name="_Toc30153"/>
      <w:bookmarkStart w:id="193" w:name="_Toc28421"/>
      <w:bookmarkStart w:id="194" w:name="_Toc11490"/>
      <w:bookmarkStart w:id="195" w:name="_Toc14965"/>
      <w:bookmarkStart w:id="196" w:name="_Toc14265"/>
      <w:r>
        <w:rPr>
          <w:rFonts w:hint="eastAsia"/>
        </w:rPr>
        <w:t>运行维护</w:t>
      </w:r>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pPr>
        <w:ind w:firstLine="420"/>
      </w:pPr>
      <w:r>
        <w:rPr>
          <w:rFonts w:hint="eastAsia"/>
        </w:rPr>
        <w:t>设备进入技术支持与售后服务阶段后，甲方服务中心将提供系统定期的应用检查，并提供巡检报告。巡查的方式包括电话问讯、问卷或现场巡查等方式。其中，公司承诺对项目现场巡查每年不少于4次，并提供详细的巡检报告。</w:t>
      </w:r>
    </w:p>
    <w:p>
      <w:pPr>
        <w:ind w:firstLine="420"/>
      </w:pPr>
      <w:r>
        <w:rPr>
          <w:rFonts w:hint="eastAsia"/>
        </w:rPr>
        <w:t>每次巡检结束后，甲方服务中心将对整个系统的运行状况进行阶段性的评估，详细描述系统的运行状况，系统的稳定程度，性能是否达到最优的使用程度，并对运行过程中出现的问题提出有针对性的和建设性的意见，对系统的今后运行给出指导性建议。</w:t>
      </w:r>
    </w:p>
    <w:p>
      <w:pPr>
        <w:ind w:firstLine="420"/>
      </w:pPr>
      <w:r>
        <w:rPr>
          <w:rFonts w:hint="eastAsia"/>
        </w:rPr>
        <w:t>我公司为定期巡检设计了专用的跟踪、巡检报告，以便能够及时准确的记录系统的整体运行情况和甲方的需求。</w:t>
      </w:r>
    </w:p>
    <w:p>
      <w:pPr>
        <w:pStyle w:val="6"/>
        <w:ind w:firstLine="420"/>
      </w:pPr>
      <w:bookmarkStart w:id="197" w:name="_Toc6680"/>
      <w:bookmarkStart w:id="198" w:name="_Toc304841451"/>
      <w:bookmarkStart w:id="199" w:name="_Toc307803017"/>
      <w:bookmarkStart w:id="200" w:name="_Toc15054"/>
      <w:bookmarkStart w:id="201" w:name="_Toc28273"/>
      <w:bookmarkStart w:id="202" w:name="_Toc10807"/>
      <w:bookmarkStart w:id="203" w:name="_Toc3527"/>
      <w:bookmarkStart w:id="204" w:name="_Toc313896548"/>
      <w:bookmarkStart w:id="205" w:name="_Toc27265"/>
      <w:bookmarkStart w:id="206" w:name="_Toc27288"/>
      <w:bookmarkStart w:id="207" w:name="_Toc28776"/>
      <w:bookmarkStart w:id="208" w:name="_Toc2423"/>
      <w:bookmarkStart w:id="209" w:name="_Toc24127"/>
      <w:bookmarkStart w:id="210" w:name="_Toc1452"/>
      <w:bookmarkStart w:id="211" w:name="_Toc10927"/>
      <w:bookmarkStart w:id="212" w:name="_Toc281470575"/>
      <w:bookmarkStart w:id="213" w:name="_Toc317465979"/>
      <w:bookmarkStart w:id="214" w:name="_Toc30376"/>
      <w:bookmarkStart w:id="215" w:name="_Toc26684"/>
      <w:bookmarkStart w:id="216" w:name="_Toc318119771"/>
      <w:bookmarkStart w:id="217" w:name="_Toc26495"/>
      <w:bookmarkStart w:id="218" w:name="_Toc30381"/>
      <w:bookmarkStart w:id="219" w:name="_Toc149"/>
      <w:bookmarkStart w:id="220" w:name="_Toc9396"/>
      <w:bookmarkStart w:id="221" w:name="_Toc4336"/>
      <w:bookmarkStart w:id="222" w:name="_Toc9700"/>
      <w:bookmarkStart w:id="223" w:name="_Toc2914"/>
      <w:bookmarkStart w:id="224" w:name="_Toc24800"/>
      <w:bookmarkStart w:id="225" w:name="_Toc7343"/>
      <w:bookmarkStart w:id="226" w:name="_Toc23943"/>
      <w:bookmarkStart w:id="227" w:name="_Toc32522"/>
      <w:bookmarkStart w:id="228" w:name="_Toc319434169"/>
      <w:bookmarkStart w:id="229" w:name="_Toc25949"/>
      <w:bookmarkStart w:id="230" w:name="_Toc28982"/>
      <w:bookmarkStart w:id="231" w:name="_Toc9390"/>
      <w:bookmarkStart w:id="232" w:name="_Toc301812564"/>
      <w:bookmarkStart w:id="233" w:name="_Toc14404"/>
      <w:bookmarkStart w:id="234" w:name="_Toc27921"/>
      <w:r>
        <w:rPr>
          <w:rFonts w:hint="eastAsia"/>
        </w:rPr>
        <w:t>功能优化完善</w:t>
      </w:r>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pPr>
        <w:ind w:firstLine="420"/>
      </w:pPr>
      <w:r>
        <w:rPr>
          <w:rFonts w:hint="eastAsia"/>
        </w:rPr>
        <w:t>我公司为甲方提供对设备的功能优化完善的技术支持。</w:t>
      </w:r>
    </w:p>
    <w:p>
      <w:pPr>
        <w:ind w:firstLine="420"/>
      </w:pPr>
      <w:r>
        <w:rPr>
          <w:rFonts w:hint="eastAsia"/>
        </w:rPr>
        <w:t>我公司将随时与甲方保持联系，了解系统当前使用状况，并根据实际情况为设备的功能和技术实现提供优化方案。</w:t>
      </w:r>
    </w:p>
    <w:p>
      <w:pPr>
        <w:ind w:firstLine="420"/>
      </w:pPr>
      <w:bookmarkStart w:id="235" w:name="_Toc319434170"/>
      <w:bookmarkStart w:id="236" w:name="_Toc22934"/>
      <w:bookmarkStart w:id="237" w:name="_Toc8870"/>
      <w:bookmarkStart w:id="238" w:name="_Toc26663"/>
      <w:bookmarkStart w:id="239" w:name="_Toc318119772"/>
      <w:bookmarkStart w:id="240" w:name="_Toc27930"/>
      <w:bookmarkStart w:id="241" w:name="_Toc27574"/>
      <w:bookmarkStart w:id="242" w:name="_Toc25211"/>
      <w:bookmarkStart w:id="243" w:name="_Toc313896549"/>
      <w:bookmarkStart w:id="244" w:name="_Toc6447"/>
      <w:bookmarkStart w:id="245" w:name="_Toc21604"/>
      <w:bookmarkStart w:id="246" w:name="_Toc1546"/>
      <w:bookmarkStart w:id="247" w:name="_Toc2501"/>
      <w:bookmarkStart w:id="248" w:name="_Toc7325"/>
      <w:bookmarkStart w:id="249" w:name="_Toc317465980"/>
      <w:bookmarkStart w:id="250" w:name="_Toc32377"/>
      <w:bookmarkStart w:id="251" w:name="_Toc5270"/>
      <w:bookmarkStart w:id="252" w:name="_Toc9762"/>
      <w:bookmarkStart w:id="253" w:name="_Toc301812565"/>
      <w:bookmarkStart w:id="254" w:name="_Toc304841452"/>
      <w:bookmarkStart w:id="255" w:name="_Toc281470576"/>
      <w:bookmarkStart w:id="256" w:name="_Toc307803018"/>
      <w:r>
        <w:rPr>
          <w:rFonts w:hint="eastAsia"/>
        </w:rPr>
        <w:t>技术服务</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pPr>
        <w:ind w:firstLine="420"/>
      </w:pPr>
      <w:r>
        <w:rPr>
          <w:rFonts w:hint="eastAsia"/>
        </w:rPr>
        <w:t>1）我公司将提供包括设备安装手册、甲方使用手册、设备维护手册、技术白皮书、主要货物技术授权书等在内的完备准确的工程技术资料。</w:t>
      </w:r>
    </w:p>
    <w:p>
      <w:pPr>
        <w:ind w:firstLine="420"/>
      </w:pPr>
      <w:r>
        <w:rPr>
          <w:rFonts w:hint="eastAsia"/>
        </w:rPr>
        <w:t>2）在设备开通，进入试运行阶段后，如发生应用软件或设备功能模块升级等情况，质保期内我公司将免费负责现场升级和向买方提供必要的技术资料，质保期外提供优惠的有偿服务。</w:t>
      </w:r>
    </w:p>
    <w:p>
      <w:pPr>
        <w:ind w:firstLine="420"/>
      </w:pPr>
      <w:r>
        <w:rPr>
          <w:rFonts w:hint="eastAsia"/>
        </w:rPr>
        <w:t>3）系统正式投入运行期后，我公司将派一名技术人员负责整个项目质保期的运行维护。</w:t>
      </w:r>
    </w:p>
    <w:bookmarkEnd w:id="253"/>
    <w:bookmarkEnd w:id="254"/>
    <w:bookmarkEnd w:id="255"/>
    <w:bookmarkEnd w:id="256"/>
    <w:p>
      <w:pPr>
        <w:pStyle w:val="6"/>
        <w:ind w:firstLine="420"/>
      </w:pPr>
      <w:bookmarkStart w:id="257" w:name="_Toc29225"/>
      <w:bookmarkStart w:id="258" w:name="_Toc24514"/>
      <w:bookmarkStart w:id="259" w:name="_Toc1642"/>
      <w:bookmarkStart w:id="260" w:name="_Toc2893"/>
      <w:bookmarkStart w:id="261" w:name="_Toc22443"/>
      <w:bookmarkStart w:id="262" w:name="_Toc1348"/>
      <w:bookmarkStart w:id="263" w:name="_Toc18688"/>
      <w:bookmarkStart w:id="264" w:name="_Toc307803019"/>
      <w:bookmarkStart w:id="265" w:name="_Toc9524"/>
      <w:bookmarkStart w:id="266" w:name="_Toc31017"/>
      <w:bookmarkStart w:id="267" w:name="_Toc24249"/>
      <w:bookmarkStart w:id="268" w:name="_Toc319434172"/>
      <w:bookmarkStart w:id="269" w:name="_Toc19654"/>
      <w:bookmarkStart w:id="270" w:name="_Toc10579"/>
      <w:bookmarkStart w:id="271" w:name="_Toc29059"/>
      <w:bookmarkStart w:id="272" w:name="_Toc10014"/>
      <w:bookmarkStart w:id="273" w:name="_Toc24652"/>
      <w:bookmarkStart w:id="274" w:name="_Toc24473"/>
      <w:bookmarkStart w:id="275" w:name="_Toc4438"/>
      <w:bookmarkStart w:id="276" w:name="_Toc30350"/>
      <w:bookmarkStart w:id="277" w:name="_Toc11091"/>
      <w:bookmarkStart w:id="278" w:name="_Toc12947"/>
      <w:bookmarkStart w:id="279" w:name="_Toc16113"/>
      <w:bookmarkStart w:id="280" w:name="_Toc19977"/>
      <w:bookmarkStart w:id="281" w:name="_Toc25862"/>
      <w:bookmarkStart w:id="282" w:name="_Toc6249"/>
      <w:bookmarkStart w:id="283" w:name="_Toc281470577"/>
      <w:bookmarkStart w:id="284" w:name="_Toc313896551"/>
      <w:bookmarkStart w:id="285" w:name="_Toc17264"/>
      <w:bookmarkStart w:id="286" w:name="_Toc301812566"/>
      <w:bookmarkStart w:id="287" w:name="_Toc304841453"/>
      <w:bookmarkStart w:id="288" w:name="_Toc19826"/>
      <w:bookmarkStart w:id="289" w:name="_Toc15632"/>
      <w:bookmarkStart w:id="290" w:name="_Toc318119774"/>
      <w:bookmarkStart w:id="291" w:name="_Toc317465982"/>
      <w:bookmarkStart w:id="292" w:name="_Toc15542"/>
      <w:bookmarkStart w:id="293" w:name="_Toc6129"/>
      <w:bookmarkStart w:id="294" w:name="_Toc24827"/>
      <w:r>
        <w:rPr>
          <w:rFonts w:hint="eastAsia"/>
        </w:rPr>
        <w:t>技术交流</w:t>
      </w:r>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p>
    <w:p>
      <w:pPr>
        <w:ind w:firstLine="420"/>
      </w:pPr>
      <w:r>
        <w:rPr>
          <w:rFonts w:hint="eastAsia"/>
        </w:rPr>
        <w:t>对甲方提出的技术交流需求，甲方服务中心的技术人员将会在最短时间内与相关人员取得联系，详细了解和分析具体需求内容并回答其提出的问题，以最快速度从我公司售后服务知识库中提取相应内容，或从其他途径获得相应技术资料，反馈给甲方，并对知识库进行内容更新。</w:t>
      </w:r>
    </w:p>
    <w:p>
      <w:pPr>
        <w:ind w:firstLine="420"/>
      </w:pPr>
      <w:r>
        <w:rPr>
          <w:rFonts w:hint="eastAsia"/>
        </w:rPr>
        <w:t>若甲方提出关于系统的技术研讨、征文等技术交流活动，我公司将积极响应，并派出本系统资深开发或技术支持工程师参与活动，具体参与办法等依实际情况由甲方与我公司协商决定。</w:t>
      </w:r>
    </w:p>
    <w:p>
      <w:pPr>
        <w:pStyle w:val="6"/>
        <w:ind w:firstLine="420"/>
      </w:pPr>
      <w:bookmarkStart w:id="295" w:name="_Toc7464"/>
      <w:bookmarkStart w:id="296" w:name="_Toc25664"/>
      <w:bookmarkStart w:id="297" w:name="_Toc29570"/>
      <w:bookmarkStart w:id="298" w:name="_Toc4829"/>
      <w:bookmarkStart w:id="299" w:name="_Toc26859"/>
      <w:bookmarkStart w:id="300" w:name="_Toc304841455"/>
      <w:bookmarkStart w:id="301" w:name="_Toc1444"/>
      <w:bookmarkStart w:id="302" w:name="_Toc12287"/>
      <w:bookmarkStart w:id="303" w:name="_Toc307803021"/>
      <w:bookmarkStart w:id="304" w:name="_Toc23244"/>
      <w:bookmarkStart w:id="305" w:name="_Toc12723"/>
      <w:bookmarkStart w:id="306" w:name="_Toc281470580"/>
      <w:bookmarkStart w:id="307" w:name="_Toc13857"/>
      <w:bookmarkStart w:id="308" w:name="_Toc2973"/>
      <w:bookmarkStart w:id="309" w:name="_Toc11126"/>
      <w:bookmarkStart w:id="310" w:name="_Toc538"/>
      <w:bookmarkStart w:id="311" w:name="_Toc23817"/>
      <w:bookmarkStart w:id="312" w:name="_Toc2227"/>
      <w:bookmarkStart w:id="313" w:name="_Toc25523"/>
      <w:bookmarkStart w:id="314" w:name="_Toc10872"/>
      <w:bookmarkStart w:id="315" w:name="_Toc313896553"/>
      <w:bookmarkStart w:id="316" w:name="_Toc29572"/>
      <w:bookmarkStart w:id="317" w:name="_Toc28476"/>
      <w:bookmarkStart w:id="318" w:name="_Toc18096"/>
      <w:bookmarkStart w:id="319" w:name="_Toc317465984"/>
      <w:bookmarkStart w:id="320" w:name="_Toc7745"/>
      <w:bookmarkStart w:id="321" w:name="_Toc2899"/>
      <w:bookmarkStart w:id="322" w:name="_Toc24884"/>
      <w:bookmarkStart w:id="323" w:name="_Toc319434174"/>
      <w:bookmarkStart w:id="324" w:name="_Toc15109"/>
      <w:bookmarkStart w:id="325" w:name="_Toc9478"/>
      <w:bookmarkStart w:id="326" w:name="_Toc14289"/>
      <w:bookmarkStart w:id="327" w:name="_Toc27621"/>
      <w:bookmarkStart w:id="328" w:name="_Toc31659"/>
      <w:bookmarkStart w:id="329" w:name="_Toc20564"/>
      <w:bookmarkStart w:id="330" w:name="_Toc12125"/>
      <w:bookmarkStart w:id="331" w:name="_Toc318119776"/>
      <w:r>
        <w:rPr>
          <w:rFonts w:hint="eastAsia"/>
        </w:rPr>
        <w:t>远程在线服务</w:t>
      </w:r>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p>
    <w:p>
      <w:pPr>
        <w:ind w:firstLine="420"/>
      </w:pPr>
      <w:r>
        <w:rPr>
          <w:rFonts w:hint="eastAsia"/>
        </w:rPr>
        <w:t>本项目将设立专门的甲方服务经理，并配备售后服务人员，为甲方提供7×8×365天包括电话、传真、邮件、互联网等服务形式。</w:t>
      </w:r>
    </w:p>
    <w:p>
      <w:pPr>
        <w:pStyle w:val="6"/>
        <w:ind w:firstLine="420"/>
      </w:pPr>
      <w:bookmarkStart w:id="332" w:name="_Toc31540"/>
      <w:bookmarkStart w:id="333" w:name="_Toc12076"/>
      <w:bookmarkStart w:id="334" w:name="_Toc23212"/>
      <w:bookmarkStart w:id="335" w:name="_Toc281470581"/>
      <w:bookmarkStart w:id="336" w:name="_Toc26487"/>
      <w:bookmarkStart w:id="337" w:name="_Toc11750"/>
      <w:bookmarkStart w:id="338" w:name="_Toc30659"/>
      <w:bookmarkStart w:id="339" w:name="_Toc3052"/>
      <w:bookmarkStart w:id="340" w:name="_Toc4617"/>
      <w:bookmarkStart w:id="341" w:name="_Toc31139"/>
      <w:bookmarkStart w:id="342" w:name="_Toc22617"/>
      <w:bookmarkStart w:id="343" w:name="_Toc5203"/>
      <w:bookmarkStart w:id="344" w:name="_Toc10900"/>
      <w:bookmarkStart w:id="345" w:name="_Toc4448"/>
      <w:bookmarkStart w:id="346" w:name="_Toc1416"/>
      <w:bookmarkStart w:id="347" w:name="_Toc313896554"/>
      <w:bookmarkStart w:id="348" w:name="_Toc30598"/>
      <w:bookmarkStart w:id="349" w:name="_Toc12566"/>
      <w:bookmarkStart w:id="350" w:name="_Toc307803022"/>
      <w:bookmarkStart w:id="351" w:name="_Toc7791"/>
      <w:bookmarkStart w:id="352" w:name="_Toc318119777"/>
      <w:bookmarkStart w:id="353" w:name="_Toc15333"/>
      <w:bookmarkStart w:id="354" w:name="_Toc319434175"/>
      <w:bookmarkStart w:id="355" w:name="_Toc24975"/>
      <w:bookmarkStart w:id="356" w:name="_Toc3752"/>
      <w:bookmarkStart w:id="357" w:name="_Toc24689"/>
      <w:bookmarkStart w:id="358" w:name="_Toc304841456"/>
      <w:bookmarkStart w:id="359" w:name="_Toc17741"/>
      <w:bookmarkStart w:id="360" w:name="_Toc12043"/>
      <w:bookmarkStart w:id="361" w:name="_Toc317465985"/>
      <w:bookmarkStart w:id="362" w:name="_Toc21790"/>
      <w:bookmarkStart w:id="363" w:name="_Toc8503"/>
      <w:bookmarkStart w:id="364" w:name="_Toc12351"/>
      <w:bookmarkStart w:id="365" w:name="_Toc6581"/>
      <w:bookmarkStart w:id="366" w:name="_Toc1909"/>
      <w:bookmarkStart w:id="367" w:name="_Toc13902"/>
      <w:bookmarkStart w:id="368" w:name="_Toc3994"/>
      <w:r>
        <w:rPr>
          <w:rFonts w:hint="eastAsia"/>
        </w:rPr>
        <w:t>知识库</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p>
    <w:p>
      <w:pPr>
        <w:ind w:firstLine="420"/>
      </w:pPr>
      <w:r>
        <w:rPr>
          <w:rFonts w:hint="eastAsia"/>
        </w:rPr>
        <w:t>我公司多年的技术支持经验，建立售后服务知识库对保证整个系统稳定运行至关重要。</w:t>
      </w:r>
    </w:p>
    <w:p>
      <w:pPr>
        <w:ind w:firstLine="420"/>
      </w:pPr>
      <w:r>
        <w:rPr>
          <w:rFonts w:hint="eastAsia"/>
        </w:rPr>
        <w:t>在本项目的实施过程以及技术支持与售后服务过程中，我公司技术人员将在售后服务知识库中实时统计记录发生的技术问题，同时，在每季度末将安排甲方服务中心资深技术支持人员将系统出现的技术问题及解决办法进行汇总分类，提交给甲方方技术支持中心，并协助甲方方技术支持中心建设好关于本项目的知识库。</w:t>
      </w:r>
    </w:p>
    <w:p>
      <w:pPr>
        <w:ind w:firstLine="420"/>
      </w:pPr>
      <w:r>
        <w:rPr>
          <w:rFonts w:hint="eastAsia"/>
        </w:rPr>
        <w:t>在技术支持与售后服务的过程中，技术支持人员还会不断跟踪与系统相关的技术信息，并提交给甲方方技术支持中心对知识库进行丰富和更新，以便相关技术人员能够掌握新技术。</w:t>
      </w:r>
    </w:p>
    <w:p>
      <w:pPr>
        <w:pStyle w:val="6"/>
        <w:ind w:firstLine="420"/>
      </w:pPr>
      <w:bookmarkStart w:id="369" w:name="_Toc16533"/>
      <w:bookmarkStart w:id="370" w:name="_Toc12795"/>
      <w:bookmarkStart w:id="371" w:name="_Toc9817"/>
      <w:bookmarkStart w:id="372" w:name="_Toc25357"/>
      <w:bookmarkStart w:id="373" w:name="_Toc13491"/>
      <w:bookmarkStart w:id="374" w:name="_Toc22949"/>
      <w:bookmarkStart w:id="375" w:name="_Toc377"/>
      <w:bookmarkStart w:id="376" w:name="_Toc30624"/>
      <w:bookmarkStart w:id="377" w:name="_Toc25213"/>
      <w:bookmarkStart w:id="378" w:name="_Toc313896555"/>
      <w:bookmarkStart w:id="379" w:name="_Toc27591"/>
      <w:bookmarkStart w:id="380" w:name="_Toc3915"/>
      <w:bookmarkStart w:id="381" w:name="_Toc3861"/>
      <w:bookmarkStart w:id="382" w:name="_Toc10254"/>
      <w:bookmarkStart w:id="383" w:name="_Toc23168"/>
      <w:bookmarkStart w:id="384" w:name="_Toc12326"/>
      <w:bookmarkStart w:id="385" w:name="_Toc317465986"/>
      <w:bookmarkStart w:id="386" w:name="_Toc3591"/>
      <w:bookmarkStart w:id="387" w:name="_Toc30296"/>
      <w:bookmarkStart w:id="388" w:name="_Toc318119778"/>
      <w:bookmarkStart w:id="389" w:name="_Toc19179"/>
      <w:bookmarkStart w:id="390" w:name="_Toc304841457"/>
      <w:bookmarkStart w:id="391" w:name="_Toc17683"/>
      <w:bookmarkStart w:id="392" w:name="_Toc24153"/>
      <w:bookmarkStart w:id="393" w:name="_Toc30520"/>
      <w:bookmarkStart w:id="394" w:name="_Toc13905"/>
      <w:bookmarkStart w:id="395" w:name="_Toc10671"/>
      <w:bookmarkStart w:id="396" w:name="_Toc10879"/>
      <w:bookmarkStart w:id="397" w:name="_Toc19848"/>
      <w:bookmarkStart w:id="398" w:name="_Toc13263"/>
      <w:bookmarkStart w:id="399" w:name="_Toc29917"/>
      <w:bookmarkStart w:id="400" w:name="_Toc108"/>
      <w:bookmarkStart w:id="401" w:name="_Toc281470582"/>
      <w:bookmarkStart w:id="402" w:name="_Toc10396"/>
      <w:bookmarkStart w:id="403" w:name="_Toc307803023"/>
      <w:bookmarkStart w:id="404" w:name="_Toc6282"/>
      <w:bookmarkStart w:id="405" w:name="_Toc319434176"/>
      <w:r>
        <w:rPr>
          <w:rFonts w:hint="eastAsia"/>
        </w:rPr>
        <w:t>运行报告</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pPr>
        <w:ind w:firstLine="420"/>
      </w:pPr>
      <w:r>
        <w:rPr>
          <w:rFonts w:hint="eastAsia"/>
        </w:rPr>
        <w:t>质保期内，我公司对每年4次系统巡检提交运行报告，记录并汇总在系统运行过程中出现的技术问题及解决办法，以及甲方提出的建议，并对检查出的问题提出有针对性的和建设性的意见，并完成设备使用报告，提交甲方。</w:t>
      </w:r>
    </w:p>
    <w:p>
      <w:pPr>
        <w:pStyle w:val="6"/>
        <w:ind w:firstLine="420"/>
      </w:pPr>
      <w:bookmarkStart w:id="406" w:name="_Toc29789"/>
      <w:bookmarkStart w:id="407" w:name="_Toc12961"/>
      <w:bookmarkStart w:id="408" w:name="_Toc9259"/>
      <w:bookmarkStart w:id="409" w:name="_Toc6871"/>
      <w:bookmarkStart w:id="410" w:name="_Toc19321"/>
      <w:bookmarkStart w:id="411" w:name="_Toc318119779"/>
      <w:bookmarkStart w:id="412" w:name="_Toc13850"/>
      <w:bookmarkStart w:id="413" w:name="_Toc4709"/>
      <w:bookmarkStart w:id="414" w:name="_Toc317465987"/>
      <w:bookmarkStart w:id="415" w:name="_Toc7302"/>
      <w:bookmarkStart w:id="416" w:name="_Toc19950"/>
      <w:bookmarkStart w:id="417" w:name="_Toc22516"/>
      <w:bookmarkStart w:id="418" w:name="_Toc24833"/>
      <w:bookmarkStart w:id="419" w:name="_Toc7402"/>
      <w:bookmarkStart w:id="420" w:name="_Toc313896556"/>
      <w:bookmarkStart w:id="421" w:name="_Toc409"/>
      <w:bookmarkStart w:id="422" w:name="_Toc25632"/>
      <w:bookmarkStart w:id="423" w:name="_Toc25119"/>
      <w:bookmarkStart w:id="424" w:name="_Toc20684"/>
      <w:bookmarkStart w:id="425" w:name="_Toc422927387"/>
      <w:bookmarkStart w:id="426" w:name="_Toc19943"/>
      <w:bookmarkStart w:id="427" w:name="_Toc32679"/>
      <w:bookmarkStart w:id="428" w:name="_Toc319434177"/>
      <w:bookmarkStart w:id="429" w:name="_Toc17182"/>
      <w:bookmarkStart w:id="430" w:name="_Toc27132"/>
      <w:bookmarkStart w:id="431" w:name="_Toc27369"/>
      <w:bookmarkStart w:id="432" w:name="_Toc15190"/>
      <w:bookmarkStart w:id="433" w:name="_Toc307803024"/>
      <w:bookmarkStart w:id="434" w:name="_Toc23014"/>
      <w:bookmarkStart w:id="435" w:name="_Toc304841458"/>
      <w:bookmarkStart w:id="436" w:name="_Toc22757"/>
      <w:bookmarkStart w:id="437" w:name="_Toc20911"/>
      <w:bookmarkStart w:id="438" w:name="_Toc2592"/>
      <w:bookmarkStart w:id="439" w:name="_Toc2717"/>
      <w:bookmarkStart w:id="440" w:name="_Toc442050393"/>
      <w:bookmarkStart w:id="441" w:name="_Toc16325"/>
      <w:r>
        <w:rPr>
          <w:rFonts w:hint="eastAsia"/>
        </w:rPr>
        <w:t>维修响应时间</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p>
    <w:p>
      <w:pPr>
        <w:ind w:firstLine="420"/>
      </w:pPr>
      <w:r>
        <w:rPr>
          <w:rFonts w:hint="eastAsia"/>
        </w:rPr>
        <w:t>针对设备使用过程中出现的技术故障，我公司设计了完善的技术故障应急策略，为甲方提供无忧的技术支持和故障处理。</w:t>
      </w:r>
    </w:p>
    <w:p>
      <w:pPr>
        <w:ind w:firstLine="420"/>
      </w:pPr>
      <w:r>
        <w:rPr>
          <w:rFonts w:hint="eastAsia"/>
        </w:rPr>
        <w:t>当甲方服务中心收到项目单位网络系统出现技术故障的技术支持与售后服务需求时，我们将立即做出实质性响应，联系项目单位技术人员核实故障情况，收集故障信息，并且立即派出甲方服务中心技术支持人员到达项目单位故障现场，以最快的速度分析故障原因，确定故障点，在根据故障类型和项目单位的需求，进行故障排除，保证解决技术故障。</w:t>
      </w:r>
    </w:p>
    <w:p>
      <w:pPr>
        <w:ind w:firstLine="420"/>
      </w:pPr>
      <w:r>
        <w:rPr>
          <w:rFonts w:hint="eastAsia"/>
        </w:rPr>
        <w:t>我公司在接到甲方电话、传真通知后，4小时内响应到场，8小时内完成维修或更换，特殊情况无法修复的，质保期内我公司将无条件更换新设备或提供代用设备，或采取使设备、系统可正常运转的措施。</w:t>
      </w:r>
    </w:p>
    <w:p>
      <w:pPr>
        <w:pStyle w:val="5"/>
        <w:tabs>
          <w:tab w:val="left" w:pos="0"/>
        </w:tabs>
        <w:ind w:firstLine="480"/>
      </w:pPr>
      <w:bookmarkStart w:id="442" w:name="_Toc30273"/>
      <w:bookmarkStart w:id="443" w:name="_Toc4961"/>
      <w:r>
        <w:rPr>
          <w:rFonts w:hint="eastAsia"/>
        </w:rPr>
        <w:t>项目交付用户后出现故障响应时间及措施</w:t>
      </w:r>
      <w:bookmarkEnd w:id="442"/>
      <w:bookmarkEnd w:id="443"/>
    </w:p>
    <w:p>
      <w:pPr>
        <w:pStyle w:val="6"/>
        <w:ind w:firstLine="420"/>
      </w:pPr>
      <w:bookmarkStart w:id="444" w:name="_Toc25815"/>
      <w:bookmarkStart w:id="445" w:name="_Toc21675"/>
      <w:bookmarkStart w:id="446" w:name="_Toc24281"/>
      <w:bookmarkStart w:id="447" w:name="_Toc27881"/>
      <w:bookmarkStart w:id="448" w:name="_Toc31987"/>
      <w:r>
        <w:rPr>
          <w:rFonts w:hint="eastAsia"/>
        </w:rPr>
        <w:t>应急服务标准</w:t>
      </w:r>
      <w:bookmarkEnd w:id="444"/>
      <w:bookmarkEnd w:id="445"/>
      <w:bookmarkEnd w:id="446"/>
      <w:bookmarkEnd w:id="447"/>
      <w:bookmarkEnd w:id="448"/>
    </w:p>
    <w:p>
      <w:pPr>
        <w:ind w:firstLine="420"/>
      </w:pPr>
      <w:r>
        <w:rPr>
          <w:rFonts w:hint="eastAsia"/>
        </w:rPr>
        <w:t>我公司设立有应急制度，指定专人负责本项目应急服务工作，提供7×24小时服务。我公司承诺接到甲方紧急供货需求后立即响应。</w:t>
      </w:r>
    </w:p>
    <w:p>
      <w:pPr>
        <w:pStyle w:val="6"/>
        <w:ind w:firstLine="420"/>
      </w:pPr>
      <w:bookmarkStart w:id="449" w:name="_Toc31971"/>
      <w:bookmarkStart w:id="450" w:name="_Toc16043"/>
      <w:bookmarkStart w:id="451" w:name="_Toc364"/>
      <w:bookmarkStart w:id="452" w:name="_Toc17888"/>
      <w:bookmarkStart w:id="453" w:name="_Toc25181"/>
      <w:r>
        <w:rPr>
          <w:rFonts w:hint="eastAsia"/>
        </w:rPr>
        <w:t>应急服务原则</w:t>
      </w:r>
      <w:bookmarkEnd w:id="449"/>
      <w:bookmarkEnd w:id="450"/>
      <w:bookmarkEnd w:id="451"/>
      <w:bookmarkEnd w:id="452"/>
      <w:bookmarkEnd w:id="453"/>
    </w:p>
    <w:p>
      <w:pPr>
        <w:ind w:firstLine="420"/>
      </w:pPr>
      <w:r>
        <w:rPr>
          <w:rFonts w:hint="eastAsia"/>
        </w:rPr>
        <w:t>以甲方要求的交货期为基准，充分调动公司一切资源，确保准时交货，并做好相关预案。</w:t>
      </w:r>
    </w:p>
    <w:p>
      <w:pPr>
        <w:pStyle w:val="7"/>
        <w:ind w:firstLine="420"/>
      </w:pPr>
      <w:bookmarkStart w:id="454" w:name="_Toc30889"/>
      <w:bookmarkStart w:id="455" w:name="_Toc4597"/>
      <w:bookmarkStart w:id="456" w:name="_Toc29286"/>
      <w:bookmarkStart w:id="457" w:name="_Toc2377"/>
      <w:r>
        <w:rPr>
          <w:rFonts w:hint="eastAsia"/>
        </w:rPr>
        <w:t>应急工作制度</w:t>
      </w:r>
      <w:bookmarkEnd w:id="454"/>
      <w:bookmarkEnd w:id="455"/>
      <w:bookmarkEnd w:id="456"/>
      <w:bookmarkEnd w:id="457"/>
    </w:p>
    <w:p>
      <w:pPr>
        <w:ind w:firstLine="420"/>
      </w:pPr>
      <w:r>
        <w:rPr>
          <w:rFonts w:hint="eastAsia"/>
        </w:rPr>
        <w:t>（1）目的及适用范围</w:t>
      </w:r>
    </w:p>
    <w:p>
      <w:pPr>
        <w:ind w:firstLine="420"/>
      </w:pPr>
      <w:r>
        <w:rPr>
          <w:rFonts w:hint="eastAsia"/>
        </w:rPr>
        <w:t>①为预防和控制潜在的事故或紧急情况发生，及时做出应急预警和响应，大限度地减少可能产生的事故后果，特制定本制度。</w:t>
      </w:r>
    </w:p>
    <w:p>
      <w:pPr>
        <w:ind w:firstLine="420"/>
      </w:pPr>
      <w:r>
        <w:rPr>
          <w:rFonts w:hint="eastAsia"/>
        </w:rPr>
        <w:t>②本制度适用于我公司应急救援预案的制定和可能及已发生的安全生产事件的预防和处理。</w:t>
      </w:r>
    </w:p>
    <w:p>
      <w:pPr>
        <w:ind w:firstLine="420"/>
      </w:pPr>
      <w:r>
        <w:rPr>
          <w:rFonts w:hint="eastAsia"/>
        </w:rPr>
        <w:t>（2）应急管理原则</w:t>
      </w:r>
    </w:p>
    <w:p>
      <w:pPr>
        <w:ind w:firstLine="420"/>
      </w:pPr>
      <w:r>
        <w:rPr>
          <w:rFonts w:hint="eastAsia"/>
        </w:rPr>
        <w:t>①实行主要领导负责下的分级管理制：在公司总经理的统一领导下，建立健全“统一领导，分级管理，分线负责”的应急救援制度。健全应急救援组织体系，建立应急救援队伍，制定完善应急预案，开展应急救援演练。公司领导和管理人员各司其职、各负其责，充分发挥应急响应的指挥作用。</w:t>
      </w:r>
    </w:p>
    <w:p>
      <w:pPr>
        <w:ind w:firstLine="420"/>
      </w:pPr>
      <w:r>
        <w:rPr>
          <w:rFonts w:hint="eastAsia"/>
        </w:rPr>
        <w:t>②以人为本，安全第一：把保障生命安全和身体健康、最大程度地减少事故造成的人员伤亡和财产损失作为首要任务。切实加强应急救援人员的安全防护。</w:t>
      </w:r>
    </w:p>
    <w:p>
      <w:pPr>
        <w:ind w:firstLine="420"/>
      </w:pPr>
      <w:r>
        <w:rPr>
          <w:rFonts w:hint="eastAsia"/>
        </w:rPr>
        <w:t>③预防为主，强化基础，快速反应：坚持预防与应急相结合、常态与非常态相结合，常抓不懈，在不断提高安全风险辨识、防范水平的同时，加强现场应急基础工作，做好常态下的风险评估、物资储备、队伍建设、完善装备、预案制定和演练等工作。强化一线一员的应急处置能力，“早发现、早报告、迅捷处置”，居安思危，预防为主。</w:t>
      </w:r>
    </w:p>
    <w:p>
      <w:pPr>
        <w:ind w:firstLine="420"/>
      </w:pPr>
      <w:r>
        <w:rPr>
          <w:rFonts w:hint="eastAsia"/>
        </w:rPr>
        <w:t>④科学实用：应急预案具有针对性，实用性和可操作性。通过危险源辨识、风险评估进行编制；应急对策简练实用，通过演练不断完善改进。依法规范，加强管理。</w:t>
      </w:r>
    </w:p>
    <w:p>
      <w:pPr>
        <w:ind w:firstLine="420"/>
      </w:pPr>
      <w:r>
        <w:rPr>
          <w:rFonts w:hint="eastAsia"/>
        </w:rPr>
        <w:t>⑤分级响应</w:t>
      </w:r>
    </w:p>
    <w:p>
      <w:pPr>
        <w:ind w:firstLine="420"/>
      </w:pPr>
      <w:r>
        <w:rPr>
          <w:rFonts w:hint="eastAsia"/>
        </w:rPr>
        <w:t>应急工作按照事故的应急程度、波及和影响范围，实施分级应急响应。</w:t>
      </w:r>
    </w:p>
    <w:p>
      <w:pPr>
        <w:ind w:firstLine="420"/>
      </w:pPr>
      <w:r>
        <w:rPr>
          <w:rFonts w:hint="eastAsia"/>
        </w:rPr>
        <w:t>（3）组织领导及职责分工</w:t>
      </w:r>
    </w:p>
    <w:p>
      <w:pPr>
        <w:ind w:firstLine="420"/>
      </w:pPr>
      <w:r>
        <w:rPr>
          <w:rFonts w:hint="eastAsia"/>
        </w:rPr>
        <w:t>①组织领导成员单位：</w:t>
      </w:r>
    </w:p>
    <w:p>
      <w:pPr>
        <w:ind w:firstLine="420"/>
      </w:pPr>
      <w:r>
        <w:rPr>
          <w:rFonts w:hint="eastAsia"/>
        </w:rPr>
        <w:t>售后服务组、技术组、管理组、采购组</w:t>
      </w:r>
    </w:p>
    <w:p>
      <w:pPr>
        <w:ind w:firstLine="420"/>
      </w:pPr>
      <w:r>
        <w:rPr>
          <w:rFonts w:hint="eastAsia"/>
        </w:rPr>
        <w:t>②各相关部门职责</w:t>
      </w:r>
    </w:p>
    <w:p>
      <w:pPr>
        <w:ind w:firstLine="420"/>
      </w:pPr>
      <w:r>
        <w:rPr>
          <w:rFonts w:hint="eastAsia"/>
        </w:rPr>
        <w:t>a.售后服务组接到客户投诉要按规定的时限认真进行处理，并及时对客户予以回复，直到客户满意为止；遇有突发或重大服务质量问题的信息，应及时会同相关责任部门处理，遇到重大服务质量问题应及时向公司领导汇报，并建议召开小组会议研究处理办法和组织实施。</w:t>
      </w:r>
    </w:p>
    <w:p>
      <w:pPr>
        <w:ind w:firstLine="420"/>
      </w:pPr>
      <w:r>
        <w:rPr>
          <w:rFonts w:hint="eastAsia"/>
        </w:rPr>
        <w:t>b.售后组应会同技术组研究制定应对和解决突发和重大服务质量问题的预案，指定相关责任人，对预案全面掌握并能随时操作和使用。而后，将预案及时传达有关部门，并做好培训工作。</w:t>
      </w:r>
    </w:p>
    <w:p>
      <w:pPr>
        <w:ind w:firstLine="420"/>
      </w:pPr>
      <w:r>
        <w:rPr>
          <w:rFonts w:hint="eastAsia"/>
        </w:rPr>
        <w:t>c.技术组要对产品质量有所记录，并在发生重大质量问题时能够及时提供所需资料，积极配合售后组的工作。</w:t>
      </w:r>
    </w:p>
    <w:p>
      <w:pPr>
        <w:ind w:firstLine="420"/>
      </w:pPr>
      <w:r>
        <w:rPr>
          <w:rFonts w:hint="eastAsia"/>
        </w:rPr>
        <w:t>d.采购部落实紧急订货任务，以确保产品紧急供货工作不被延误或最大程度地减少延误时间，对突发性恶劣天气导致送货工作不能正常进行，按预案规定需要调整送货时间的，负责向相关部门提报配合工作事项。</w:t>
      </w:r>
    </w:p>
    <w:p>
      <w:pPr>
        <w:pStyle w:val="7"/>
        <w:ind w:firstLine="420"/>
      </w:pPr>
      <w:bookmarkStart w:id="458" w:name="_Toc304"/>
      <w:bookmarkStart w:id="459" w:name="_Toc27206"/>
      <w:bookmarkStart w:id="460" w:name="_Toc21475"/>
      <w:bookmarkStart w:id="461" w:name="_Toc1524"/>
      <w:r>
        <w:rPr>
          <w:rFonts w:hint="eastAsia"/>
        </w:rPr>
        <w:t>应急措施</w:t>
      </w:r>
      <w:bookmarkEnd w:id="458"/>
      <w:bookmarkEnd w:id="459"/>
      <w:bookmarkEnd w:id="460"/>
      <w:bookmarkEnd w:id="461"/>
    </w:p>
    <w:p>
      <w:pPr>
        <w:ind w:firstLine="420"/>
      </w:pPr>
      <w:r>
        <w:rPr>
          <w:rFonts w:hint="eastAsia"/>
        </w:rPr>
        <w:t>突发事件是对出乎意料之外突然发生的、具有很大破坏性的事件的总称。项目突发事件就是在项目实施中未预料其发生且未做准备的，要求迅速做出决策的紧急事件及灾害事故。</w:t>
      </w:r>
    </w:p>
    <w:p>
      <w:pPr>
        <w:ind w:firstLine="420"/>
      </w:pPr>
      <w:r>
        <w:rPr>
          <w:rFonts w:hint="eastAsia"/>
        </w:rPr>
        <w:t>为了确保工程项目部的活动和安装过程中有效、及时、妥善地处置可能发生的突发事件，保护公共财产和生命的安全，尽可能地降低经济损失和人身伤害，维护项目部及公司的形象，特根据我公司的有关文件精神和程序以及本项目的特点制定突发事件处置方案。</w:t>
      </w:r>
    </w:p>
    <w:p>
      <w:pPr>
        <w:ind w:firstLine="420"/>
      </w:pPr>
      <w:bookmarkStart w:id="462" w:name="_Toc307803319"/>
      <w:bookmarkStart w:id="463" w:name="_Toc313896369"/>
      <w:bookmarkStart w:id="464" w:name="_Toc317465755"/>
      <w:bookmarkStart w:id="465" w:name="_Toc4103"/>
      <w:bookmarkStart w:id="466" w:name="_Toc4907"/>
      <w:bookmarkStart w:id="467" w:name="_Toc300494515"/>
      <w:bookmarkStart w:id="468" w:name="_Toc8595"/>
      <w:bookmarkStart w:id="469" w:name="_Toc319433967"/>
      <w:bookmarkStart w:id="470" w:name="_Toc12562"/>
      <w:r>
        <w:rPr>
          <w:rFonts w:hint="eastAsia"/>
        </w:rPr>
        <w:t>适用范围</w:t>
      </w:r>
      <w:bookmarkEnd w:id="462"/>
      <w:bookmarkEnd w:id="463"/>
      <w:bookmarkEnd w:id="464"/>
      <w:bookmarkEnd w:id="465"/>
      <w:bookmarkEnd w:id="466"/>
      <w:bookmarkEnd w:id="467"/>
      <w:bookmarkEnd w:id="468"/>
      <w:bookmarkEnd w:id="469"/>
      <w:bookmarkEnd w:id="470"/>
    </w:p>
    <w:p>
      <w:pPr>
        <w:numPr>
          <w:ilvl w:val="0"/>
          <w:numId w:val="115"/>
        </w:numPr>
        <w:ind w:left="0" w:firstLine="420"/>
      </w:pPr>
      <w:r>
        <w:rPr>
          <w:rFonts w:hint="eastAsia"/>
        </w:rPr>
        <w:t>任何火情发生；</w:t>
      </w:r>
    </w:p>
    <w:p>
      <w:pPr>
        <w:numPr>
          <w:ilvl w:val="0"/>
          <w:numId w:val="115"/>
        </w:numPr>
        <w:ind w:left="0" w:firstLine="420"/>
      </w:pPr>
      <w:r>
        <w:rPr>
          <w:rFonts w:hint="eastAsia"/>
        </w:rPr>
        <w:t>人身触电伤亡事故；</w:t>
      </w:r>
    </w:p>
    <w:p>
      <w:pPr>
        <w:numPr>
          <w:ilvl w:val="0"/>
          <w:numId w:val="115"/>
        </w:numPr>
        <w:ind w:left="0" w:firstLine="420"/>
      </w:pPr>
      <w:r>
        <w:rPr>
          <w:rFonts w:hint="eastAsia"/>
        </w:rPr>
        <w:t>高处作业坠落及物体打击；</w:t>
      </w:r>
    </w:p>
    <w:p>
      <w:pPr>
        <w:numPr>
          <w:ilvl w:val="0"/>
          <w:numId w:val="115"/>
        </w:numPr>
        <w:ind w:left="0" w:firstLine="420"/>
      </w:pPr>
      <w:r>
        <w:rPr>
          <w:rFonts w:hint="eastAsia"/>
        </w:rPr>
        <w:t>工具伤害；</w:t>
      </w:r>
    </w:p>
    <w:p>
      <w:pPr>
        <w:numPr>
          <w:ilvl w:val="0"/>
          <w:numId w:val="115"/>
        </w:numPr>
        <w:ind w:left="0" w:firstLine="420"/>
      </w:pPr>
      <w:r>
        <w:rPr>
          <w:rFonts w:hint="eastAsia"/>
        </w:rPr>
        <w:t>坍塌事件；</w:t>
      </w:r>
    </w:p>
    <w:p>
      <w:pPr>
        <w:numPr>
          <w:ilvl w:val="0"/>
          <w:numId w:val="115"/>
        </w:numPr>
        <w:ind w:left="0" w:firstLine="420"/>
      </w:pPr>
      <w:r>
        <w:rPr>
          <w:rFonts w:hint="eastAsia"/>
        </w:rPr>
        <w:t>其它意外事故的发生。</w:t>
      </w:r>
    </w:p>
    <w:p>
      <w:pPr>
        <w:numPr>
          <w:ilvl w:val="0"/>
          <w:numId w:val="115"/>
        </w:numPr>
        <w:ind w:left="0" w:firstLine="420"/>
      </w:pPr>
      <w:bookmarkStart w:id="471" w:name="_Toc300494516"/>
      <w:bookmarkStart w:id="472" w:name="_Toc12452"/>
      <w:bookmarkStart w:id="473" w:name="_Toc11865"/>
      <w:bookmarkStart w:id="474" w:name="_Toc319433968"/>
      <w:bookmarkStart w:id="475" w:name="_Toc313896370"/>
      <w:bookmarkStart w:id="476" w:name="_Toc307803320"/>
      <w:bookmarkStart w:id="477" w:name="_Toc317465756"/>
      <w:bookmarkStart w:id="478" w:name="_Toc19007"/>
      <w:bookmarkStart w:id="479" w:name="_Toc31820"/>
      <w:r>
        <w:rPr>
          <w:rFonts w:hint="eastAsia"/>
        </w:rPr>
        <w:t>应急处置准备</w:t>
      </w:r>
      <w:bookmarkEnd w:id="471"/>
      <w:bookmarkEnd w:id="472"/>
      <w:bookmarkEnd w:id="473"/>
      <w:bookmarkEnd w:id="474"/>
      <w:bookmarkEnd w:id="475"/>
      <w:bookmarkEnd w:id="476"/>
      <w:bookmarkEnd w:id="477"/>
      <w:bookmarkEnd w:id="478"/>
      <w:bookmarkEnd w:id="479"/>
    </w:p>
    <w:p>
      <w:pPr>
        <w:pStyle w:val="5"/>
        <w:tabs>
          <w:tab w:val="left" w:pos="0"/>
        </w:tabs>
        <w:ind w:firstLine="480"/>
      </w:pPr>
      <w:bookmarkStart w:id="480" w:name="_Toc30765"/>
      <w:bookmarkStart w:id="481" w:name="_Toc11186"/>
      <w:r>
        <w:rPr>
          <w:rFonts w:hint="eastAsia"/>
        </w:rPr>
        <w:t>备品备件计划</w:t>
      </w:r>
      <w:bookmarkEnd w:id="480"/>
      <w:bookmarkEnd w:id="481"/>
    </w:p>
    <w:p>
      <w:pPr>
        <w:ind w:firstLine="420"/>
      </w:pPr>
      <w:r>
        <w:rPr>
          <w:rFonts w:hint="eastAsia"/>
        </w:rPr>
        <w:t>我公司与设备生产厂商共同为本项目的全部设备提供优质的免费保修服务。在接到系统中的设备故障报告之后，甲方服务中心将立即做出实质性响应，与甲方技术人员沟通，并就近派出技术人员到达甲方现场进行现场服务，了解故障的详细信息，判断故障的性质，为甲方提供应急策略，保证正常使用。</w:t>
      </w:r>
    </w:p>
    <w:p>
      <w:pPr>
        <w:ind w:firstLine="420"/>
      </w:pPr>
      <w:r>
        <w:rPr>
          <w:rFonts w:hint="eastAsia"/>
        </w:rPr>
        <w:t>同时甲方服务中心会及时提取设备厂商备品备件进行更换，保甲方得到无故障设备。为了保证出现设备故障时，及时恢复系统运行并进行设备更换，我们制定了多种保障措施，详细说明如下：</w:t>
      </w:r>
    </w:p>
    <w:p>
      <w:pPr>
        <w:ind w:firstLine="420"/>
      </w:pPr>
      <w:r>
        <w:rPr>
          <w:rFonts w:hint="eastAsia"/>
        </w:rPr>
        <w:t>工程建设期间及质保期内，提供硬件设备原厂商售后服务支持。</w:t>
      </w:r>
    </w:p>
    <w:p>
      <w:pPr>
        <w:ind w:firstLine="420"/>
      </w:pPr>
      <w:r>
        <w:rPr>
          <w:rFonts w:hint="eastAsia"/>
        </w:rPr>
        <w:t>对确定不能当场修复的硬件设备，在设备维修期间，我提供替代产品，由此产生的一切费用，由我公司承担。</w:t>
      </w:r>
    </w:p>
    <w:p>
      <w:pPr>
        <w:ind w:firstLine="420"/>
      </w:pPr>
      <w:r>
        <w:rPr>
          <w:rFonts w:hint="eastAsia"/>
        </w:rPr>
        <w:t>保证长期向甲方提供维修配件。</w:t>
      </w:r>
    </w:p>
    <w:p>
      <w:pPr>
        <w:ind w:firstLine="420"/>
      </w:pPr>
      <w:r>
        <w:rPr>
          <w:rFonts w:hint="eastAsia"/>
        </w:rPr>
        <w:t>我们为本项目设计了周密的备品备件方案，关键设备厂商备件库均有充足的备品备件资源，能够保证及时为甲方提供备件供应。</w:t>
      </w:r>
    </w:p>
    <w:p>
      <w:pPr>
        <w:ind w:firstLine="420"/>
      </w:pPr>
      <w:r>
        <w:rPr>
          <w:rFonts w:hint="eastAsia"/>
        </w:rPr>
        <w:t>一旦出现设备故障，我公司甲方服务中心保证能够在最短时间内到达故障现场，分析并处理故障，甲方服务中心将会及时提取设备厂商备品备件资源，派出技术人员前往故障现场进行更换。</w:t>
      </w:r>
    </w:p>
    <w:p>
      <w:pPr>
        <w:pStyle w:val="5"/>
        <w:tabs>
          <w:tab w:val="left" w:pos="0"/>
        </w:tabs>
        <w:ind w:firstLine="480"/>
      </w:pPr>
      <w:bookmarkStart w:id="482" w:name="_Toc8002"/>
      <w:bookmarkStart w:id="483" w:name="_Toc7777"/>
      <w:r>
        <w:rPr>
          <w:rFonts w:hint="eastAsia"/>
        </w:rPr>
        <w:t>质量保证范围</w:t>
      </w:r>
      <w:bookmarkEnd w:id="482"/>
      <w:bookmarkEnd w:id="483"/>
    </w:p>
    <w:p>
      <w:pPr>
        <w:pStyle w:val="6"/>
        <w:ind w:firstLine="420"/>
      </w:pPr>
      <w:bookmarkStart w:id="484" w:name="_Toc105"/>
      <w:r>
        <w:rPr>
          <w:rFonts w:hint="eastAsia"/>
        </w:rPr>
        <w:t>售后服务人员管理制度</w:t>
      </w:r>
      <w:bookmarkEnd w:id="484"/>
    </w:p>
    <w:p>
      <w:pPr>
        <w:ind w:firstLine="420"/>
      </w:pPr>
      <w:r>
        <w:rPr>
          <w:rFonts w:hint="eastAsia"/>
        </w:rPr>
        <w:t>（1）考勤管理</w:t>
      </w:r>
    </w:p>
    <w:p>
      <w:pPr>
        <w:ind w:firstLine="420"/>
      </w:pPr>
      <w:r>
        <w:rPr>
          <w:rFonts w:hint="eastAsia"/>
        </w:rPr>
        <w:t>1）售后服务人员依照公司规定，办理各项考勤。但基于工作之需要，其出勤打卡按下列规定办理：</w:t>
      </w:r>
    </w:p>
    <w:p>
      <w:pPr>
        <w:ind w:firstLine="420"/>
      </w:pPr>
      <w:r>
        <w:rPr>
          <w:rFonts w:hint="eastAsia"/>
        </w:rPr>
        <w:t>2）在公司的售后服务部人员上下班应按规定打卡；在公司外的售后服务部人员的出勤时间应以满足工作需要和服从公司调配为基本要求。</w:t>
      </w:r>
    </w:p>
    <w:p>
      <w:pPr>
        <w:ind w:firstLine="420"/>
      </w:pPr>
      <w:r>
        <w:rPr>
          <w:rFonts w:hint="eastAsia"/>
        </w:rPr>
        <w:t>（2）工作职责</w:t>
      </w:r>
    </w:p>
    <w:p>
      <w:pPr>
        <w:ind w:firstLine="420"/>
      </w:pPr>
      <w:r>
        <w:rPr>
          <w:rFonts w:hint="eastAsia"/>
        </w:rPr>
        <w:t>售后服务人员除应遵守公司各项管理办法之规定外，应尽下列之工作职责：</w:t>
      </w:r>
    </w:p>
    <w:p>
      <w:pPr>
        <w:ind w:firstLine="420"/>
      </w:pPr>
      <w:r>
        <w:rPr>
          <w:rFonts w:hint="eastAsia"/>
        </w:rPr>
        <w:t>1）以谦恭和气的态度和甲方单位接触，并注意服装仪容之整洁。</w:t>
      </w:r>
    </w:p>
    <w:p>
      <w:pPr>
        <w:ind w:firstLine="420"/>
      </w:pPr>
      <w:r>
        <w:rPr>
          <w:rFonts w:hint="eastAsia"/>
        </w:rPr>
        <w:t>2）售后服务人员上门维修服务必须遵守约定时间，如有变动不能按约期上门服务，提前与甲方单位联系征得甲方单位同意。</w:t>
      </w:r>
    </w:p>
    <w:p>
      <w:pPr>
        <w:ind w:firstLine="420"/>
      </w:pPr>
      <w:r>
        <w:rPr>
          <w:rFonts w:hint="eastAsia"/>
        </w:rPr>
        <w:t>3）售后服务人员树立务实的行业作风，要虚心听取甲方单位意见，不断提高服务质量。</w:t>
      </w:r>
    </w:p>
    <w:p>
      <w:pPr>
        <w:ind w:firstLine="420"/>
      </w:pPr>
      <w:r>
        <w:rPr>
          <w:rFonts w:hint="eastAsia"/>
        </w:rPr>
        <w:t>4）甲方单位来电反馈产品质量问题，做好登录，上报生产技术部分析，并向甲方单位回电，明确对质量问题的处理意见。</w:t>
      </w:r>
    </w:p>
    <w:p>
      <w:pPr>
        <w:ind w:firstLine="420"/>
      </w:pPr>
      <w:r>
        <w:rPr>
          <w:rFonts w:hint="eastAsia"/>
        </w:rPr>
        <w:t>5）按时呈报下列表单：派工单、维修服务单、甲方单位意见反馈单。</w:t>
      </w:r>
    </w:p>
    <w:p>
      <w:pPr>
        <w:ind w:firstLine="420"/>
      </w:pPr>
      <w:r>
        <w:rPr>
          <w:rFonts w:hint="eastAsia"/>
        </w:rPr>
        <w:t>6）定期拜访保修期内的甲方单位，借以提升服务品质。</w:t>
      </w:r>
    </w:p>
    <w:p>
      <w:pPr>
        <w:ind w:firstLine="420"/>
      </w:pPr>
      <w:r>
        <w:rPr>
          <w:rFonts w:hint="eastAsia"/>
        </w:rPr>
        <w:t>7）加强与甲方单位之间的联系，定期走访甲方单位，收集质量信息，及时反馈。建立甲方单位档案系统，定期关心产品使用情况。</w:t>
      </w:r>
    </w:p>
    <w:p>
      <w:pPr>
        <w:pStyle w:val="6"/>
        <w:ind w:firstLine="420"/>
      </w:pPr>
      <w:bookmarkStart w:id="485" w:name="_Toc27120"/>
      <w:r>
        <w:rPr>
          <w:rFonts w:hint="eastAsia"/>
        </w:rPr>
        <w:t>售后服务安全管理制度</w:t>
      </w:r>
      <w:bookmarkEnd w:id="485"/>
    </w:p>
    <w:p>
      <w:pPr>
        <w:ind w:firstLine="420"/>
      </w:pPr>
      <w:r>
        <w:rPr>
          <w:rFonts w:hint="eastAsia"/>
        </w:rPr>
        <w:t>（1）售后服务安全检查</w:t>
      </w:r>
    </w:p>
    <w:p>
      <w:pPr>
        <w:ind w:firstLine="420"/>
      </w:pPr>
      <w:r>
        <w:rPr>
          <w:rFonts w:hint="eastAsia"/>
        </w:rPr>
        <w:t>安全检查应包括管线泄漏检查、设备正常使用性能检验安全检查时，有要求、有记录，明确重点部位。对查出的隐患应及时整改，做到定人、定时间、定措施。</w:t>
      </w:r>
    </w:p>
    <w:p>
      <w:pPr>
        <w:ind w:firstLine="420"/>
      </w:pPr>
      <w:r>
        <w:rPr>
          <w:rFonts w:hint="eastAsia"/>
        </w:rPr>
        <w:t>（2）售后服务人员要求</w:t>
      </w:r>
    </w:p>
    <w:p>
      <w:pPr>
        <w:ind w:firstLine="420"/>
      </w:pPr>
      <w:r>
        <w:rPr>
          <w:rFonts w:hint="eastAsia"/>
        </w:rPr>
        <w:t>安装、维修人员须经过上岗培训，经过考核才能进入维修岗位。上岗培训内容包括：安装、维修基础培训。安装维修职业技能证书必须按期复审，不得超期使用。</w:t>
      </w:r>
    </w:p>
    <w:p>
      <w:pPr>
        <w:ind w:firstLine="420"/>
      </w:pPr>
      <w:r>
        <w:rPr>
          <w:rFonts w:hint="eastAsia"/>
        </w:rPr>
        <w:t>（3）其他外购设备售后</w:t>
      </w:r>
    </w:p>
    <w:p>
      <w:pPr>
        <w:ind w:firstLine="420"/>
      </w:pPr>
      <w:r>
        <w:rPr>
          <w:rFonts w:hint="eastAsia"/>
        </w:rPr>
        <w:t>检查确认电源关断后才能进行维修，启动前必须检查线路是否正常，确认无误方可开启。调试完毕正常使用经甲方单位验收签字方可离场。</w:t>
      </w:r>
    </w:p>
    <w:p>
      <w:pPr>
        <w:pStyle w:val="6"/>
        <w:ind w:firstLine="420"/>
      </w:pPr>
      <w:bookmarkStart w:id="486" w:name="_Toc5589"/>
      <w:r>
        <w:rPr>
          <w:rFonts w:hint="eastAsia"/>
        </w:rPr>
        <w:t>售后服务甲方管理制度</w:t>
      </w:r>
      <w:bookmarkEnd w:id="486"/>
    </w:p>
    <w:p>
      <w:pPr>
        <w:ind w:firstLine="420"/>
      </w:pPr>
      <w:r>
        <w:rPr>
          <w:rFonts w:hint="eastAsia"/>
        </w:rPr>
        <w:t>为贯彻“甲方单位第一”的方针，加强售后服务工作，确保我公司所投产品在甲方单位处能正常使用，特制定本制度。</w:t>
      </w:r>
    </w:p>
    <w:p>
      <w:pPr>
        <w:ind w:firstLine="420"/>
      </w:pPr>
      <w:r>
        <w:rPr>
          <w:rFonts w:hint="eastAsia"/>
        </w:rPr>
        <w:t>（1）产品售出有详细的产品说明书、产品合格证、“三包”制度、“售后服务制度”，并介绍产品性能、参数、使用方法、安全要求及注意事项等内容。</w:t>
      </w:r>
    </w:p>
    <w:p>
      <w:pPr>
        <w:ind w:firstLine="420"/>
      </w:pPr>
      <w:r>
        <w:rPr>
          <w:rFonts w:hint="eastAsia"/>
        </w:rPr>
        <w:t>（2）建立甲方单位报修的台账和“甲方单位服务记录”。</w:t>
      </w:r>
    </w:p>
    <w:p>
      <w:pPr>
        <w:ind w:firstLine="420"/>
      </w:pPr>
      <w:r>
        <w:rPr>
          <w:rFonts w:hint="eastAsia"/>
        </w:rPr>
        <w:t>（3）售后服务人员接到维修任务后，在规定的时间内到甲方单位处问清故障情况，并及时修复，并向甲方单位宣传正常使用方法。</w:t>
      </w:r>
    </w:p>
    <w:p>
      <w:pPr>
        <w:ind w:firstLine="420"/>
      </w:pPr>
      <w:r>
        <w:rPr>
          <w:rFonts w:hint="eastAsia"/>
        </w:rPr>
        <w:t>（4）售后服务人员修理完毕应在“甲方单位服务记录”单上填写清楚，并请甲方单位过目签字，回公司后及时向技术部门反馈。</w:t>
      </w:r>
    </w:p>
    <w:p>
      <w:pPr>
        <w:ind w:firstLine="420"/>
      </w:pPr>
      <w:r>
        <w:rPr>
          <w:rFonts w:hint="eastAsia"/>
        </w:rPr>
        <w:t>（5）售后服务人员应按“三包”制度，分别情况以修、调、退处理。已超过保修期的则按委托维修保养协议处理。</w:t>
      </w:r>
    </w:p>
    <w:p>
      <w:pPr>
        <w:ind w:firstLine="420"/>
      </w:pPr>
      <w:r>
        <w:rPr>
          <w:rFonts w:hint="eastAsia"/>
        </w:rPr>
        <w:t>（6）接收安装维修信息，安装维修信息应包括：甲方单位名称、项目地址、基本信息、故障现象、简单处理方法，并约定上门时间，由专人处理登记安装维修记录文档，开出安装合同或四联维修单（存根、甲方单位、回单、记账）及时安排安装维修服务。</w:t>
      </w:r>
    </w:p>
    <w:p>
      <w:pPr>
        <w:ind w:firstLine="420"/>
      </w:pPr>
      <w:r>
        <w:rPr>
          <w:rFonts w:hint="eastAsia"/>
        </w:rPr>
        <w:t>（7）安装维修工作完成后，收取安装维修通知，应记录相应的安装维修信息、甲方单位意见，由专人登记安装维修处理登记文档，及时归档。</w:t>
      </w:r>
    </w:p>
    <w:p>
      <w:pPr>
        <w:ind w:firstLine="420"/>
      </w:pPr>
      <w:r>
        <w:rPr>
          <w:rFonts w:hint="eastAsia"/>
        </w:rPr>
        <w:t>（8）为便于查询及保存，安装维修记录文档应保留原始记录并输入电脑，方便后续维护。</w:t>
      </w:r>
    </w:p>
    <w:p>
      <w:pPr>
        <w:ind w:firstLine="420"/>
      </w:pPr>
      <w:r>
        <w:rPr>
          <w:rFonts w:hint="eastAsia"/>
        </w:rPr>
        <w:t>（9）按一定比例抽查，了解安装维修处理结果，并记录在维修记录文档，可供及时了解维修工作情况以做进一步改善。</w:t>
      </w:r>
    </w:p>
    <w:p>
      <w:pPr>
        <w:pStyle w:val="6"/>
        <w:ind w:firstLine="420"/>
      </w:pPr>
      <w:bookmarkStart w:id="487" w:name="_Toc27244"/>
      <w:r>
        <w:rPr>
          <w:rFonts w:hint="eastAsia"/>
        </w:rPr>
        <w:t>售后服务零配件管理制度</w:t>
      </w:r>
      <w:bookmarkEnd w:id="487"/>
    </w:p>
    <w:p>
      <w:pPr>
        <w:ind w:firstLine="420"/>
      </w:pPr>
      <w:r>
        <w:rPr>
          <w:rFonts w:hint="eastAsia"/>
        </w:rPr>
        <w:t>（1）目前售后服务所需的零配件由采购部统一采购、由专人保管，登记在册。 </w:t>
      </w:r>
    </w:p>
    <w:p>
      <w:pPr>
        <w:ind w:firstLine="420"/>
      </w:pPr>
      <w:r>
        <w:rPr>
          <w:rFonts w:hint="eastAsia"/>
        </w:rPr>
        <w:t>（2）售后服务人员可以根据售后服务的统计情况，提出相关备件采购申请。 </w:t>
      </w:r>
    </w:p>
    <w:p>
      <w:pPr>
        <w:ind w:firstLine="420"/>
      </w:pPr>
      <w:r>
        <w:rPr>
          <w:rFonts w:hint="eastAsia"/>
        </w:rPr>
        <w:t>（3）需要给甲方单位购买零配件时，由售后服务人员负责填写购买申请单，售后服务部主管审核，并跟踪督促发货情况。 </w:t>
      </w:r>
    </w:p>
    <w:p>
      <w:pPr>
        <w:ind w:firstLine="420"/>
      </w:pPr>
      <w:r>
        <w:rPr>
          <w:rFonts w:hint="eastAsia"/>
        </w:rPr>
        <w:t>（4）需要售后人员自带的备件，由售后服务人员负责填写领用单，售后服务部主管审核，售后服务人员领取。</w:t>
      </w:r>
    </w:p>
    <w:p>
      <w:pPr>
        <w:ind w:firstLine="420"/>
      </w:pPr>
      <w:r>
        <w:rPr>
          <w:rFonts w:hint="eastAsia"/>
        </w:rPr>
        <w:t>（5）售后服务结束后，售后服务人员必须在回公司三天内将领出物料（含未使用和更换下的已损坏零部件）交售后服务部门确认、商务部回访并出具回访结果证明。</w:t>
      </w:r>
    </w:p>
    <w:p>
      <w:pPr>
        <w:pStyle w:val="4"/>
        <w:tabs>
          <w:tab w:val="left" w:pos="0"/>
        </w:tabs>
        <w:spacing w:before="156" w:after="156"/>
        <w:ind w:firstLine="560"/>
      </w:pPr>
      <w:bookmarkStart w:id="488" w:name="_Toc68"/>
      <w:bookmarkStart w:id="489" w:name="_Toc28357"/>
      <w:r>
        <w:rPr>
          <w:rFonts w:hint="eastAsia"/>
        </w:rPr>
        <w:t>培训方案：</w:t>
      </w:r>
      <w:bookmarkEnd w:id="488"/>
      <w:bookmarkEnd w:id="489"/>
    </w:p>
    <w:p>
      <w:pPr>
        <w:pStyle w:val="5"/>
        <w:tabs>
          <w:tab w:val="left" w:pos="0"/>
        </w:tabs>
        <w:ind w:firstLine="480"/>
      </w:pPr>
      <w:bookmarkStart w:id="490" w:name="_Toc5113"/>
      <w:bookmarkStart w:id="491" w:name="_Toc31375"/>
      <w:bookmarkStart w:id="492" w:name="_Ref78977444"/>
      <w:bookmarkStart w:id="493" w:name="_Toc79052476"/>
      <w:r>
        <w:rPr>
          <w:rFonts w:hint="eastAsia"/>
        </w:rPr>
        <w:t>培训计划</w:t>
      </w:r>
      <w:bookmarkEnd w:id="490"/>
      <w:bookmarkEnd w:id="491"/>
    </w:p>
    <w:p>
      <w:pPr>
        <w:ind w:firstLine="420"/>
        <w:rPr>
          <w:lang w:bidi="zh-CN"/>
        </w:rPr>
      </w:pPr>
      <w:r>
        <w:rPr>
          <w:rFonts w:hint="eastAsia"/>
          <w:lang w:bidi="zh-CN"/>
        </w:rPr>
        <w:t>项目交付过程中针对用户待培训人员进行集中培训，培训地点和时间的选择相对灵活。充分结合现场和项目实施进度的实际情况，体现培训的针对性，增强培训的预期效果，培训地点、时间由双方协商确定。</w:t>
      </w:r>
    </w:p>
    <w:p>
      <w:pPr>
        <w:ind w:firstLine="420"/>
        <w:rPr>
          <w:lang w:bidi="zh-CN"/>
        </w:rPr>
      </w:pPr>
      <w:r>
        <w:rPr>
          <w:rFonts w:hint="eastAsia"/>
          <w:lang w:bidi="zh-CN"/>
        </w:rPr>
        <w:t>培训场所的基础设施要完备，桌椅要满足培训需要，椅子要舒适，桌子要方便书写笔记，在座位处要设置电源，方便进行实验操作。</w:t>
      </w:r>
    </w:p>
    <w:p>
      <w:pPr>
        <w:ind w:firstLine="420"/>
        <w:rPr>
          <w:lang w:bidi="zh-CN"/>
        </w:rPr>
      </w:pPr>
      <w:r>
        <w:rPr>
          <w:rFonts w:hint="eastAsia"/>
          <w:lang w:bidi="zh-CN"/>
        </w:rPr>
        <w:t>培训会场要宽敞明亮，满足</w:t>
      </w:r>
      <w:r>
        <w:rPr>
          <w:lang w:bidi="zh-CN"/>
        </w:rPr>
        <w:t>100人同时学习的需要，要设置有冷暖空调，能够调节将环境温度到人体适宜的温度。</w:t>
      </w:r>
    </w:p>
    <w:p>
      <w:pPr>
        <w:ind w:firstLine="420"/>
        <w:rPr>
          <w:lang w:bidi="zh-CN"/>
        </w:rPr>
      </w:pPr>
      <w:r>
        <w:rPr>
          <w:rFonts w:hint="eastAsia"/>
          <w:lang w:bidi="zh-CN"/>
        </w:rPr>
        <w:t>培训会场要方便演示，音响效果要好，话音要覆盖培训会场的各个角落，音量要适中。</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培训对象的确定：</w:t>
      </w:r>
    </w:p>
    <w:p>
      <w:pPr>
        <w:ind w:firstLine="420"/>
        <w:rPr>
          <w:lang w:bidi="zh-CN"/>
        </w:rPr>
      </w:pPr>
      <w:r>
        <w:rPr>
          <w:rFonts w:hint="eastAsia"/>
          <w:lang w:bidi="zh-CN"/>
        </w:rPr>
        <w:t>采购人指定的技术人员和管理人员。</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培训老师的确定：</w:t>
      </w:r>
    </w:p>
    <w:p>
      <w:pPr>
        <w:ind w:firstLine="420"/>
        <w:rPr>
          <w:lang w:bidi="zh-CN"/>
        </w:rPr>
      </w:pPr>
      <w:r>
        <w:rPr>
          <w:rFonts w:hint="eastAsia"/>
          <w:lang w:bidi="zh-CN"/>
        </w:rPr>
        <w:t>培训老师：主要是我公司专职的培训师以及参与软件研发的资深工程师等。</w:t>
      </w:r>
    </w:p>
    <w:p>
      <w:pPr>
        <w:ind w:firstLine="420"/>
        <w:rPr>
          <w:lang w:bidi="zh-CN"/>
        </w:rPr>
      </w:pPr>
      <w:r>
        <w:rPr>
          <w:rFonts w:hint="eastAsia"/>
          <w:lang w:bidi="zh-CN"/>
        </w:rPr>
        <w:t>培训教师都具有深厚的专业背景和丰富的实践经验，为培训的效果提供有利保障。</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培训内容</w:t>
      </w:r>
    </w:p>
    <w:p>
      <w:pPr>
        <w:ind w:firstLine="420"/>
        <w:rPr>
          <w:lang w:bidi="zh-CN"/>
        </w:rPr>
      </w:pPr>
      <w:r>
        <w:rPr>
          <w:rFonts w:hint="eastAsia"/>
          <w:lang w:bidi="zh-CN"/>
        </w:rPr>
        <w:t>对于本工程项目，我公司将成立专门的项目小组，为用户提供技术支持和保障，并对用户工作人员有关课程系统的使用、操作、维护等进行培训，主要包括：专业理论、操作系统、简单故障处理、统计报表等方面的培训。</w:t>
      </w:r>
    </w:p>
    <w:p>
      <w:pPr>
        <w:numPr>
          <w:ilvl w:val="0"/>
          <w:numId w:val="116"/>
        </w:numPr>
        <w:ind w:left="0" w:firstLine="422"/>
        <w:rPr>
          <w:rFonts w:ascii="Times New Roman" w:hAnsi="Times New Roman" w:eastAsia="宋体" w:cs="Times New Roman"/>
          <w:b/>
          <w:bCs/>
          <w:lang w:bidi="zh-CN"/>
        </w:rPr>
      </w:pPr>
      <w:r>
        <w:rPr>
          <w:rFonts w:hint="eastAsia" w:ascii="Times New Roman" w:hAnsi="Times New Roman" w:eastAsia="宋体" w:cs="Times New Roman"/>
          <w:b/>
          <w:bCs/>
          <w:lang w:bidi="zh-CN"/>
        </w:rPr>
        <w:t>培训签到表</w:t>
      </w:r>
    </w:p>
    <w:p>
      <w:pPr>
        <w:ind w:firstLine="420"/>
        <w:rPr>
          <w:lang w:bidi="zh-CN"/>
        </w:rPr>
      </w:pPr>
      <w:r>
        <w:rPr>
          <w:rFonts w:hint="eastAsia"/>
          <w:lang w:bidi="zh-CN"/>
        </w:rPr>
        <w:t>制定相应的培训签到表，在每次培训是进行签到，并由授课老师签字确认。</w:t>
      </w:r>
    </w:p>
    <w:p>
      <w:pPr>
        <w:ind w:firstLine="420"/>
      </w:pPr>
      <w:r>
        <w:rPr>
          <w:rFonts w:hint="eastAsia"/>
        </w:rPr>
        <w:t>培训内容</w:t>
      </w:r>
    </w:p>
    <w:p>
      <w:pPr>
        <w:pStyle w:val="5"/>
        <w:tabs>
          <w:tab w:val="left" w:pos="0"/>
        </w:tabs>
        <w:ind w:firstLine="480"/>
      </w:pPr>
      <w:bookmarkStart w:id="494" w:name="_Toc14123"/>
      <w:bookmarkStart w:id="495" w:name="_Toc28446"/>
      <w:r>
        <w:rPr>
          <w:rFonts w:hint="eastAsia"/>
        </w:rPr>
        <w:t>培训方式</w:t>
      </w:r>
      <w:bookmarkEnd w:id="494"/>
      <w:bookmarkEnd w:id="495"/>
    </w:p>
    <w:p>
      <w:pPr>
        <w:ind w:firstLine="420"/>
      </w:pPr>
      <w:r>
        <w:rPr>
          <w:rFonts w:hint="eastAsia"/>
          <w:lang w:bidi="zh-CN"/>
        </w:rPr>
        <w:t>现场培训、线上直播培训（线上培训资源点播）。</w:t>
      </w:r>
    </w:p>
    <w:p>
      <w:pPr>
        <w:pStyle w:val="5"/>
        <w:tabs>
          <w:tab w:val="left" w:pos="0"/>
        </w:tabs>
        <w:ind w:firstLine="480"/>
      </w:pPr>
      <w:bookmarkStart w:id="496" w:name="_Toc21331"/>
      <w:bookmarkStart w:id="497" w:name="_Toc25174"/>
      <w:r>
        <w:rPr>
          <w:rFonts w:hint="eastAsia"/>
        </w:rPr>
        <w:t>培训内容</w:t>
      </w:r>
      <w:bookmarkEnd w:id="496"/>
      <w:bookmarkEnd w:id="497"/>
    </w:p>
    <w:p>
      <w:pPr>
        <w:pStyle w:val="6"/>
        <w:ind w:firstLine="420"/>
      </w:pPr>
      <w:bookmarkStart w:id="498" w:name="_Toc3057"/>
      <w:r>
        <w:rPr>
          <w:rFonts w:hint="eastAsia"/>
        </w:rPr>
        <w:t>技术培训方案</w:t>
      </w:r>
      <w:bookmarkEnd w:id="492"/>
      <w:bookmarkEnd w:id="493"/>
      <w:bookmarkEnd w:id="498"/>
    </w:p>
    <w:p>
      <w:pPr>
        <w:ind w:firstLine="420"/>
        <w:rPr>
          <w:lang w:bidi="zh-CN"/>
        </w:rPr>
      </w:pPr>
      <w:r>
        <w:rPr>
          <w:rFonts w:hint="eastAsia"/>
          <w:lang w:bidi="zh-CN"/>
        </w:rPr>
        <w:t>验收后软件系统的操作使用</w:t>
      </w:r>
      <w:r>
        <w:rPr>
          <w:lang w:bidi="zh-CN"/>
        </w:rPr>
        <w:t>,需要靠系统化的培训来完成</w:t>
      </w:r>
      <w:r>
        <w:rPr>
          <w:rFonts w:hint="eastAsia"/>
          <w:lang w:bidi="zh-CN"/>
        </w:rPr>
        <w:t>，</w:t>
      </w:r>
      <w:r>
        <w:rPr>
          <w:lang w:bidi="zh-CN"/>
        </w:rPr>
        <w:t>培训的目的是</w:t>
      </w:r>
      <w:r>
        <w:rPr>
          <w:rFonts w:hint="eastAsia"/>
          <w:lang w:bidi="zh-CN"/>
        </w:rPr>
        <w:t>帮助用户了解和掌握本系统软件产品和应用软件系统，</w:t>
      </w:r>
      <w:r>
        <w:rPr>
          <w:lang w:bidi="zh-CN"/>
        </w:rPr>
        <w:t>加强用户对系统的理解,使他们能够有效地熟悉系统的操作和系统的管理职责。</w:t>
      </w:r>
      <w:r>
        <w:rPr>
          <w:rFonts w:hint="eastAsia"/>
          <w:lang w:bidi="zh-CN"/>
        </w:rPr>
        <w:t>同时提供客户到生产厂家共同参与生产、安装、设计、调试的机会。</w:t>
      </w:r>
    </w:p>
    <w:p>
      <w:pPr>
        <w:ind w:firstLine="420"/>
        <w:rPr>
          <w:lang w:bidi="zh-CN"/>
        </w:rPr>
      </w:pPr>
      <w:r>
        <w:rPr>
          <w:rFonts w:hint="eastAsia"/>
          <w:lang w:bidi="zh-CN"/>
        </w:rPr>
        <w:t>我公司从以往的成功案例总结了一套培训的方案，</w:t>
      </w:r>
      <w:r>
        <w:rPr>
          <w:lang w:bidi="zh-CN"/>
        </w:rPr>
        <w:t>对全体使用系统的人员</w:t>
      </w:r>
      <w:r>
        <w:rPr>
          <w:rFonts w:hint="eastAsia"/>
          <w:lang w:bidi="zh-CN"/>
        </w:rPr>
        <w:t>，</w:t>
      </w:r>
      <w:r>
        <w:rPr>
          <w:lang w:bidi="zh-CN"/>
        </w:rPr>
        <w:t>全面系统的进行系统软件、终端使用的培训。</w:t>
      </w:r>
    </w:p>
    <w:p>
      <w:pPr>
        <w:numPr>
          <w:ilvl w:val="0"/>
          <w:numId w:val="117"/>
        </w:numPr>
        <w:ind w:left="0" w:firstLine="420"/>
        <w:rPr>
          <w:b/>
          <w:bCs/>
        </w:rPr>
      </w:pPr>
      <w:r>
        <w:rPr>
          <w:b/>
          <w:bCs/>
        </w:rPr>
        <w:t>培训体系</w:t>
      </w:r>
    </w:p>
    <w:p>
      <w:pPr>
        <w:ind w:firstLine="420"/>
        <w:rPr>
          <w:lang w:bidi="zh-CN"/>
        </w:rPr>
      </w:pPr>
      <w:r>
        <w:rPr>
          <w:rFonts w:hint="eastAsia"/>
          <w:lang w:bidi="zh-CN"/>
        </w:rPr>
        <w:t>先进的培训理念：我公司拥有一支技术过硬的技术支持、维护、管理队伍，是保证项目正常稳定运转的重要保障。我们提供的培训整合了国外培训领域中先进理念和中国特色，形成了一系列客户培训方案。</w:t>
      </w:r>
    </w:p>
    <w:p>
      <w:pPr>
        <w:ind w:firstLine="420"/>
        <w:rPr>
          <w:lang w:bidi="zh-CN"/>
        </w:rPr>
      </w:pPr>
      <w:r>
        <w:rPr>
          <w:rFonts w:hint="eastAsia"/>
          <w:lang w:bidi="zh-CN"/>
        </w:rPr>
        <w:t>培训理念主要体现在</w:t>
      </w:r>
      <w:r>
        <w:rPr>
          <w:lang w:bidi="zh-CN"/>
        </w:rPr>
        <w:t>4个方面：</w:t>
      </w:r>
    </w:p>
    <w:p>
      <w:pPr>
        <w:numPr>
          <w:ilvl w:val="0"/>
          <w:numId w:val="116"/>
        </w:numPr>
        <w:ind w:left="0" w:firstLine="420"/>
        <w:rPr>
          <w:b/>
          <w:bCs/>
          <w:lang w:bidi="zh-CN"/>
        </w:rPr>
      </w:pPr>
      <w:r>
        <w:rPr>
          <w:b/>
          <w:bCs/>
          <w:lang w:bidi="zh-CN"/>
        </w:rPr>
        <w:t>目的性强</w:t>
      </w:r>
    </w:p>
    <w:p>
      <w:pPr>
        <w:ind w:firstLine="420"/>
        <w:rPr>
          <w:lang w:bidi="zh-CN"/>
        </w:rPr>
      </w:pPr>
      <w:r>
        <w:rPr>
          <w:rFonts w:hint="eastAsia"/>
          <w:lang w:bidi="zh-CN"/>
        </w:rPr>
        <w:t>使用户逐步熟练使用软件系统，掌握软件系统的基础知识和管理方法。</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针对性强</w:t>
      </w:r>
    </w:p>
    <w:p>
      <w:pPr>
        <w:ind w:firstLine="420"/>
        <w:rPr>
          <w:lang w:bidi="zh-CN"/>
        </w:rPr>
      </w:pPr>
      <w:r>
        <w:rPr>
          <w:rFonts w:hint="eastAsia"/>
          <w:lang w:bidi="zh-CN"/>
        </w:rPr>
        <w:t>拥有多年的行业和管理经验，结合本项目用户特点和实际状况，将提供适合客户的培训方案。</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讲究实效</w:t>
      </w:r>
    </w:p>
    <w:p>
      <w:pPr>
        <w:ind w:firstLine="420"/>
        <w:rPr>
          <w:lang w:bidi="zh-CN"/>
        </w:rPr>
      </w:pPr>
      <w:r>
        <w:rPr>
          <w:rFonts w:hint="eastAsia"/>
          <w:lang w:bidi="zh-CN"/>
        </w:rPr>
        <w:t>项目整个过程，我们与用户组成工作小组共同来完成培训方案的设计和完善，保证培训方案为客户所接受，并得到实际效果。</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实践创新</w:t>
      </w:r>
    </w:p>
    <w:p>
      <w:pPr>
        <w:ind w:firstLine="420"/>
        <w:rPr>
          <w:lang w:bidi="zh-CN"/>
        </w:rPr>
      </w:pPr>
      <w:r>
        <w:rPr>
          <w:rFonts w:hint="eastAsia"/>
          <w:lang w:bidi="zh-CN"/>
        </w:rPr>
        <w:t>引进最前沿的项目管理方法论与工具集，融合最新项目管理理论，以增强客户对培训课程的兴趣和参与性。</w:t>
      </w:r>
    </w:p>
    <w:p>
      <w:pPr>
        <w:numPr>
          <w:ilvl w:val="0"/>
          <w:numId w:val="117"/>
        </w:numPr>
        <w:ind w:left="0" w:firstLine="422"/>
        <w:rPr>
          <w:rFonts w:ascii="Times New Roman" w:hAnsi="Times New Roman" w:eastAsia="宋体" w:cs="Times New Roman"/>
          <w:b/>
          <w:bCs/>
        </w:rPr>
      </w:pPr>
      <w:r>
        <w:rPr>
          <w:rFonts w:ascii="Times New Roman" w:hAnsi="Times New Roman" w:eastAsia="宋体" w:cs="Times New Roman"/>
          <w:b/>
          <w:bCs/>
        </w:rPr>
        <w:t>培训安排</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培训地点、时间安排：</w:t>
      </w:r>
    </w:p>
    <w:p>
      <w:pPr>
        <w:ind w:firstLine="420"/>
        <w:rPr>
          <w:lang w:bidi="zh-CN"/>
        </w:rPr>
      </w:pPr>
      <w:r>
        <w:rPr>
          <w:rFonts w:hint="eastAsia"/>
          <w:lang w:bidi="zh-CN"/>
        </w:rPr>
        <w:t>项目交付过程中针对用户待培训人员进行集中培训，培训地点和时间的选择相对灵活。充分结合现场和项目实施进度的实际情况，体现培训的针对性，增强培训的预期效果，培训地点、时间由双方协商确定。</w:t>
      </w:r>
    </w:p>
    <w:p>
      <w:pPr>
        <w:ind w:firstLine="420"/>
        <w:rPr>
          <w:lang w:bidi="zh-CN"/>
        </w:rPr>
      </w:pPr>
      <w:r>
        <w:rPr>
          <w:rFonts w:hint="eastAsia"/>
          <w:lang w:bidi="zh-CN"/>
        </w:rPr>
        <w:t>培训场所的基础设施要完备，桌椅要满足培训需要，椅子要舒适，桌子要方便书写笔记，在座位处要设置电源，方便进行实验操作。</w:t>
      </w:r>
    </w:p>
    <w:p>
      <w:pPr>
        <w:ind w:firstLine="420"/>
        <w:rPr>
          <w:lang w:bidi="zh-CN"/>
        </w:rPr>
      </w:pPr>
      <w:r>
        <w:rPr>
          <w:rFonts w:hint="eastAsia"/>
          <w:lang w:bidi="zh-CN"/>
        </w:rPr>
        <w:t>培训会场要宽敞明亮，满足</w:t>
      </w:r>
      <w:r>
        <w:rPr>
          <w:lang w:bidi="zh-CN"/>
        </w:rPr>
        <w:t>100人同时学习的需要，要设置有冷暖空调，能够调节将环境温度到人体适宜的温度。</w:t>
      </w:r>
    </w:p>
    <w:p>
      <w:pPr>
        <w:ind w:firstLine="420"/>
        <w:rPr>
          <w:lang w:bidi="zh-CN"/>
        </w:rPr>
      </w:pPr>
      <w:r>
        <w:rPr>
          <w:rFonts w:hint="eastAsia"/>
          <w:lang w:bidi="zh-CN"/>
        </w:rPr>
        <w:t>培训会场要方便演示，音响效果要好，话音要覆盖培训会场的各个角落，音量要适中。</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培训对象的确定：</w:t>
      </w:r>
    </w:p>
    <w:p>
      <w:pPr>
        <w:ind w:firstLine="420"/>
        <w:rPr>
          <w:lang w:bidi="zh-CN"/>
        </w:rPr>
      </w:pPr>
      <w:r>
        <w:rPr>
          <w:rFonts w:hint="eastAsia"/>
          <w:lang w:bidi="zh-CN"/>
        </w:rPr>
        <w:t>采购人指定的技术人员和管理人员。</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培训老师的确定：</w:t>
      </w:r>
    </w:p>
    <w:p>
      <w:pPr>
        <w:ind w:firstLine="420"/>
        <w:rPr>
          <w:lang w:bidi="zh-CN"/>
        </w:rPr>
      </w:pPr>
      <w:r>
        <w:rPr>
          <w:rFonts w:hint="eastAsia"/>
          <w:lang w:bidi="zh-CN"/>
        </w:rPr>
        <w:t>培训老师：主要是我公司专职的培训师以及参与软件研发的资深工程师等。</w:t>
      </w:r>
    </w:p>
    <w:p>
      <w:pPr>
        <w:ind w:firstLine="420"/>
        <w:rPr>
          <w:lang w:bidi="zh-CN"/>
        </w:rPr>
      </w:pPr>
      <w:r>
        <w:rPr>
          <w:rFonts w:hint="eastAsia"/>
          <w:lang w:bidi="zh-CN"/>
        </w:rPr>
        <w:t>培训教师都具有深厚的专业背景和丰富的实践经验，为培训的效果提供有利保障。</w:t>
      </w:r>
    </w:p>
    <w:p>
      <w:pPr>
        <w:numPr>
          <w:ilvl w:val="0"/>
          <w:numId w:val="116"/>
        </w:numPr>
        <w:ind w:left="0" w:firstLine="422"/>
        <w:rPr>
          <w:rFonts w:ascii="Times New Roman" w:hAnsi="Times New Roman" w:eastAsia="宋体" w:cs="Times New Roman"/>
          <w:b/>
          <w:bCs/>
          <w:lang w:bidi="zh-CN"/>
        </w:rPr>
      </w:pPr>
      <w:r>
        <w:rPr>
          <w:rFonts w:ascii="Times New Roman" w:hAnsi="Times New Roman" w:eastAsia="宋体" w:cs="Times New Roman"/>
          <w:b/>
          <w:bCs/>
          <w:lang w:bidi="zh-CN"/>
        </w:rPr>
        <w:t>培训内容</w:t>
      </w:r>
    </w:p>
    <w:p>
      <w:pPr>
        <w:ind w:firstLine="420"/>
        <w:rPr>
          <w:lang w:bidi="zh-CN"/>
        </w:rPr>
      </w:pPr>
      <w:r>
        <w:rPr>
          <w:rFonts w:hint="eastAsia"/>
          <w:lang w:bidi="zh-CN"/>
        </w:rPr>
        <w:t>对于本工程项目，我公司将成立专门的项目小组，为用户提供技术支持和保障，并对用户工作人员有关课程系统的使用、操作、维护等进行培训，主要包括：专业理论、操作系统、简单故障处理、统计报表等方面的培训。</w:t>
      </w:r>
    </w:p>
    <w:p>
      <w:pPr>
        <w:numPr>
          <w:ilvl w:val="0"/>
          <w:numId w:val="116"/>
        </w:numPr>
        <w:ind w:left="0" w:firstLine="422"/>
        <w:rPr>
          <w:rFonts w:ascii="Times New Roman" w:hAnsi="Times New Roman" w:eastAsia="宋体" w:cs="Times New Roman"/>
          <w:b/>
          <w:bCs/>
          <w:lang w:bidi="zh-CN"/>
        </w:rPr>
      </w:pPr>
      <w:r>
        <w:rPr>
          <w:rFonts w:hint="eastAsia" w:ascii="Times New Roman" w:hAnsi="Times New Roman" w:eastAsia="宋体" w:cs="Times New Roman"/>
          <w:b/>
          <w:bCs/>
          <w:lang w:bidi="zh-CN"/>
        </w:rPr>
        <w:t>培训签到表</w:t>
      </w:r>
    </w:p>
    <w:p>
      <w:pPr>
        <w:ind w:firstLine="420"/>
        <w:rPr>
          <w:lang w:bidi="zh-CN"/>
        </w:rPr>
      </w:pPr>
      <w:r>
        <w:rPr>
          <w:rFonts w:hint="eastAsia"/>
          <w:lang w:bidi="zh-CN"/>
        </w:rPr>
        <w:t>制定相应的培训签到表，在每次培训是进行签到，并由授课老师签字确认。</w:t>
      </w:r>
    </w:p>
    <w:p>
      <w:pPr>
        <w:ind w:firstLine="420"/>
      </w:pPr>
      <w:bookmarkStart w:id="499" w:name="_Ref78977458"/>
      <w:bookmarkStart w:id="500" w:name="_Toc79052477"/>
      <w:r>
        <w:rPr>
          <w:rFonts w:hint="eastAsia"/>
        </w:rPr>
        <w:t>培训内容</w:t>
      </w:r>
      <w:bookmarkEnd w:id="499"/>
      <w:bookmarkEnd w:id="500"/>
    </w:p>
    <w:p>
      <w:pPr>
        <w:pStyle w:val="6"/>
        <w:ind w:firstLine="420"/>
      </w:pPr>
      <w:bookmarkStart w:id="501" w:name="_Toc25482"/>
      <w:r>
        <w:rPr>
          <w:rFonts w:hint="eastAsia"/>
        </w:rPr>
        <w:t>专业理论培训</w:t>
      </w:r>
      <w:bookmarkEnd w:id="501"/>
    </w:p>
    <w:p>
      <w:pPr>
        <w:ind w:firstLine="420"/>
        <w:rPr>
          <w:lang w:bidi="zh-CN"/>
        </w:rPr>
      </w:pPr>
      <w:r>
        <w:rPr>
          <w:rFonts w:hint="eastAsia"/>
          <w:lang w:bidi="zh-CN"/>
        </w:rPr>
        <w:t>培训重点围绕实训室建设项目的信息化系统专业理论进行培训，旨在使中高职学校的管理人员、教师掌握信息化教学和专业实训资源的使用，保障课程系统的正常运行。</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培训目标：</w:t>
      </w:r>
    </w:p>
    <w:p>
      <w:pPr>
        <w:numPr>
          <w:ilvl w:val="0"/>
          <w:numId w:val="118"/>
        </w:numPr>
        <w:ind w:left="0" w:firstLine="420"/>
        <w:rPr>
          <w:lang w:bidi="zh-CN"/>
        </w:rPr>
      </w:pPr>
      <w:r>
        <w:rPr>
          <w:rFonts w:hint="eastAsia"/>
          <w:lang w:bidi="zh-CN"/>
        </w:rPr>
        <w:t>通过培训，关键用户能够理解并熟练掌握操作方法和流程；</w:t>
      </w:r>
    </w:p>
    <w:p>
      <w:pPr>
        <w:numPr>
          <w:ilvl w:val="0"/>
          <w:numId w:val="118"/>
        </w:numPr>
        <w:ind w:left="0" w:firstLine="420"/>
        <w:rPr>
          <w:lang w:bidi="zh-CN"/>
        </w:rPr>
      </w:pPr>
      <w:r>
        <w:rPr>
          <w:rFonts w:hint="eastAsia"/>
          <w:lang w:bidi="zh-CN"/>
        </w:rPr>
        <w:t>通过培训，夯实基础为后续教学应用做好充分准备；</w:t>
      </w:r>
    </w:p>
    <w:p>
      <w:pPr>
        <w:numPr>
          <w:ilvl w:val="0"/>
          <w:numId w:val="118"/>
        </w:numPr>
        <w:ind w:left="0" w:firstLine="420"/>
        <w:rPr>
          <w:lang w:bidi="zh-CN"/>
        </w:rPr>
      </w:pPr>
      <w:r>
        <w:rPr>
          <w:rFonts w:hint="eastAsia"/>
          <w:lang w:bidi="zh-CN"/>
        </w:rPr>
        <w:t>通过培训，关键用户能够在校内担负起知识转移的任务。</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培训对象：</w:t>
      </w:r>
    </w:p>
    <w:p>
      <w:pPr>
        <w:ind w:firstLine="420"/>
        <w:rPr>
          <w:lang w:bidi="zh-CN"/>
        </w:rPr>
      </w:pPr>
      <w:r>
        <w:rPr>
          <w:rFonts w:hint="eastAsia"/>
          <w:lang w:bidi="zh-CN"/>
        </w:rPr>
        <w:t>采购人指定的技术人员和管理人员。</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培训方式：</w:t>
      </w:r>
    </w:p>
    <w:p>
      <w:pPr>
        <w:ind w:firstLine="420"/>
        <w:rPr>
          <w:lang w:bidi="zh-CN"/>
        </w:rPr>
      </w:pPr>
      <w:r>
        <w:rPr>
          <w:rFonts w:hint="eastAsia"/>
          <w:lang w:bidi="zh-CN"/>
        </w:rPr>
        <w:t>现场培训、线上直播培训（线上培训资源点播）。</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培训时间：</w:t>
      </w:r>
    </w:p>
    <w:p>
      <w:pPr>
        <w:ind w:firstLine="420"/>
        <w:rPr>
          <w:rFonts w:ascii="Times New Roman" w:hAnsi="Times New Roman" w:eastAsia="宋体" w:cs="Times New Roman"/>
          <w:lang w:bidi="zh-CN"/>
        </w:rPr>
      </w:pPr>
      <w:r>
        <w:rPr>
          <w:rFonts w:hint="eastAsia" w:ascii="Times New Roman" w:hAnsi="Times New Roman" w:eastAsia="宋体" w:cs="Times New Roman"/>
          <w:lang w:bidi="zh-CN"/>
        </w:rPr>
        <w:t>按照采购人或用户单位指定时间。</w:t>
      </w:r>
    </w:p>
    <w:p>
      <w:pPr>
        <w:ind w:left="440" w:leftChars="200" w:firstLine="0" w:firstLineChars="0"/>
        <w:jc w:val="center"/>
        <w:rPr>
          <w:rFonts w:ascii="Times New Roman" w:hAnsi="Times New Roman" w:eastAsia="宋体" w:cs="Times New Roman"/>
          <w:b/>
          <w:bCs/>
        </w:rPr>
      </w:pPr>
      <w:r>
        <w:rPr>
          <w:rFonts w:hint="eastAsia" w:ascii="Times New Roman" w:hAnsi="Times New Roman" w:eastAsia="宋体" w:cs="Times New Roman"/>
          <w:b/>
          <w:bCs/>
        </w:rPr>
        <w:t>培训课程计划表</w:t>
      </w:r>
    </w:p>
    <w:tbl>
      <w:tblPr>
        <w:tblStyle w:val="16"/>
        <w:tblW w:w="90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2235"/>
        <w:gridCol w:w="4990"/>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0" w:type="dxa"/>
            <w:vAlign w:val="center"/>
          </w:tcPr>
          <w:p>
            <w:pPr>
              <w:spacing w:line="240" w:lineRule="auto"/>
              <w:ind w:firstLine="0" w:firstLineChars="0"/>
              <w:jc w:val="center"/>
            </w:pPr>
            <w:r>
              <w:rPr>
                <w:rFonts w:hint="eastAsia"/>
              </w:rPr>
              <w:t>序号</w:t>
            </w:r>
          </w:p>
        </w:tc>
        <w:tc>
          <w:tcPr>
            <w:tcW w:w="2235" w:type="dxa"/>
            <w:vAlign w:val="center"/>
          </w:tcPr>
          <w:p>
            <w:pPr>
              <w:spacing w:line="240" w:lineRule="auto"/>
              <w:ind w:firstLine="0" w:firstLineChars="0"/>
              <w:jc w:val="center"/>
            </w:pPr>
            <w:r>
              <w:rPr>
                <w:rFonts w:hint="eastAsia"/>
              </w:rPr>
              <w:t>课程名称</w:t>
            </w:r>
          </w:p>
        </w:tc>
        <w:tc>
          <w:tcPr>
            <w:tcW w:w="4990" w:type="dxa"/>
            <w:vAlign w:val="center"/>
          </w:tcPr>
          <w:p>
            <w:pPr>
              <w:spacing w:line="240" w:lineRule="auto"/>
              <w:ind w:firstLine="0" w:firstLineChars="0"/>
              <w:jc w:val="center"/>
            </w:pPr>
            <w:r>
              <w:rPr>
                <w:rFonts w:hint="eastAsia"/>
              </w:rPr>
              <w:t>课程内容</w:t>
            </w:r>
          </w:p>
        </w:tc>
        <w:tc>
          <w:tcPr>
            <w:tcW w:w="1174" w:type="dxa"/>
            <w:vAlign w:val="center"/>
          </w:tcPr>
          <w:p>
            <w:pPr>
              <w:spacing w:line="240" w:lineRule="auto"/>
              <w:ind w:firstLine="0" w:firstLineChars="0"/>
              <w:jc w:val="center"/>
            </w:pPr>
            <w:r>
              <w:rPr>
                <w:rFonts w:hint="eastAsia"/>
              </w:rPr>
              <w:t>培训时间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0" w:type="dxa"/>
            <w:vAlign w:val="center"/>
          </w:tcPr>
          <w:p>
            <w:pPr>
              <w:spacing w:line="240" w:lineRule="auto"/>
              <w:ind w:firstLine="0" w:firstLineChars="0"/>
              <w:jc w:val="center"/>
            </w:pPr>
            <w:r>
              <w:rPr>
                <w:rFonts w:hint="eastAsia"/>
              </w:rPr>
              <w:t>1</w:t>
            </w:r>
          </w:p>
        </w:tc>
        <w:tc>
          <w:tcPr>
            <w:tcW w:w="2235" w:type="dxa"/>
            <w:vAlign w:val="center"/>
          </w:tcPr>
          <w:p>
            <w:pPr>
              <w:spacing w:line="240" w:lineRule="auto"/>
              <w:ind w:firstLine="0" w:firstLineChars="0"/>
              <w:jc w:val="center"/>
            </w:pPr>
            <w:r>
              <w:rPr>
                <w:rFonts w:hint="eastAsia"/>
              </w:rPr>
              <w:t>师生破冰</w:t>
            </w:r>
          </w:p>
        </w:tc>
        <w:tc>
          <w:tcPr>
            <w:tcW w:w="4990" w:type="dxa"/>
            <w:vAlign w:val="center"/>
          </w:tcPr>
          <w:p>
            <w:pPr>
              <w:spacing w:line="240" w:lineRule="auto"/>
              <w:ind w:firstLine="0" w:firstLineChars="0"/>
            </w:pPr>
            <w:r>
              <w:rPr>
                <w:rFonts w:hint="eastAsia"/>
              </w:rPr>
              <w:t>自我介绍、</w:t>
            </w:r>
            <w:r>
              <w:t>目前对VR的了解</w:t>
            </w:r>
            <w:r>
              <w:rPr>
                <w:rFonts w:hint="eastAsia"/>
              </w:rPr>
              <w:t>及V</w:t>
            </w:r>
            <w:r>
              <w:t>R</w:t>
            </w:r>
            <w:r>
              <w:rPr>
                <w:rFonts w:hint="eastAsia"/>
              </w:rPr>
              <w:t>课程目前呈现的形式和效果介绍</w:t>
            </w:r>
          </w:p>
        </w:tc>
        <w:tc>
          <w:tcPr>
            <w:tcW w:w="1174" w:type="dxa"/>
            <w:vAlign w:val="center"/>
          </w:tcPr>
          <w:p>
            <w:pPr>
              <w:spacing w:line="240" w:lineRule="auto"/>
              <w:ind w:firstLine="0" w:firstLineChars="0"/>
              <w:jc w:val="center"/>
            </w:pPr>
            <w:r>
              <w:t>2</w:t>
            </w:r>
            <w:r>
              <w:rPr>
                <w:rFonts w:hint="eastAsia"/>
              </w:rPr>
              <w:t>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0" w:type="dxa"/>
            <w:vAlign w:val="center"/>
          </w:tcPr>
          <w:p>
            <w:pPr>
              <w:spacing w:line="240" w:lineRule="auto"/>
              <w:ind w:firstLine="0" w:firstLineChars="0"/>
              <w:jc w:val="center"/>
            </w:pPr>
            <w:r>
              <w:rPr>
                <w:rFonts w:hint="eastAsia"/>
              </w:rPr>
              <w:t>2</w:t>
            </w:r>
          </w:p>
        </w:tc>
        <w:tc>
          <w:tcPr>
            <w:tcW w:w="2235" w:type="dxa"/>
            <w:vAlign w:val="center"/>
          </w:tcPr>
          <w:p>
            <w:pPr>
              <w:spacing w:line="240" w:lineRule="auto"/>
              <w:ind w:firstLine="0" w:firstLineChars="0"/>
              <w:jc w:val="center"/>
            </w:pPr>
            <w:r>
              <w:rPr>
                <w:rFonts w:hint="eastAsia"/>
              </w:rPr>
              <w:t>常见信息化问题</w:t>
            </w:r>
          </w:p>
        </w:tc>
        <w:tc>
          <w:tcPr>
            <w:tcW w:w="4990" w:type="dxa"/>
            <w:vAlign w:val="center"/>
          </w:tcPr>
          <w:p>
            <w:pPr>
              <w:spacing w:line="240" w:lineRule="auto"/>
              <w:ind w:firstLine="0" w:firstLineChars="0"/>
            </w:pPr>
            <w:r>
              <w:rPr>
                <w:rFonts w:hint="eastAsia"/>
              </w:rPr>
              <w:t>软件应用操作培训</w:t>
            </w:r>
          </w:p>
        </w:tc>
        <w:tc>
          <w:tcPr>
            <w:tcW w:w="1174" w:type="dxa"/>
            <w:vAlign w:val="center"/>
          </w:tcPr>
          <w:p>
            <w:pPr>
              <w:spacing w:line="240" w:lineRule="auto"/>
              <w:ind w:firstLine="0" w:firstLineChars="0"/>
              <w:jc w:val="center"/>
            </w:pPr>
            <w:r>
              <w:rPr>
                <w:rFonts w:hint="eastAsia"/>
              </w:rPr>
              <w:t>2小时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0" w:type="dxa"/>
            <w:vAlign w:val="center"/>
          </w:tcPr>
          <w:p>
            <w:pPr>
              <w:spacing w:line="240" w:lineRule="auto"/>
              <w:ind w:firstLine="0" w:firstLineChars="0"/>
              <w:jc w:val="center"/>
            </w:pPr>
            <w:r>
              <w:rPr>
                <w:rFonts w:hint="eastAsia"/>
              </w:rPr>
              <w:t>3</w:t>
            </w:r>
          </w:p>
        </w:tc>
        <w:tc>
          <w:tcPr>
            <w:tcW w:w="2235" w:type="dxa"/>
            <w:vAlign w:val="center"/>
          </w:tcPr>
          <w:p>
            <w:pPr>
              <w:spacing w:line="240" w:lineRule="auto"/>
              <w:ind w:firstLine="0" w:firstLineChars="0"/>
              <w:jc w:val="center"/>
            </w:pPr>
            <w:r>
              <w:rPr>
                <w:rFonts w:hint="eastAsia"/>
              </w:rPr>
              <w:t>系统的关键设计介绍</w:t>
            </w:r>
          </w:p>
        </w:tc>
        <w:tc>
          <w:tcPr>
            <w:tcW w:w="4990" w:type="dxa"/>
            <w:vAlign w:val="center"/>
          </w:tcPr>
          <w:p>
            <w:pPr>
              <w:spacing w:line="240" w:lineRule="auto"/>
              <w:ind w:firstLine="0" w:firstLineChars="0"/>
            </w:pPr>
            <w:r>
              <w:rPr>
                <w:rFonts w:hint="eastAsia"/>
              </w:rPr>
              <w:t>产品介绍及使用</w:t>
            </w:r>
          </w:p>
        </w:tc>
        <w:tc>
          <w:tcPr>
            <w:tcW w:w="1174" w:type="dxa"/>
            <w:vAlign w:val="center"/>
          </w:tcPr>
          <w:p>
            <w:pPr>
              <w:spacing w:line="240" w:lineRule="auto"/>
              <w:ind w:firstLine="0" w:firstLineChars="0"/>
              <w:jc w:val="center"/>
            </w:pPr>
            <w:r>
              <w:rPr>
                <w:rFonts w:hint="eastAsia"/>
              </w:rPr>
              <w:t>2小时</w:t>
            </w:r>
          </w:p>
        </w:tc>
      </w:tr>
    </w:tbl>
    <w:p>
      <w:pPr>
        <w:pStyle w:val="6"/>
        <w:ind w:firstLine="420"/>
      </w:pPr>
      <w:bookmarkStart w:id="502" w:name="_Toc1265"/>
      <w:r>
        <w:rPr>
          <w:rFonts w:hint="eastAsia"/>
        </w:rPr>
        <w:t>操作系统培训</w:t>
      </w:r>
      <w:bookmarkEnd w:id="502"/>
    </w:p>
    <w:p>
      <w:pPr>
        <w:ind w:firstLine="420"/>
        <w:rPr>
          <w:lang w:bidi="zh-CN"/>
        </w:rPr>
      </w:pPr>
      <w:r>
        <w:rPr>
          <w:rFonts w:hint="eastAsia"/>
          <w:lang w:bidi="zh-CN"/>
        </w:rPr>
        <w:t>培训重点围绕实训室建设项目的信息化系统操作系统进行培训，旨在使中高职学校的管理人员、教师掌握信息化教学和专业实训资源系统的使用，保障课程系统的正常运行。</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培训目标：</w:t>
      </w:r>
    </w:p>
    <w:p>
      <w:pPr>
        <w:numPr>
          <w:ilvl w:val="0"/>
          <w:numId w:val="119"/>
        </w:numPr>
        <w:ind w:left="0" w:firstLine="420"/>
        <w:rPr>
          <w:lang w:bidi="zh-CN"/>
        </w:rPr>
      </w:pPr>
      <w:r>
        <w:rPr>
          <w:rFonts w:hint="eastAsia"/>
          <w:lang w:bidi="zh-CN"/>
        </w:rPr>
        <w:t>通过培训，关键用户能够理解并熟练掌握操作系统的操作方法和流程；</w:t>
      </w:r>
    </w:p>
    <w:p>
      <w:pPr>
        <w:numPr>
          <w:ilvl w:val="0"/>
          <w:numId w:val="119"/>
        </w:numPr>
        <w:ind w:left="0" w:firstLine="420"/>
        <w:rPr>
          <w:lang w:bidi="zh-CN"/>
        </w:rPr>
      </w:pPr>
      <w:r>
        <w:rPr>
          <w:rFonts w:hint="eastAsia"/>
          <w:lang w:bidi="zh-CN"/>
        </w:rPr>
        <w:t>通过培训，夯实操作系统的操作基础为后续教学应用做好充分准备；</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培训对象：</w:t>
      </w:r>
    </w:p>
    <w:p>
      <w:pPr>
        <w:ind w:firstLine="420"/>
        <w:rPr>
          <w:lang w:bidi="zh-CN"/>
        </w:rPr>
      </w:pPr>
      <w:r>
        <w:rPr>
          <w:rFonts w:hint="eastAsia"/>
          <w:lang w:bidi="zh-CN"/>
        </w:rPr>
        <w:t>采购人指定的技术人员和管理人员。</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培训方式：</w:t>
      </w:r>
    </w:p>
    <w:p>
      <w:pPr>
        <w:ind w:firstLine="420"/>
        <w:rPr>
          <w:lang w:bidi="zh-CN"/>
        </w:rPr>
      </w:pPr>
      <w:r>
        <w:rPr>
          <w:rFonts w:hint="eastAsia"/>
          <w:lang w:bidi="zh-CN"/>
        </w:rPr>
        <w:t>现场培训、线上直播培训（线上培训资源点播）。</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培训时间：</w:t>
      </w:r>
    </w:p>
    <w:p>
      <w:pPr>
        <w:ind w:firstLine="420"/>
        <w:rPr>
          <w:rFonts w:ascii="Times New Roman" w:hAnsi="Times New Roman" w:eastAsia="宋体" w:cs="Times New Roman"/>
          <w:lang w:bidi="zh-CN"/>
        </w:rPr>
      </w:pPr>
      <w:r>
        <w:rPr>
          <w:rFonts w:hint="eastAsia" w:ascii="Times New Roman" w:hAnsi="Times New Roman" w:eastAsia="宋体" w:cs="Times New Roman"/>
          <w:lang w:bidi="zh-CN"/>
        </w:rPr>
        <w:t>按照采购人或用户单位指定时间。</w:t>
      </w:r>
    </w:p>
    <w:p>
      <w:pPr>
        <w:pStyle w:val="6"/>
        <w:ind w:firstLine="420"/>
      </w:pPr>
      <w:bookmarkStart w:id="503" w:name="_Toc30681"/>
      <w:r>
        <w:rPr>
          <w:rFonts w:hint="eastAsia"/>
        </w:rPr>
        <w:t>简单故障处理培训</w:t>
      </w:r>
      <w:bookmarkEnd w:id="503"/>
    </w:p>
    <w:p>
      <w:pPr>
        <w:ind w:firstLine="420"/>
        <w:rPr>
          <w:lang w:bidi="zh-CN"/>
        </w:rPr>
      </w:pPr>
      <w:r>
        <w:rPr>
          <w:rFonts w:hint="eastAsia"/>
          <w:lang w:bidi="zh-CN"/>
        </w:rPr>
        <w:t>培训重点围绕实训室建设项目的信息化系统简单故障处理进行培训，旨在使中高职学校的管理人员、教师掌握信息化教学和专业实训资源系统的使用，保障课程系统的正常运行。</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培训目标：</w:t>
      </w:r>
    </w:p>
    <w:p>
      <w:pPr>
        <w:numPr>
          <w:ilvl w:val="0"/>
          <w:numId w:val="119"/>
        </w:numPr>
        <w:ind w:left="0" w:firstLine="420"/>
        <w:rPr>
          <w:rFonts w:ascii="Times New Roman" w:hAnsi="Times New Roman" w:eastAsia="宋体" w:cs="Times New Roman"/>
          <w:lang w:bidi="zh-CN"/>
        </w:rPr>
      </w:pPr>
      <w:r>
        <w:rPr>
          <w:rFonts w:hint="eastAsia" w:ascii="Times New Roman" w:hAnsi="Times New Roman" w:eastAsia="宋体" w:cs="Times New Roman"/>
          <w:lang w:bidi="zh-CN"/>
        </w:rPr>
        <w:t>通过培训，关键用户能够理解并熟练掌握课程软件操作方法和流程；</w:t>
      </w:r>
    </w:p>
    <w:p>
      <w:pPr>
        <w:numPr>
          <w:ilvl w:val="0"/>
          <w:numId w:val="119"/>
        </w:numPr>
        <w:ind w:left="0" w:firstLine="420"/>
        <w:rPr>
          <w:rFonts w:ascii="Times New Roman" w:hAnsi="Times New Roman" w:eastAsia="宋体" w:cs="Times New Roman"/>
          <w:lang w:bidi="zh-CN"/>
        </w:rPr>
      </w:pPr>
      <w:r>
        <w:rPr>
          <w:rFonts w:hint="eastAsia" w:ascii="Times New Roman" w:hAnsi="Times New Roman" w:eastAsia="宋体" w:cs="Times New Roman"/>
          <w:lang w:bidi="zh-CN"/>
        </w:rPr>
        <w:t>通过培训，相关维护人员能达到基本的维护水平，具备排除常见故障的能力；</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培训对象：</w:t>
      </w:r>
    </w:p>
    <w:p>
      <w:pPr>
        <w:ind w:firstLine="420"/>
        <w:rPr>
          <w:lang w:bidi="zh-CN"/>
        </w:rPr>
      </w:pPr>
      <w:r>
        <w:rPr>
          <w:rFonts w:hint="eastAsia"/>
          <w:lang w:bidi="zh-CN"/>
        </w:rPr>
        <w:t>采购人指定的技术人员和管理人员。</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培训方式：</w:t>
      </w:r>
    </w:p>
    <w:p>
      <w:pPr>
        <w:ind w:firstLine="420"/>
        <w:rPr>
          <w:lang w:bidi="zh-CN"/>
        </w:rPr>
      </w:pPr>
      <w:r>
        <w:rPr>
          <w:rFonts w:hint="eastAsia"/>
          <w:lang w:bidi="zh-CN"/>
        </w:rPr>
        <w:t>现场培训、线上直播培训（线上培训资源点播）。</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培训时间：按照采购人或用户单位指定时间。</w:t>
      </w:r>
    </w:p>
    <w:p>
      <w:pPr>
        <w:ind w:left="440" w:leftChars="200" w:firstLine="0" w:firstLineChars="0"/>
        <w:jc w:val="center"/>
        <w:rPr>
          <w:b/>
          <w:bCs/>
        </w:rPr>
      </w:pPr>
      <w:r>
        <w:rPr>
          <w:rFonts w:hint="eastAsia"/>
          <w:b/>
          <w:bCs/>
        </w:rPr>
        <w:t>培训课程计划表</w:t>
      </w:r>
    </w:p>
    <w:tbl>
      <w:tblPr>
        <w:tblStyle w:val="16"/>
        <w:tblW w:w="9102" w:type="dxa"/>
        <w:jc w:val="center"/>
        <w:tblLayout w:type="fixed"/>
        <w:tblCellMar>
          <w:top w:w="0" w:type="dxa"/>
          <w:left w:w="108" w:type="dxa"/>
          <w:bottom w:w="0" w:type="dxa"/>
          <w:right w:w="108" w:type="dxa"/>
        </w:tblCellMar>
      </w:tblPr>
      <w:tblGrid>
        <w:gridCol w:w="1254"/>
        <w:gridCol w:w="2972"/>
        <w:gridCol w:w="3181"/>
        <w:gridCol w:w="1695"/>
      </w:tblGrid>
      <w:tr>
        <w:tblPrEx>
          <w:tblCellMar>
            <w:top w:w="0" w:type="dxa"/>
            <w:left w:w="108" w:type="dxa"/>
            <w:bottom w:w="0" w:type="dxa"/>
            <w:right w:w="108" w:type="dxa"/>
          </w:tblCellMar>
        </w:tblPrEx>
        <w:trPr>
          <w:trHeight w:val="454" w:hRule="atLeast"/>
          <w:jc w:val="center"/>
        </w:trPr>
        <w:tc>
          <w:tcPr>
            <w:tcW w:w="1254" w:type="dxa"/>
            <w:tcBorders>
              <w:top w:val="single" w:color="auto" w:sz="4" w:space="0"/>
              <w:left w:val="single" w:color="auto" w:sz="4" w:space="0"/>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序号</w:t>
            </w:r>
          </w:p>
        </w:tc>
        <w:tc>
          <w:tcPr>
            <w:tcW w:w="2972"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课程名称</w:t>
            </w:r>
          </w:p>
        </w:tc>
        <w:tc>
          <w:tcPr>
            <w:tcW w:w="3181"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课程内容</w:t>
            </w:r>
          </w:p>
        </w:tc>
        <w:tc>
          <w:tcPr>
            <w:tcW w:w="1695" w:type="dxa"/>
            <w:tcBorders>
              <w:top w:val="single" w:color="auto" w:sz="4" w:space="0"/>
              <w:left w:val="nil"/>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培训时间</w:t>
            </w:r>
          </w:p>
        </w:tc>
      </w:tr>
      <w:tr>
        <w:tblPrEx>
          <w:tblCellMar>
            <w:top w:w="0" w:type="dxa"/>
            <w:left w:w="108" w:type="dxa"/>
            <w:bottom w:w="0" w:type="dxa"/>
            <w:right w:w="108" w:type="dxa"/>
          </w:tblCellMar>
        </w:tblPrEx>
        <w:trPr>
          <w:trHeight w:val="454" w:hRule="atLeast"/>
          <w:jc w:val="center"/>
        </w:trPr>
        <w:tc>
          <w:tcPr>
            <w:tcW w:w="1254" w:type="dxa"/>
            <w:tcBorders>
              <w:top w:val="nil"/>
              <w:left w:val="single" w:color="auto" w:sz="4" w:space="0"/>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1</w:t>
            </w:r>
          </w:p>
        </w:tc>
        <w:tc>
          <w:tcPr>
            <w:tcW w:w="2972" w:type="dxa"/>
            <w:tcBorders>
              <w:top w:val="nil"/>
              <w:left w:val="nil"/>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课程软件安装、调试</w:t>
            </w:r>
          </w:p>
        </w:tc>
        <w:tc>
          <w:tcPr>
            <w:tcW w:w="3181" w:type="dxa"/>
            <w:tcBorders>
              <w:top w:val="nil"/>
              <w:left w:val="nil"/>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软件应用操作培训</w:t>
            </w:r>
          </w:p>
        </w:tc>
        <w:tc>
          <w:tcPr>
            <w:tcW w:w="1695" w:type="dxa"/>
            <w:tcBorders>
              <w:top w:val="nil"/>
              <w:left w:val="nil"/>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4小时</w:t>
            </w:r>
          </w:p>
        </w:tc>
      </w:tr>
      <w:tr>
        <w:tblPrEx>
          <w:tblCellMar>
            <w:top w:w="0" w:type="dxa"/>
            <w:left w:w="108" w:type="dxa"/>
            <w:bottom w:w="0" w:type="dxa"/>
            <w:right w:w="108" w:type="dxa"/>
          </w:tblCellMar>
        </w:tblPrEx>
        <w:trPr>
          <w:trHeight w:val="454" w:hRule="atLeast"/>
          <w:jc w:val="center"/>
        </w:trPr>
        <w:tc>
          <w:tcPr>
            <w:tcW w:w="1254" w:type="dxa"/>
            <w:tcBorders>
              <w:top w:val="nil"/>
              <w:left w:val="single" w:color="auto" w:sz="4" w:space="0"/>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2</w:t>
            </w:r>
          </w:p>
        </w:tc>
        <w:tc>
          <w:tcPr>
            <w:tcW w:w="2972" w:type="dxa"/>
            <w:tcBorders>
              <w:top w:val="nil"/>
              <w:left w:val="nil"/>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常见故障处理</w:t>
            </w:r>
          </w:p>
        </w:tc>
        <w:tc>
          <w:tcPr>
            <w:tcW w:w="3181" w:type="dxa"/>
            <w:tcBorders>
              <w:top w:val="nil"/>
              <w:left w:val="nil"/>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软件应用操作培训</w:t>
            </w:r>
          </w:p>
        </w:tc>
        <w:tc>
          <w:tcPr>
            <w:tcW w:w="1695" w:type="dxa"/>
            <w:tcBorders>
              <w:top w:val="nil"/>
              <w:left w:val="nil"/>
              <w:bottom w:val="single" w:color="auto" w:sz="4" w:space="0"/>
              <w:right w:val="single" w:color="auto" w:sz="4" w:space="0"/>
            </w:tcBorders>
            <w:vAlign w:val="center"/>
          </w:tcPr>
          <w:p>
            <w:pPr>
              <w:widowControl/>
              <w:ind w:firstLine="0" w:firstLineChars="0"/>
              <w:jc w:val="center"/>
              <w:rPr>
                <w:rFonts w:ascii="Times New Roman" w:hAnsi="Times New Roman" w:eastAsia="宋体" w:cs="Times New Roman"/>
                <w:color w:val="000000"/>
                <w:kern w:val="0"/>
              </w:rPr>
            </w:pPr>
            <w:r>
              <w:rPr>
                <w:rFonts w:hint="eastAsia" w:ascii="Times New Roman" w:hAnsi="Times New Roman" w:eastAsia="宋体" w:cs="Times New Roman"/>
                <w:color w:val="000000"/>
                <w:kern w:val="0"/>
              </w:rPr>
              <w:t>4小时</w:t>
            </w:r>
          </w:p>
        </w:tc>
      </w:tr>
    </w:tbl>
    <w:p>
      <w:pPr>
        <w:pStyle w:val="6"/>
        <w:ind w:firstLine="420"/>
      </w:pPr>
      <w:bookmarkStart w:id="504" w:name="_Toc27315"/>
      <w:r>
        <w:rPr>
          <w:rFonts w:hint="eastAsia"/>
        </w:rPr>
        <w:t>统计报表培训</w:t>
      </w:r>
      <w:bookmarkEnd w:id="504"/>
    </w:p>
    <w:p>
      <w:pPr>
        <w:ind w:firstLine="420"/>
        <w:rPr>
          <w:lang w:bidi="zh-CN"/>
        </w:rPr>
      </w:pPr>
      <w:r>
        <w:rPr>
          <w:rFonts w:hint="eastAsia"/>
          <w:lang w:bidi="zh-CN"/>
        </w:rPr>
        <w:t>培训重点围绕实训室建设项目的信息化系统统计报表进行培训，旨在使中高职学校的管理人员、教师掌握信息化教学和专业实训资源系统的使用，保障课程系统的正常运行。</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培训目标：</w:t>
      </w:r>
    </w:p>
    <w:p>
      <w:pPr>
        <w:numPr>
          <w:ilvl w:val="0"/>
          <w:numId w:val="119"/>
        </w:numPr>
        <w:ind w:left="0" w:firstLine="420"/>
        <w:rPr>
          <w:rFonts w:ascii="Times New Roman" w:hAnsi="Times New Roman" w:eastAsia="宋体" w:cs="Times New Roman"/>
          <w:lang w:bidi="zh-CN"/>
        </w:rPr>
      </w:pPr>
      <w:r>
        <w:rPr>
          <w:rFonts w:hint="eastAsia" w:ascii="Times New Roman" w:hAnsi="Times New Roman" w:eastAsia="宋体" w:cs="Times New Roman"/>
          <w:lang w:bidi="zh-CN"/>
        </w:rPr>
        <w:t>通过培训，关键用户能够理解统计报表功能并熟练掌握操作方法和流程；</w:t>
      </w:r>
    </w:p>
    <w:p>
      <w:pPr>
        <w:numPr>
          <w:ilvl w:val="0"/>
          <w:numId w:val="119"/>
        </w:numPr>
        <w:ind w:left="0" w:firstLine="420"/>
        <w:rPr>
          <w:rFonts w:ascii="Times New Roman" w:hAnsi="Times New Roman" w:eastAsia="宋体" w:cs="Times New Roman"/>
          <w:lang w:bidi="zh-CN"/>
        </w:rPr>
      </w:pPr>
      <w:r>
        <w:rPr>
          <w:rFonts w:hint="eastAsia" w:ascii="Times New Roman" w:hAnsi="Times New Roman" w:eastAsia="宋体" w:cs="Times New Roman"/>
          <w:lang w:bidi="zh-CN"/>
        </w:rPr>
        <w:t>通过培训，夯实统计报表基础为后续教学应用做好充分准备；</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培训对象：</w:t>
      </w:r>
    </w:p>
    <w:p>
      <w:pPr>
        <w:ind w:firstLine="420"/>
        <w:rPr>
          <w:lang w:bidi="zh-CN"/>
        </w:rPr>
      </w:pPr>
      <w:r>
        <w:rPr>
          <w:rFonts w:hint="eastAsia"/>
          <w:lang w:bidi="zh-CN"/>
        </w:rPr>
        <w:t>采购人指定的技术人员和管理人员。</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培训方式：</w:t>
      </w:r>
    </w:p>
    <w:p>
      <w:pPr>
        <w:ind w:firstLine="420"/>
        <w:rPr>
          <w:lang w:bidi="zh-CN"/>
        </w:rPr>
      </w:pPr>
      <w:r>
        <w:rPr>
          <w:rFonts w:hint="eastAsia"/>
          <w:lang w:bidi="zh-CN"/>
        </w:rPr>
        <w:t>现场培训、线上直播培训（线上培训资源点播）。</w:t>
      </w:r>
    </w:p>
    <w:p>
      <w:pPr>
        <w:numPr>
          <w:ilvl w:val="0"/>
          <w:numId w:val="117"/>
        </w:numPr>
        <w:ind w:left="0" w:firstLine="422"/>
        <w:rPr>
          <w:rFonts w:ascii="Times New Roman" w:hAnsi="Times New Roman" w:eastAsia="宋体" w:cs="Times New Roman"/>
          <w:b/>
          <w:bCs/>
        </w:rPr>
      </w:pPr>
      <w:r>
        <w:rPr>
          <w:rFonts w:hint="eastAsia" w:ascii="Times New Roman" w:hAnsi="Times New Roman" w:eastAsia="宋体" w:cs="Times New Roman"/>
          <w:b/>
          <w:bCs/>
        </w:rPr>
        <w:t>培训时间：</w:t>
      </w:r>
    </w:p>
    <w:p>
      <w:pPr>
        <w:ind w:firstLine="420"/>
        <w:rPr>
          <w:rFonts w:ascii="Times New Roman" w:hAnsi="Times New Roman" w:eastAsia="宋体" w:cs="Times New Roman"/>
          <w:lang w:bidi="zh-CN"/>
        </w:rPr>
      </w:pPr>
      <w:r>
        <w:rPr>
          <w:rFonts w:hint="eastAsia" w:ascii="Times New Roman" w:hAnsi="Times New Roman" w:eastAsia="宋体" w:cs="Times New Roman"/>
          <w:lang w:bidi="zh-CN"/>
        </w:rPr>
        <w:t>按照采购人或用户单位指定时间。</w:t>
      </w:r>
    </w:p>
    <w:p>
      <w:pPr>
        <w:ind w:left="440" w:leftChars="200" w:firstLine="0" w:firstLineChars="0"/>
        <w:jc w:val="center"/>
        <w:rPr>
          <w:b/>
          <w:bCs/>
        </w:rPr>
      </w:pPr>
      <w:r>
        <w:rPr>
          <w:rFonts w:hint="eastAsia"/>
          <w:b/>
          <w:bCs/>
        </w:rPr>
        <w:t>培训课程计划表</w:t>
      </w:r>
    </w:p>
    <w:tbl>
      <w:tblPr>
        <w:tblStyle w:val="16"/>
        <w:tblW w:w="9102" w:type="dxa"/>
        <w:jc w:val="center"/>
        <w:tblLayout w:type="fixed"/>
        <w:tblCellMar>
          <w:top w:w="0" w:type="dxa"/>
          <w:left w:w="108" w:type="dxa"/>
          <w:bottom w:w="0" w:type="dxa"/>
          <w:right w:w="108" w:type="dxa"/>
        </w:tblCellMar>
      </w:tblPr>
      <w:tblGrid>
        <w:gridCol w:w="1225"/>
        <w:gridCol w:w="3112"/>
        <w:gridCol w:w="3108"/>
        <w:gridCol w:w="1657"/>
      </w:tblGrid>
      <w:tr>
        <w:tblPrEx>
          <w:tblCellMar>
            <w:top w:w="0" w:type="dxa"/>
            <w:left w:w="108" w:type="dxa"/>
            <w:bottom w:w="0" w:type="dxa"/>
            <w:right w:w="108" w:type="dxa"/>
          </w:tblCellMar>
        </w:tblPrEx>
        <w:trPr>
          <w:trHeight w:val="454" w:hRule="atLeast"/>
          <w:jc w:val="center"/>
        </w:trPr>
        <w:tc>
          <w:tcPr>
            <w:tcW w:w="122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序号</w:t>
            </w:r>
          </w:p>
        </w:tc>
        <w:tc>
          <w:tcPr>
            <w:tcW w:w="3112"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课程名称</w:t>
            </w:r>
          </w:p>
        </w:tc>
        <w:tc>
          <w:tcPr>
            <w:tcW w:w="3108"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课程内容</w:t>
            </w:r>
          </w:p>
        </w:tc>
        <w:tc>
          <w:tcPr>
            <w:tcW w:w="1657"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培训时间</w:t>
            </w:r>
          </w:p>
        </w:tc>
      </w:tr>
      <w:tr>
        <w:tblPrEx>
          <w:tblCellMar>
            <w:top w:w="0" w:type="dxa"/>
            <w:left w:w="108" w:type="dxa"/>
            <w:bottom w:w="0" w:type="dxa"/>
            <w:right w:w="108" w:type="dxa"/>
          </w:tblCellMar>
        </w:tblPrEx>
        <w:trPr>
          <w:trHeight w:val="454" w:hRule="atLeast"/>
          <w:jc w:val="center"/>
        </w:trPr>
        <w:tc>
          <w:tcPr>
            <w:tcW w:w="1225" w:type="dxa"/>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1</w:t>
            </w:r>
          </w:p>
        </w:tc>
        <w:tc>
          <w:tcPr>
            <w:tcW w:w="3112"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课程数据报表</w:t>
            </w:r>
          </w:p>
        </w:tc>
        <w:tc>
          <w:tcPr>
            <w:tcW w:w="3108"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产品介绍及使用</w:t>
            </w:r>
          </w:p>
        </w:tc>
        <w:tc>
          <w:tcPr>
            <w:tcW w:w="1657"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1小时</w:t>
            </w:r>
          </w:p>
        </w:tc>
      </w:tr>
      <w:tr>
        <w:tblPrEx>
          <w:tblCellMar>
            <w:top w:w="0" w:type="dxa"/>
            <w:left w:w="108" w:type="dxa"/>
            <w:bottom w:w="0" w:type="dxa"/>
            <w:right w:w="108" w:type="dxa"/>
          </w:tblCellMar>
        </w:tblPrEx>
        <w:trPr>
          <w:trHeight w:val="454" w:hRule="atLeast"/>
          <w:jc w:val="center"/>
        </w:trPr>
        <w:tc>
          <w:tcPr>
            <w:tcW w:w="1225" w:type="dxa"/>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2</w:t>
            </w:r>
          </w:p>
        </w:tc>
        <w:tc>
          <w:tcPr>
            <w:tcW w:w="3112"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课程教学数据统计报表</w:t>
            </w:r>
          </w:p>
        </w:tc>
        <w:tc>
          <w:tcPr>
            <w:tcW w:w="3108"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软件功能应用操作培训</w:t>
            </w:r>
          </w:p>
        </w:tc>
        <w:tc>
          <w:tcPr>
            <w:tcW w:w="1657"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2小时</w:t>
            </w:r>
          </w:p>
        </w:tc>
      </w:tr>
      <w:tr>
        <w:tblPrEx>
          <w:tblCellMar>
            <w:top w:w="0" w:type="dxa"/>
            <w:left w:w="108" w:type="dxa"/>
            <w:bottom w:w="0" w:type="dxa"/>
            <w:right w:w="108" w:type="dxa"/>
          </w:tblCellMar>
        </w:tblPrEx>
        <w:trPr>
          <w:trHeight w:val="454" w:hRule="atLeast"/>
          <w:jc w:val="center"/>
        </w:trPr>
        <w:tc>
          <w:tcPr>
            <w:tcW w:w="1225" w:type="dxa"/>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3</w:t>
            </w:r>
          </w:p>
        </w:tc>
        <w:tc>
          <w:tcPr>
            <w:tcW w:w="3112"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课程实训数据统计报表</w:t>
            </w:r>
          </w:p>
        </w:tc>
        <w:tc>
          <w:tcPr>
            <w:tcW w:w="3108"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软件功能应用操作培训</w:t>
            </w:r>
          </w:p>
        </w:tc>
        <w:tc>
          <w:tcPr>
            <w:tcW w:w="1657" w:type="dxa"/>
            <w:tcBorders>
              <w:top w:val="nil"/>
              <w:left w:val="nil"/>
              <w:bottom w:val="single" w:color="auto" w:sz="4" w:space="0"/>
              <w:right w:val="single" w:color="auto" w:sz="4" w:space="0"/>
            </w:tcBorders>
            <w:vAlign w:val="center"/>
          </w:tcPr>
          <w:p>
            <w:pPr>
              <w:widowControl/>
              <w:adjustRightInd w:val="0"/>
              <w:snapToGrid w:val="0"/>
              <w:spacing w:line="240" w:lineRule="auto"/>
              <w:ind w:firstLine="0" w:firstLineChars="0"/>
              <w:jc w:val="center"/>
              <w:rPr>
                <w:rFonts w:cs="宋体"/>
                <w:color w:val="000000"/>
                <w:kern w:val="0"/>
                <w:szCs w:val="24"/>
              </w:rPr>
            </w:pPr>
            <w:r>
              <w:rPr>
                <w:rFonts w:hint="eastAsia" w:cs="宋体"/>
                <w:color w:val="000000"/>
                <w:kern w:val="0"/>
                <w:szCs w:val="24"/>
              </w:rPr>
              <w:t>2小时</w:t>
            </w:r>
          </w:p>
        </w:tc>
      </w:tr>
    </w:tbl>
    <w:p>
      <w:pPr>
        <w:pStyle w:val="5"/>
        <w:tabs>
          <w:tab w:val="left" w:pos="0"/>
        </w:tabs>
        <w:ind w:firstLine="480"/>
      </w:pPr>
      <w:bookmarkStart w:id="505" w:name="_Toc19345"/>
      <w:bookmarkStart w:id="506" w:name="_Toc31904"/>
      <w:r>
        <w:rPr>
          <w:rFonts w:hint="eastAsia"/>
        </w:rPr>
        <w:t>培训目标</w:t>
      </w:r>
      <w:bookmarkEnd w:id="505"/>
      <w:bookmarkEnd w:id="506"/>
    </w:p>
    <w:p>
      <w:pPr>
        <w:numPr>
          <w:ilvl w:val="0"/>
          <w:numId w:val="118"/>
        </w:numPr>
        <w:ind w:left="0" w:firstLine="420"/>
      </w:pPr>
      <w:r>
        <w:rPr>
          <w:rFonts w:hint="eastAsia"/>
        </w:rPr>
        <w:t>通过培训，关键用户能够理解并熟练掌握操作方法和流程；</w:t>
      </w:r>
    </w:p>
    <w:p>
      <w:pPr>
        <w:numPr>
          <w:ilvl w:val="0"/>
          <w:numId w:val="118"/>
        </w:numPr>
        <w:ind w:left="0" w:firstLine="420"/>
      </w:pPr>
      <w:r>
        <w:rPr>
          <w:rFonts w:hint="eastAsia"/>
        </w:rPr>
        <w:t>通过培训，夯实基础为后续教学应用做好充分准备；</w:t>
      </w:r>
    </w:p>
    <w:p>
      <w:pPr>
        <w:numPr>
          <w:ilvl w:val="0"/>
          <w:numId w:val="118"/>
        </w:numPr>
        <w:ind w:left="0" w:firstLine="420"/>
      </w:pPr>
      <w:r>
        <w:rPr>
          <w:rFonts w:hint="eastAsia"/>
        </w:rPr>
        <w:t>通过培训，关键用户能够在校内担负起知识转移的任务。</w:t>
      </w:r>
    </w:p>
    <w:p>
      <w:pPr>
        <w:pStyle w:val="9"/>
        <w:ind w:firstLine="0" w:firstLineChars="0"/>
      </w:pPr>
    </w:p>
    <w:p>
      <w:pPr>
        <w:pStyle w:val="11"/>
        <w:ind w:firstLine="420"/>
        <w:sectPr>
          <w:pgSz w:w="11906" w:h="16838"/>
          <w:pgMar w:top="1474" w:right="1417" w:bottom="1247" w:left="1417" w:header="851" w:footer="992" w:gutter="0"/>
          <w:cols w:space="720" w:num="1"/>
          <w:docGrid w:type="lines" w:linePitch="312" w:charSpace="0"/>
        </w:sectPr>
      </w:pPr>
    </w:p>
    <w:p>
      <w:pPr>
        <w:pStyle w:val="3"/>
        <w:spacing w:before="312" w:after="312"/>
      </w:pPr>
      <w:bookmarkStart w:id="507" w:name="_Toc24537"/>
      <w:bookmarkStart w:id="508" w:name="_Toc8938"/>
      <w:r>
        <w:rPr>
          <w:rFonts w:hint="eastAsia"/>
        </w:rPr>
        <w:t>项目组成人员一览表</w:t>
      </w:r>
      <w:bookmarkEnd w:id="507"/>
      <w:bookmarkEnd w:id="508"/>
    </w:p>
    <w:p>
      <w:pPr>
        <w:ind w:firstLine="0" w:firstLineChars="0"/>
      </w:pPr>
    </w:p>
    <w:tbl>
      <w:tblPr>
        <w:tblStyle w:val="16"/>
        <w:tblW w:w="9071" w:type="dxa"/>
        <w:jc w:val="center"/>
        <w:tblLayout w:type="fixed"/>
        <w:tblCellMar>
          <w:top w:w="0" w:type="dxa"/>
          <w:left w:w="108" w:type="dxa"/>
          <w:bottom w:w="0" w:type="dxa"/>
          <w:right w:w="108" w:type="dxa"/>
        </w:tblCellMar>
      </w:tblPr>
      <w:tblGrid>
        <w:gridCol w:w="661"/>
        <w:gridCol w:w="925"/>
        <w:gridCol w:w="1518"/>
        <w:gridCol w:w="641"/>
        <w:gridCol w:w="1728"/>
        <w:gridCol w:w="2163"/>
        <w:gridCol w:w="1435"/>
      </w:tblGrid>
      <w:tr>
        <w:tblPrEx>
          <w:tblCellMar>
            <w:top w:w="0" w:type="dxa"/>
            <w:left w:w="108" w:type="dxa"/>
            <w:bottom w:w="0" w:type="dxa"/>
            <w:right w:w="108" w:type="dxa"/>
          </w:tblCellMar>
        </w:tblPrEx>
        <w:trPr>
          <w:trHeight w:val="454" w:hRule="atLeast"/>
          <w:jc w:val="center"/>
        </w:trPr>
        <w:tc>
          <w:tcPr>
            <w:tcW w:w="661" w:type="dxa"/>
            <w:tcBorders>
              <w:top w:val="single" w:color="auto" w:sz="12" w:space="0"/>
              <w:left w:val="single" w:color="auto" w:sz="12"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序号</w:t>
            </w:r>
          </w:p>
        </w:tc>
        <w:tc>
          <w:tcPr>
            <w:tcW w:w="925"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姓名</w:t>
            </w:r>
          </w:p>
        </w:tc>
        <w:tc>
          <w:tcPr>
            <w:tcW w:w="1518"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本项目拟任职务</w:t>
            </w:r>
          </w:p>
        </w:tc>
        <w:tc>
          <w:tcPr>
            <w:tcW w:w="641"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学历</w:t>
            </w:r>
          </w:p>
        </w:tc>
        <w:tc>
          <w:tcPr>
            <w:tcW w:w="1728"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职称或职业资格</w:t>
            </w:r>
          </w:p>
        </w:tc>
        <w:tc>
          <w:tcPr>
            <w:tcW w:w="2163" w:type="dxa"/>
            <w:tcBorders>
              <w:top w:val="single" w:color="auto" w:sz="12" w:space="0"/>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身份证</w:t>
            </w:r>
          </w:p>
        </w:tc>
        <w:tc>
          <w:tcPr>
            <w:tcW w:w="1435" w:type="dxa"/>
            <w:tcBorders>
              <w:top w:val="single" w:color="auto" w:sz="12" w:space="0"/>
              <w:left w:val="nil"/>
              <w:bottom w:val="single" w:color="auto" w:sz="4" w:space="0"/>
              <w:right w:val="single" w:color="auto" w:sz="12" w:space="0"/>
            </w:tcBorders>
            <w:shd w:val="clear" w:color="auto" w:fill="auto"/>
            <w:vAlign w:val="center"/>
          </w:tcPr>
          <w:p>
            <w:pPr>
              <w:widowControl/>
              <w:adjustRightInd w:val="0"/>
              <w:snapToGrid w:val="0"/>
              <w:spacing w:line="240" w:lineRule="auto"/>
              <w:ind w:firstLine="0" w:firstLineChars="0"/>
              <w:jc w:val="center"/>
              <w:rPr>
                <w:b/>
                <w:bCs/>
                <w:color w:val="000000"/>
                <w:kern w:val="0"/>
              </w:rPr>
            </w:pPr>
            <w:r>
              <w:rPr>
                <w:b/>
                <w:bCs/>
                <w:color w:val="000000"/>
                <w:kern w:val="0"/>
              </w:rPr>
              <w:t>电话</w:t>
            </w:r>
          </w:p>
        </w:tc>
      </w:tr>
      <w:tr>
        <w:tblPrEx>
          <w:tblCellMar>
            <w:top w:w="0" w:type="dxa"/>
            <w:left w:w="108" w:type="dxa"/>
            <w:bottom w:w="0" w:type="dxa"/>
            <w:right w:w="108" w:type="dxa"/>
          </w:tblCellMar>
        </w:tblPrEx>
        <w:trPr>
          <w:trHeight w:val="454" w:hRule="atLeast"/>
          <w:jc w:val="center"/>
        </w:trPr>
        <w:tc>
          <w:tcPr>
            <w:tcW w:w="661" w:type="dxa"/>
            <w:tcBorders>
              <w:top w:val="nil"/>
              <w:left w:val="single" w:color="auto" w:sz="12"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1</w:t>
            </w:r>
          </w:p>
        </w:tc>
        <w:tc>
          <w:tcPr>
            <w:tcW w:w="925"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张伟超</w:t>
            </w:r>
          </w:p>
        </w:tc>
        <w:tc>
          <w:tcPr>
            <w:tcW w:w="151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项目负责人</w:t>
            </w:r>
          </w:p>
        </w:tc>
        <w:tc>
          <w:tcPr>
            <w:tcW w:w="641"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本科</w:t>
            </w:r>
          </w:p>
        </w:tc>
        <w:tc>
          <w:tcPr>
            <w:tcW w:w="172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t>系统工程师</w:t>
            </w:r>
          </w:p>
        </w:tc>
        <w:tc>
          <w:tcPr>
            <w:tcW w:w="216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pPr>
            <w:r>
              <w:rPr>
                <w:rFonts w:hint="eastAsia"/>
              </w:rPr>
              <w:t>230802198411290512</w:t>
            </w:r>
          </w:p>
        </w:tc>
        <w:tc>
          <w:tcPr>
            <w:tcW w:w="1435" w:type="dxa"/>
            <w:tcBorders>
              <w:top w:val="nil"/>
              <w:left w:val="nil"/>
              <w:bottom w:val="single" w:color="auto" w:sz="4" w:space="0"/>
              <w:right w:val="single" w:color="auto" w:sz="12" w:space="0"/>
            </w:tcBorders>
            <w:shd w:val="clear" w:color="auto" w:fill="auto"/>
            <w:vAlign w:val="center"/>
          </w:tcPr>
          <w:p>
            <w:pPr>
              <w:widowControl/>
              <w:adjustRightInd w:val="0"/>
              <w:snapToGrid w:val="0"/>
              <w:spacing w:line="240" w:lineRule="auto"/>
              <w:ind w:firstLine="0" w:firstLineChars="0"/>
              <w:jc w:val="center"/>
            </w:pPr>
            <w:r>
              <w:t>17679520666</w:t>
            </w:r>
          </w:p>
        </w:tc>
      </w:tr>
      <w:tr>
        <w:tblPrEx>
          <w:tblCellMar>
            <w:top w:w="0" w:type="dxa"/>
            <w:left w:w="108" w:type="dxa"/>
            <w:bottom w:w="0" w:type="dxa"/>
            <w:right w:w="108" w:type="dxa"/>
          </w:tblCellMar>
        </w:tblPrEx>
        <w:trPr>
          <w:trHeight w:val="454" w:hRule="atLeast"/>
          <w:jc w:val="center"/>
        </w:trPr>
        <w:tc>
          <w:tcPr>
            <w:tcW w:w="661" w:type="dxa"/>
            <w:tcBorders>
              <w:top w:val="nil"/>
              <w:left w:val="single" w:color="auto" w:sz="12" w:space="0"/>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2</w:t>
            </w:r>
          </w:p>
        </w:tc>
        <w:tc>
          <w:tcPr>
            <w:tcW w:w="925"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杨宪杰</w:t>
            </w:r>
          </w:p>
        </w:tc>
        <w:tc>
          <w:tcPr>
            <w:tcW w:w="151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项目联系人</w:t>
            </w:r>
          </w:p>
        </w:tc>
        <w:tc>
          <w:tcPr>
            <w:tcW w:w="641"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color w:val="000000"/>
                <w:kern w:val="0"/>
              </w:rPr>
              <w:t>本科</w:t>
            </w:r>
          </w:p>
        </w:tc>
        <w:tc>
          <w:tcPr>
            <w:tcW w:w="172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rPr>
              <w:t>硬件工程师</w:t>
            </w:r>
          </w:p>
        </w:tc>
        <w:tc>
          <w:tcPr>
            <w:tcW w:w="216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ind w:firstLine="0" w:firstLineChars="0"/>
              <w:jc w:val="center"/>
            </w:pPr>
            <w:r>
              <w:t>210124199411161017</w:t>
            </w:r>
          </w:p>
        </w:tc>
        <w:tc>
          <w:tcPr>
            <w:tcW w:w="1435" w:type="dxa"/>
            <w:tcBorders>
              <w:top w:val="nil"/>
              <w:left w:val="nil"/>
              <w:bottom w:val="single" w:color="auto" w:sz="4" w:space="0"/>
              <w:right w:val="single" w:color="auto" w:sz="12" w:space="0"/>
            </w:tcBorders>
            <w:shd w:val="clear" w:color="auto" w:fill="auto"/>
            <w:vAlign w:val="center"/>
          </w:tcPr>
          <w:p>
            <w:pPr>
              <w:widowControl/>
              <w:adjustRightInd w:val="0"/>
              <w:snapToGrid w:val="0"/>
              <w:spacing w:line="240" w:lineRule="auto"/>
              <w:ind w:firstLine="0" w:firstLineChars="0"/>
              <w:jc w:val="center"/>
            </w:pPr>
            <w:r>
              <w:t>15911166024</w:t>
            </w:r>
          </w:p>
        </w:tc>
      </w:tr>
      <w:tr>
        <w:tblPrEx>
          <w:tblCellMar>
            <w:top w:w="0" w:type="dxa"/>
            <w:left w:w="108" w:type="dxa"/>
            <w:bottom w:w="0" w:type="dxa"/>
            <w:right w:w="108" w:type="dxa"/>
          </w:tblCellMar>
        </w:tblPrEx>
        <w:trPr>
          <w:trHeight w:val="454" w:hRule="atLeast"/>
          <w:jc w:val="center"/>
        </w:trPr>
        <w:tc>
          <w:tcPr>
            <w:tcW w:w="661" w:type="dxa"/>
            <w:tcBorders>
              <w:top w:val="single" w:color="auto" w:sz="4" w:space="0"/>
              <w:left w:val="single" w:color="auto" w:sz="12"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3</w:t>
            </w:r>
          </w:p>
        </w:tc>
        <w:tc>
          <w:tcPr>
            <w:tcW w:w="925"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林源</w:t>
            </w:r>
          </w:p>
        </w:tc>
        <w:tc>
          <w:tcPr>
            <w:tcW w:w="1518"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售后服务人员</w:t>
            </w:r>
          </w:p>
        </w:tc>
        <w:tc>
          <w:tcPr>
            <w:tcW w:w="641"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rPr>
                <w:color w:val="000000"/>
                <w:kern w:val="0"/>
              </w:rPr>
            </w:pPr>
            <w:r>
              <w:rPr>
                <w:rFonts w:hint="eastAsia"/>
                <w:color w:val="000000"/>
                <w:kern w:val="0"/>
              </w:rPr>
              <w:t>本科</w:t>
            </w:r>
          </w:p>
        </w:tc>
        <w:tc>
          <w:tcPr>
            <w:tcW w:w="1728"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pPr>
            <w:r>
              <w:rPr>
                <w:rFonts w:hint="eastAsia"/>
              </w:rPr>
              <w:t>售后服务专员</w:t>
            </w:r>
          </w:p>
        </w:tc>
        <w:tc>
          <w:tcPr>
            <w:tcW w:w="2163"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val="0"/>
              <w:snapToGrid w:val="0"/>
              <w:spacing w:line="240" w:lineRule="auto"/>
              <w:ind w:firstLine="0" w:firstLineChars="0"/>
              <w:jc w:val="center"/>
            </w:pPr>
            <w:r>
              <w:rPr>
                <w:rFonts w:hint="eastAsia"/>
              </w:rPr>
              <w:t>500109198704047534</w:t>
            </w:r>
          </w:p>
        </w:tc>
        <w:tc>
          <w:tcPr>
            <w:tcW w:w="1435" w:type="dxa"/>
            <w:tcBorders>
              <w:top w:val="single" w:color="auto" w:sz="4" w:space="0"/>
              <w:left w:val="single" w:color="auto" w:sz="4" w:space="0"/>
              <w:bottom w:val="single" w:color="auto" w:sz="12" w:space="0"/>
              <w:right w:val="single" w:color="auto" w:sz="12" w:space="0"/>
            </w:tcBorders>
            <w:shd w:val="clear" w:color="auto" w:fill="auto"/>
            <w:vAlign w:val="center"/>
          </w:tcPr>
          <w:p>
            <w:pPr>
              <w:widowControl/>
              <w:adjustRightInd w:val="0"/>
              <w:snapToGrid w:val="0"/>
              <w:spacing w:line="240" w:lineRule="auto"/>
              <w:ind w:firstLine="0" w:firstLineChars="0"/>
              <w:jc w:val="center"/>
            </w:pPr>
            <w:r>
              <w:rPr>
                <w:rFonts w:hint="eastAsia"/>
              </w:rPr>
              <w:t>13598562588</w:t>
            </w:r>
          </w:p>
        </w:tc>
      </w:tr>
    </w:tbl>
    <w:p>
      <w:pPr>
        <w:ind w:firstLine="0" w:firstLineChars="0"/>
      </w:pPr>
    </w:p>
    <w:p>
      <w:pPr>
        <w:ind w:firstLine="0" w:firstLineChars="0"/>
      </w:pPr>
      <w:r>
        <w:rPr>
          <w:rFonts w:hint="eastAsia"/>
        </w:rPr>
        <w:t>按磋商文件要求在本表后附相关人员证书。</w:t>
      </w:r>
    </w:p>
    <w:p>
      <w:pPr>
        <w:ind w:firstLine="0" w:firstLineChars="0"/>
      </w:pPr>
      <w:r>
        <w:drawing>
          <wp:inline distT="0" distB="0" distL="114300" distR="114300">
            <wp:extent cx="5600700" cy="3924300"/>
            <wp:effectExtent l="0" t="0" r="0" b="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32"/>
                    <a:stretch>
                      <a:fillRect/>
                    </a:stretch>
                  </pic:blipFill>
                  <pic:spPr>
                    <a:xfrm>
                      <a:off x="0" y="0"/>
                      <a:ext cx="5600700" cy="3924300"/>
                    </a:xfrm>
                    <a:prstGeom prst="rect">
                      <a:avLst/>
                    </a:prstGeom>
                    <a:noFill/>
                    <a:ln>
                      <a:noFill/>
                    </a:ln>
                  </pic:spPr>
                </pic:pic>
              </a:graphicData>
            </a:graphic>
          </wp:inline>
        </w:drawing>
      </w:r>
    </w:p>
    <w:p>
      <w:pPr>
        <w:ind w:firstLine="0" w:firstLineChars="0"/>
      </w:pPr>
      <w:r>
        <w:rPr>
          <w:rFonts w:hint="eastAsia"/>
        </w:rPr>
        <w:t>注：</w:t>
      </w:r>
    </w:p>
    <w:p>
      <w:pPr>
        <w:ind w:firstLine="0" w:firstLineChars="0"/>
      </w:pPr>
      <w:r>
        <w:rPr>
          <w:rFonts w:hint="eastAsia"/>
        </w:rPr>
        <w:t>1.本项目拟任职务处应包括：项目负责人、项目联系人、项目服务人员或技术人员等。</w:t>
      </w:r>
    </w:p>
    <w:p>
      <w:pPr>
        <w:ind w:firstLine="0" w:firstLineChars="0"/>
      </w:pPr>
      <w:r>
        <w:rPr>
          <w:rFonts w:hint="eastAsia"/>
        </w:rPr>
        <w:t>2.如供应商中标，须按本表承诺人员操作，不得随意更换。</w:t>
      </w:r>
    </w:p>
    <w:p>
      <w:pPr>
        <w:ind w:firstLine="0" w:firstLineChars="0"/>
      </w:pP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3"/>
        <w:spacing w:before="312" w:after="312"/>
      </w:pPr>
      <w:bookmarkStart w:id="509" w:name="_Toc10768"/>
      <w:bookmarkStart w:id="510" w:name="_Toc8677"/>
      <w:r>
        <w:rPr>
          <w:rFonts w:hint="eastAsia"/>
        </w:rPr>
        <w:t>供应商业绩情况表</w:t>
      </w:r>
      <w:bookmarkEnd w:id="509"/>
      <w:bookmarkEnd w:id="510"/>
    </w:p>
    <w:tbl>
      <w:tblPr>
        <w:tblStyle w:val="16"/>
        <w:tblW w:w="91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7"/>
        <w:gridCol w:w="3145"/>
        <w:gridCol w:w="1968"/>
        <w:gridCol w:w="1419"/>
        <w:gridCol w:w="1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7"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序号</w:t>
            </w:r>
          </w:p>
        </w:tc>
        <w:tc>
          <w:tcPr>
            <w:tcW w:w="3145"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使用单位</w:t>
            </w:r>
          </w:p>
        </w:tc>
        <w:tc>
          <w:tcPr>
            <w:tcW w:w="1968"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业绩名称</w:t>
            </w:r>
          </w:p>
        </w:tc>
        <w:tc>
          <w:tcPr>
            <w:tcW w:w="1419"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合同总价</w:t>
            </w:r>
          </w:p>
        </w:tc>
        <w:tc>
          <w:tcPr>
            <w:tcW w:w="1823"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签订时间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7"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1</w:t>
            </w:r>
          </w:p>
        </w:tc>
        <w:tc>
          <w:tcPr>
            <w:tcW w:w="3145" w:type="dxa"/>
            <w:vAlign w:val="center"/>
          </w:tcPr>
          <w:p>
            <w:pPr>
              <w:widowControl/>
              <w:spacing w:line="240" w:lineRule="auto"/>
              <w:ind w:firstLine="0" w:firstLineChars="0"/>
              <w:jc w:val="center"/>
              <w:rPr>
                <w:rFonts w:ascii="宋体" w:hAnsi="宋体"/>
                <w:color w:val="000000"/>
                <w:kern w:val="0"/>
              </w:rPr>
            </w:pPr>
            <w:r>
              <w:rPr>
                <w:rFonts w:ascii="宋体" w:hAnsi="宋体"/>
                <w:color w:val="000000"/>
                <w:kern w:val="0"/>
              </w:rPr>
              <w:t>西安晟辉网络科技有限公司</w:t>
            </w:r>
          </w:p>
        </w:tc>
        <w:tc>
          <w:tcPr>
            <w:tcW w:w="1968"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软件采购合同</w:t>
            </w:r>
          </w:p>
        </w:tc>
        <w:tc>
          <w:tcPr>
            <w:tcW w:w="1419"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150000</w:t>
            </w:r>
          </w:p>
        </w:tc>
        <w:tc>
          <w:tcPr>
            <w:tcW w:w="1823"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2023年9月27日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7"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2</w:t>
            </w:r>
          </w:p>
        </w:tc>
        <w:tc>
          <w:tcPr>
            <w:tcW w:w="3145" w:type="dxa"/>
            <w:vAlign w:val="center"/>
          </w:tcPr>
          <w:p>
            <w:pPr>
              <w:widowControl/>
              <w:spacing w:line="240" w:lineRule="auto"/>
              <w:ind w:firstLine="0" w:firstLineChars="0"/>
              <w:jc w:val="center"/>
              <w:rPr>
                <w:rFonts w:ascii="宋体" w:hAnsi="宋体"/>
                <w:color w:val="000000"/>
                <w:kern w:val="0"/>
              </w:rPr>
            </w:pPr>
            <w:r>
              <w:rPr>
                <w:rFonts w:ascii="宋体" w:hAnsi="宋体"/>
                <w:color w:val="000000"/>
                <w:kern w:val="0"/>
              </w:rPr>
              <w:t>重庆涌潮科技有限公司</w:t>
            </w:r>
          </w:p>
        </w:tc>
        <w:tc>
          <w:tcPr>
            <w:tcW w:w="1968"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销售合同</w:t>
            </w:r>
          </w:p>
        </w:tc>
        <w:tc>
          <w:tcPr>
            <w:tcW w:w="1419"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130000</w:t>
            </w:r>
          </w:p>
        </w:tc>
        <w:tc>
          <w:tcPr>
            <w:tcW w:w="1823"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2022年12月5日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7"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3</w:t>
            </w:r>
          </w:p>
        </w:tc>
        <w:tc>
          <w:tcPr>
            <w:tcW w:w="3145"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w:t>
            </w:r>
          </w:p>
        </w:tc>
        <w:tc>
          <w:tcPr>
            <w:tcW w:w="1968"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w:t>
            </w:r>
          </w:p>
        </w:tc>
        <w:tc>
          <w:tcPr>
            <w:tcW w:w="1419"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w:t>
            </w:r>
          </w:p>
        </w:tc>
        <w:tc>
          <w:tcPr>
            <w:tcW w:w="1823" w:type="dxa"/>
            <w:vAlign w:val="center"/>
          </w:tcPr>
          <w:p>
            <w:pPr>
              <w:widowControl/>
              <w:spacing w:line="240" w:lineRule="auto"/>
              <w:ind w:firstLine="0" w:firstLineChars="0"/>
              <w:jc w:val="center"/>
              <w:rPr>
                <w:rFonts w:ascii="宋体" w:hAnsi="宋体"/>
                <w:color w:val="000000"/>
                <w:kern w:val="0"/>
              </w:rPr>
            </w:pPr>
            <w:r>
              <w:rPr>
                <w:rFonts w:hint="eastAsia" w:ascii="宋体" w:hAnsi="宋体"/>
                <w:color w:val="000000"/>
                <w:kern w:val="0"/>
              </w:rPr>
              <w:t>/</w:t>
            </w:r>
          </w:p>
        </w:tc>
      </w:tr>
    </w:tbl>
    <w:p>
      <w:pPr>
        <w:ind w:firstLine="0" w:firstLineChars="0"/>
      </w:pPr>
    </w:p>
    <w:p>
      <w:pPr>
        <w:ind w:firstLine="0" w:firstLineChars="0"/>
      </w:pPr>
      <w:r>
        <w:rPr>
          <w:rFonts w:hint="eastAsia"/>
        </w:rPr>
        <w:t>供应商根据上述业绩情况后附销售或服务合同复印件。</w:t>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4"/>
        <w:tabs>
          <w:tab w:val="left" w:pos="0"/>
        </w:tabs>
        <w:spacing w:before="156" w:after="156"/>
        <w:ind w:firstLine="560"/>
      </w:pPr>
      <w:bookmarkStart w:id="511" w:name="_Toc13453"/>
      <w:bookmarkStart w:id="512" w:name="_Toc17592"/>
      <w:r>
        <w:rPr>
          <w:rFonts w:hint="eastAsia"/>
        </w:rPr>
        <w:t>软件采购合同</w:t>
      </w:r>
      <w:bookmarkEnd w:id="511"/>
      <w:bookmarkEnd w:id="512"/>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9" name="图片框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框 1034"/>
                    <pic:cNvPicPr>
                      <a:picLocks noChangeAspect="1"/>
                    </pic:cNvPicPr>
                  </pic:nvPicPr>
                  <pic:blipFill>
                    <a:blip r:embed="rId33">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10" name="图片框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框 1035"/>
                    <pic:cNvPicPr>
                      <a:picLocks noChangeAspect="1"/>
                    </pic:cNvPicPr>
                  </pic:nvPicPr>
                  <pic:blipFill>
                    <a:blip r:embed="rId34">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24" name="图片框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框 1036"/>
                    <pic:cNvPicPr>
                      <a:picLocks noChangeAspect="1"/>
                    </pic:cNvPicPr>
                  </pic:nvPicPr>
                  <pic:blipFill>
                    <a:blip r:embed="rId35">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25" name="图片框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框 1037"/>
                    <pic:cNvPicPr>
                      <a:picLocks noChangeAspect="1"/>
                    </pic:cNvPicPr>
                  </pic:nvPicPr>
                  <pic:blipFill>
                    <a:blip r:embed="rId36">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26" name="图片框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框 1038"/>
                    <pic:cNvPicPr>
                      <a:picLocks noChangeAspect="1"/>
                    </pic:cNvPicPr>
                  </pic:nvPicPr>
                  <pic:blipFill>
                    <a:blip r:embed="rId37">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27" name="图片框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框 1039"/>
                    <pic:cNvPicPr>
                      <a:picLocks noChangeAspect="1"/>
                    </pic:cNvPicPr>
                  </pic:nvPicPr>
                  <pic:blipFill>
                    <a:blip r:embed="rId38">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28" name="图片框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框 1040"/>
                    <pic:cNvPicPr>
                      <a:picLocks noChangeAspect="1"/>
                    </pic:cNvPicPr>
                  </pic:nvPicPr>
                  <pic:blipFill>
                    <a:blip r:embed="rId39">
                      <a:lum/>
                    </a:blip>
                    <a:stretch>
                      <a:fillRect/>
                    </a:stretch>
                  </pic:blipFill>
                  <pic:spPr>
                    <a:xfrm>
                      <a:off x="0" y="0"/>
                      <a:ext cx="5755005" cy="8141335"/>
                    </a:xfrm>
                    <a:prstGeom prst="rect">
                      <a:avLst/>
                    </a:prstGeom>
                    <a:noFill/>
                    <a:ln>
                      <a:noFill/>
                    </a:ln>
                  </pic:spPr>
                </pic:pic>
              </a:graphicData>
            </a:graphic>
          </wp:inline>
        </w:drawing>
      </w:r>
    </w:p>
    <w:p>
      <w:pPr>
        <w:ind w:firstLine="0" w:firstLineChars="0"/>
        <w:sectPr>
          <w:pgSz w:w="11906" w:h="16838"/>
          <w:pgMar w:top="1474" w:right="1417" w:bottom="1247" w:left="1417" w:header="851" w:footer="992" w:gutter="0"/>
          <w:cols w:space="720" w:num="1"/>
          <w:docGrid w:type="lines" w:linePitch="312" w:charSpace="0"/>
        </w:sectPr>
      </w:pPr>
    </w:p>
    <w:p>
      <w:pPr>
        <w:pStyle w:val="4"/>
        <w:tabs>
          <w:tab w:val="left" w:pos="0"/>
        </w:tabs>
        <w:spacing w:before="156" w:after="156"/>
        <w:ind w:firstLine="560"/>
      </w:pPr>
      <w:bookmarkStart w:id="513" w:name="_Toc24157"/>
      <w:bookmarkStart w:id="514" w:name="_Toc7524"/>
      <w:r>
        <w:rPr>
          <w:rFonts w:hint="eastAsia"/>
        </w:rPr>
        <w:t>销售合同</w:t>
      </w:r>
      <w:bookmarkEnd w:id="513"/>
      <w:bookmarkEnd w:id="514"/>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29" name="图片框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框 1041"/>
                    <pic:cNvPicPr>
                      <a:picLocks noChangeAspect="1"/>
                    </pic:cNvPicPr>
                  </pic:nvPicPr>
                  <pic:blipFill>
                    <a:blip r:embed="rId40">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30" name="图片框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框 1042"/>
                    <pic:cNvPicPr>
                      <a:picLocks noChangeAspect="1"/>
                    </pic:cNvPicPr>
                  </pic:nvPicPr>
                  <pic:blipFill>
                    <a:blip r:embed="rId41">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31" name="图片框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框 1043"/>
                    <pic:cNvPicPr>
                      <a:picLocks noChangeAspect="1"/>
                    </pic:cNvPicPr>
                  </pic:nvPicPr>
                  <pic:blipFill>
                    <a:blip r:embed="rId42">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32" name="图片框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框 1044"/>
                    <pic:cNvPicPr>
                      <a:picLocks noChangeAspect="1"/>
                    </pic:cNvPicPr>
                  </pic:nvPicPr>
                  <pic:blipFill>
                    <a:blip r:embed="rId43">
                      <a:lum/>
                    </a:blip>
                    <a:stretch>
                      <a:fillRect/>
                    </a:stretch>
                  </pic:blipFill>
                  <pic:spPr>
                    <a:xfrm>
                      <a:off x="0" y="0"/>
                      <a:ext cx="5755005" cy="8141335"/>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41335"/>
            <wp:effectExtent l="0" t="0" r="17145" b="12065"/>
            <wp:docPr id="33" name="图片框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框 1045"/>
                    <pic:cNvPicPr>
                      <a:picLocks noChangeAspect="1"/>
                    </pic:cNvPicPr>
                  </pic:nvPicPr>
                  <pic:blipFill>
                    <a:blip r:embed="rId44">
                      <a:lum/>
                    </a:blip>
                    <a:stretch>
                      <a:fillRect/>
                    </a:stretch>
                  </pic:blipFill>
                  <pic:spPr>
                    <a:xfrm>
                      <a:off x="0" y="0"/>
                      <a:ext cx="5755005" cy="8141335"/>
                    </a:xfrm>
                    <a:prstGeom prst="rect">
                      <a:avLst/>
                    </a:prstGeom>
                    <a:noFill/>
                    <a:ln>
                      <a:noFill/>
                    </a:ln>
                  </pic:spPr>
                </pic:pic>
              </a:graphicData>
            </a:graphic>
          </wp:inline>
        </w:drawing>
      </w:r>
    </w:p>
    <w:p>
      <w:pPr>
        <w:ind w:firstLine="0" w:firstLineChars="0"/>
      </w:pP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3"/>
        <w:spacing w:before="312" w:after="312"/>
      </w:pPr>
      <w:bookmarkStart w:id="515" w:name="_Toc14086"/>
      <w:bookmarkStart w:id="516" w:name="_Toc11942"/>
      <w:r>
        <w:rPr>
          <w:rFonts w:hint="eastAsia"/>
        </w:rPr>
        <w:t>各类证明材料</w:t>
      </w:r>
      <w:bookmarkEnd w:id="515"/>
      <w:bookmarkEnd w:id="516"/>
    </w:p>
    <w:p>
      <w:pPr>
        <w:pStyle w:val="4"/>
        <w:tabs>
          <w:tab w:val="left" w:pos="0"/>
        </w:tabs>
        <w:spacing w:before="156" w:after="156"/>
        <w:ind w:firstLine="560"/>
      </w:pPr>
      <w:bookmarkStart w:id="517" w:name="_Toc30835"/>
      <w:bookmarkStart w:id="518" w:name="_Toc10625"/>
      <w:r>
        <w:rPr>
          <w:rFonts w:hint="eastAsia"/>
        </w:rPr>
        <w:t>磋商文件要求提供的其他资料</w:t>
      </w:r>
      <w:bookmarkEnd w:id="517"/>
      <w:bookmarkEnd w:id="518"/>
    </w:p>
    <w:p>
      <w:pPr>
        <w:pStyle w:val="5"/>
        <w:tabs>
          <w:tab w:val="left" w:pos="0"/>
        </w:tabs>
        <w:ind w:firstLine="480"/>
      </w:pPr>
      <w:bookmarkStart w:id="519" w:name="_Toc27583"/>
      <w:bookmarkStart w:id="520" w:name="_Toc10466"/>
      <w:r>
        <w:rPr>
          <w:rFonts w:hint="eastAsia"/>
        </w:rPr>
        <w:t>★17.刷新率：≥4200Hz；【提供此功能的证明资料】</w:t>
      </w:r>
      <w:bookmarkEnd w:id="519"/>
      <w:bookmarkEnd w:id="520"/>
    </w:p>
    <w:p>
      <w:pPr>
        <w:adjustRightInd w:val="0"/>
        <w:snapToGrid w:val="0"/>
        <w:spacing w:line="240" w:lineRule="auto"/>
        <w:ind w:firstLine="0" w:firstLineChars="0"/>
        <w:jc w:val="center"/>
      </w:pPr>
      <w:r>
        <w:rPr>
          <w:rFonts w:hint="eastAsia"/>
        </w:rPr>
        <w:t>`</w:t>
      </w:r>
      <w:r>
        <w:drawing>
          <wp:inline distT="0" distB="0" distL="114300" distR="114300">
            <wp:extent cx="5111750" cy="7068820"/>
            <wp:effectExtent l="0" t="0" r="12700" b="17780"/>
            <wp:docPr id="10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3"/>
                    <pic:cNvPicPr>
                      <a:picLocks noChangeAspect="1"/>
                    </pic:cNvPicPr>
                  </pic:nvPicPr>
                  <pic:blipFill>
                    <a:blip r:embed="rId45"/>
                    <a:srcRect t="1949"/>
                    <a:stretch>
                      <a:fillRect/>
                    </a:stretch>
                  </pic:blipFill>
                  <pic:spPr>
                    <a:xfrm>
                      <a:off x="0" y="0"/>
                      <a:ext cx="5111750" cy="7068820"/>
                    </a:xfrm>
                    <a:prstGeom prst="rect">
                      <a:avLst/>
                    </a:prstGeom>
                    <a:noFill/>
                    <a:ln>
                      <a:noFill/>
                    </a:ln>
                  </pic:spPr>
                </pic:pic>
              </a:graphicData>
            </a:graphic>
          </wp:inline>
        </w:drawing>
      </w:r>
      <w:r>
        <w:rPr>
          <w:rFonts w:ascii="Times New Roman" w:hAnsi="Times New Roman" w:eastAsia="Times New Roman" w:cs="Times New Roman"/>
          <w:snapToGrid w:val="0"/>
          <w:color w:val="000000"/>
          <w:w w:val="0"/>
          <w:kern w:val="0"/>
          <w:sz w:val="0"/>
          <w:szCs w:val="0"/>
          <w:u w:color="000000"/>
          <w:shd w:val="clear" w:color="000000" w:fill="000000"/>
          <w:lang w:val="zh-CN" w:bidi="zh-CN"/>
        </w:rPr>
        <w:t xml:space="preserve"> </w:t>
      </w:r>
      <w:r>
        <w:drawing>
          <wp:inline distT="0" distB="0" distL="0" distR="0">
            <wp:extent cx="5760720" cy="8147050"/>
            <wp:effectExtent l="0" t="0" r="11430" b="6350"/>
            <wp:docPr id="9081677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67774" name="图片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760720" cy="8147050"/>
                    </a:xfrm>
                    <a:prstGeom prst="rect">
                      <a:avLst/>
                    </a:prstGeom>
                    <a:noFill/>
                    <a:ln>
                      <a:noFill/>
                    </a:ln>
                  </pic:spPr>
                </pic:pic>
              </a:graphicData>
            </a:graphic>
          </wp:inline>
        </w:drawing>
      </w:r>
      <w:r>
        <w:drawing>
          <wp:inline distT="0" distB="0" distL="0" distR="0">
            <wp:extent cx="5760720" cy="8147050"/>
            <wp:effectExtent l="0" t="0" r="11430" b="6350"/>
            <wp:docPr id="14459316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931653" name="图片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760720" cy="8147050"/>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21" w:name="_Toc29862"/>
      <w:bookmarkStart w:id="522" w:name="_Toc4230"/>
      <w:r>
        <w:rPr>
          <w:rFonts w:hint="eastAsia"/>
        </w:rPr>
        <w:t>★4.支持不少于1路DP1.4、1路HDMI2.0输入；</w:t>
      </w:r>
      <w:bookmarkEnd w:id="521"/>
      <w:bookmarkEnd w:id="522"/>
    </w:p>
    <w:p>
      <w:pPr>
        <w:adjustRightInd w:val="0"/>
        <w:snapToGrid w:val="0"/>
        <w:spacing w:line="240" w:lineRule="auto"/>
        <w:ind w:firstLine="0" w:firstLineChars="0"/>
        <w:jc w:val="center"/>
      </w:pPr>
      <w:r>
        <w:drawing>
          <wp:inline distT="0" distB="0" distL="114300" distR="114300">
            <wp:extent cx="5760720" cy="8093710"/>
            <wp:effectExtent l="0" t="0" r="11430" b="2540"/>
            <wp:docPr id="108"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0"/>
                    <pic:cNvPicPr>
                      <a:picLocks noChangeAspect="1"/>
                    </pic:cNvPicPr>
                  </pic:nvPicPr>
                  <pic:blipFill>
                    <a:blip r:embed="rId48"/>
                    <a:stretch>
                      <a:fillRect/>
                    </a:stretch>
                  </pic:blipFill>
                  <pic:spPr>
                    <a:xfrm>
                      <a:off x="0" y="0"/>
                      <a:ext cx="5760720" cy="8093710"/>
                    </a:xfrm>
                    <a:prstGeom prst="rect">
                      <a:avLst/>
                    </a:prstGeom>
                    <a:noFill/>
                    <a:ln>
                      <a:noFill/>
                    </a:ln>
                  </pic:spPr>
                </pic:pic>
              </a:graphicData>
            </a:graphic>
          </wp:inline>
        </w:drawing>
      </w:r>
    </w:p>
    <w:p>
      <w:pPr>
        <w:ind w:firstLine="0" w:firstLineChars="0"/>
      </w:pPr>
    </w:p>
    <w:p>
      <w:pPr>
        <w:ind w:firstLine="0" w:firstLineChars="0"/>
      </w:pPr>
      <w:r>
        <w:drawing>
          <wp:inline distT="0" distB="0" distL="0" distR="0">
            <wp:extent cx="5760720" cy="8147050"/>
            <wp:effectExtent l="0" t="0" r="11430" b="6350"/>
            <wp:docPr id="12264948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94802" name="图片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760720" cy="8147050"/>
                    </a:xfrm>
                    <a:prstGeom prst="rect">
                      <a:avLst/>
                    </a:prstGeom>
                    <a:noFill/>
                    <a:ln>
                      <a:noFill/>
                    </a:ln>
                  </pic:spPr>
                </pic:pic>
              </a:graphicData>
            </a:graphic>
          </wp:inline>
        </w:drawing>
      </w:r>
    </w:p>
    <w:p>
      <w:pPr>
        <w:ind w:firstLine="0" w:firstLineChars="0"/>
        <w:sectPr>
          <w:pgSz w:w="11906" w:h="16838"/>
          <w:pgMar w:top="1474" w:right="1417" w:bottom="1247" w:left="1417" w:header="851" w:footer="992" w:gutter="0"/>
          <w:cols w:space="720" w:num="1"/>
          <w:docGrid w:type="lines" w:linePitch="312" w:charSpace="0"/>
        </w:sectPr>
      </w:pPr>
      <w:r>
        <w:drawing>
          <wp:inline distT="0" distB="0" distL="0" distR="0">
            <wp:extent cx="5760720" cy="8147050"/>
            <wp:effectExtent l="0" t="0" r="11430" b="6350"/>
            <wp:docPr id="4704254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25429" name="图片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760720" cy="8147050"/>
                    </a:xfrm>
                    <a:prstGeom prst="rect">
                      <a:avLst/>
                    </a:prstGeom>
                    <a:noFill/>
                    <a:ln>
                      <a:noFill/>
                    </a:ln>
                  </pic:spPr>
                </pic:pic>
              </a:graphicData>
            </a:graphic>
          </wp:inline>
        </w:drawing>
      </w:r>
    </w:p>
    <w:p>
      <w:pPr>
        <w:pStyle w:val="5"/>
        <w:tabs>
          <w:tab w:val="left" w:pos="0"/>
        </w:tabs>
        <w:ind w:firstLine="480"/>
      </w:pPr>
      <w:bookmarkStart w:id="523" w:name="_Toc2199"/>
      <w:bookmarkStart w:id="524" w:name="_Toc5090"/>
      <w:r>
        <w:rPr>
          <w:rFonts w:hint="eastAsia"/>
        </w:rPr>
        <w:t>★2.相机最高分辨率：≥1280×1024，最高分辨率（1280*1024）下的数据输出最高帧率≥210帧；【提供此功能的证明资料】</w:t>
      </w:r>
      <w:bookmarkEnd w:id="523"/>
      <w:bookmarkEnd w:id="524"/>
    </w:p>
    <w:p>
      <w:pPr>
        <w:adjustRightInd w:val="0"/>
        <w:snapToGrid w:val="0"/>
        <w:spacing w:line="240" w:lineRule="auto"/>
        <w:ind w:firstLine="0" w:firstLineChars="0"/>
        <w:jc w:val="center"/>
      </w:pPr>
      <w:r>
        <w:drawing>
          <wp:inline distT="0" distB="0" distL="114300" distR="114300">
            <wp:extent cx="5760085" cy="7637145"/>
            <wp:effectExtent l="0" t="0" r="12065" b="1905"/>
            <wp:docPr id="111"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3"/>
                    <pic:cNvPicPr>
                      <a:picLocks noChangeAspect="1"/>
                    </pic:cNvPicPr>
                  </pic:nvPicPr>
                  <pic:blipFill>
                    <a:blip r:embed="rId51"/>
                    <a:stretch>
                      <a:fillRect/>
                    </a:stretch>
                  </pic:blipFill>
                  <pic:spPr>
                    <a:xfrm>
                      <a:off x="0" y="0"/>
                      <a:ext cx="5760085" cy="7637145"/>
                    </a:xfrm>
                    <a:prstGeom prst="rect">
                      <a:avLst/>
                    </a:prstGeom>
                    <a:noFill/>
                    <a:ln>
                      <a:noFill/>
                    </a:ln>
                  </pic:spPr>
                </pic:pic>
              </a:graphicData>
            </a:graphic>
          </wp:inline>
        </w:drawing>
      </w:r>
    </w:p>
    <w:p>
      <w:pPr>
        <w:adjustRightInd w:val="0"/>
        <w:snapToGrid w:val="0"/>
        <w:spacing w:line="240" w:lineRule="auto"/>
        <w:ind w:firstLine="0" w:firstLineChars="0"/>
        <w:jc w:val="center"/>
      </w:pPr>
      <w:r>
        <w:drawing>
          <wp:inline distT="0" distB="0" distL="0" distR="0">
            <wp:extent cx="5760720" cy="8147050"/>
            <wp:effectExtent l="0" t="0" r="11430" b="6350"/>
            <wp:docPr id="13928160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16067" name="图片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760720" cy="8147050"/>
                    </a:xfrm>
                    <a:prstGeom prst="rect">
                      <a:avLst/>
                    </a:prstGeom>
                    <a:noFill/>
                    <a:ln>
                      <a:noFill/>
                    </a:ln>
                  </pic:spPr>
                </pic:pic>
              </a:graphicData>
            </a:graphic>
          </wp:inline>
        </w:drawing>
      </w:r>
      <w:r>
        <w:drawing>
          <wp:inline distT="0" distB="0" distL="0" distR="0">
            <wp:extent cx="5760720" cy="8147050"/>
            <wp:effectExtent l="0" t="0" r="11430" b="6350"/>
            <wp:docPr id="6668938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893826" name="图片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760720" cy="8147050"/>
                    </a:xfrm>
                    <a:prstGeom prst="rect">
                      <a:avLst/>
                    </a:prstGeom>
                    <a:noFill/>
                    <a:ln>
                      <a:noFill/>
                    </a:ln>
                  </pic:spPr>
                </pic:pic>
              </a:graphicData>
            </a:graphic>
          </wp:inline>
        </w:drawing>
      </w:r>
    </w:p>
    <w:p>
      <w:pPr>
        <w:ind w:firstLine="0" w:firstLineChars="0"/>
      </w:pPr>
    </w:p>
    <w:p>
      <w:pPr>
        <w:pStyle w:val="4"/>
        <w:tabs>
          <w:tab w:val="left" w:pos="0"/>
        </w:tabs>
        <w:spacing w:before="156" w:after="156"/>
        <w:ind w:firstLine="56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25" w:name="_Toc30205"/>
      <w:bookmarkStart w:id="526" w:name="_Toc5977"/>
      <w:r>
        <w:t>9.</w:t>
      </w:r>
      <w:r>
        <w:rPr>
          <w:rFonts w:hint="eastAsia"/>
        </w:rPr>
        <w:t>拼接缝：</w:t>
      </w:r>
      <w:r>
        <w:t>≤0.03mm</w:t>
      </w:r>
      <w:r>
        <w:rPr>
          <w:rFonts w:hint="eastAsia"/>
        </w:rPr>
        <w:t>；【提供此功能的证明资料】</w:t>
      </w:r>
      <w:bookmarkEnd w:id="525"/>
      <w:bookmarkEnd w:id="526"/>
    </w:p>
    <w:p>
      <w:pPr>
        <w:adjustRightInd w:val="0"/>
        <w:snapToGrid w:val="0"/>
        <w:spacing w:line="240" w:lineRule="auto"/>
        <w:ind w:firstLine="0" w:firstLineChars="0"/>
        <w:jc w:val="center"/>
      </w:pPr>
      <w:r>
        <w:drawing>
          <wp:inline distT="0" distB="0" distL="114300" distR="114300">
            <wp:extent cx="5314950" cy="7515225"/>
            <wp:effectExtent l="0" t="0" r="0" b="9525"/>
            <wp:docPr id="9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9"/>
                    <pic:cNvPicPr>
                      <a:picLocks noChangeAspect="1"/>
                    </pic:cNvPicPr>
                  </pic:nvPicPr>
                  <pic:blipFill>
                    <a:blip r:embed="rId54"/>
                    <a:stretch>
                      <a:fillRect/>
                    </a:stretch>
                  </pic:blipFill>
                  <pic:spPr>
                    <a:xfrm>
                      <a:off x="0" y="0"/>
                      <a:ext cx="5314950" cy="7515225"/>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27" w:name="_Toc8082"/>
      <w:bookmarkStart w:id="528" w:name="_Toc7039"/>
      <w:r>
        <w:t>16.</w:t>
      </w:r>
      <w:r>
        <w:rPr>
          <w:rFonts w:hint="eastAsia"/>
        </w:rPr>
        <w:t>对比度：</w:t>
      </w:r>
      <w:r>
        <w:t>≥9000</w:t>
      </w:r>
      <w:r>
        <w:rPr>
          <w:rFonts w:hint="eastAsia"/>
        </w:rPr>
        <w:t>：</w:t>
      </w:r>
      <w:r>
        <w:t>1</w:t>
      </w:r>
      <w:r>
        <w:rPr>
          <w:rFonts w:hint="eastAsia"/>
        </w:rPr>
        <w:t>；【提供此功能的证明资料】</w:t>
      </w:r>
      <w:bookmarkEnd w:id="527"/>
      <w:bookmarkEnd w:id="528"/>
    </w:p>
    <w:p>
      <w:pPr>
        <w:adjustRightInd w:val="0"/>
        <w:snapToGrid w:val="0"/>
        <w:spacing w:line="240" w:lineRule="auto"/>
        <w:ind w:firstLine="0" w:firstLineChars="0"/>
        <w:jc w:val="center"/>
      </w:pPr>
      <w:r>
        <w:drawing>
          <wp:inline distT="0" distB="0" distL="114300" distR="114300">
            <wp:extent cx="5695950" cy="8010525"/>
            <wp:effectExtent l="0" t="0" r="0" b="9525"/>
            <wp:docPr id="102"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4"/>
                    <pic:cNvPicPr>
                      <a:picLocks noChangeAspect="1"/>
                    </pic:cNvPicPr>
                  </pic:nvPicPr>
                  <pic:blipFill>
                    <a:blip r:embed="rId55"/>
                    <a:stretch>
                      <a:fillRect/>
                    </a:stretch>
                  </pic:blipFill>
                  <pic:spPr>
                    <a:xfrm>
                      <a:off x="0" y="0"/>
                      <a:ext cx="5695950" cy="8010525"/>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29" w:name="_Toc12565"/>
      <w:bookmarkStart w:id="530" w:name="_Toc1817"/>
      <w:r>
        <w:t>43.</w:t>
      </w:r>
      <w:r>
        <w:rPr>
          <w:rFonts w:hint="eastAsia"/>
        </w:rPr>
        <w:t>防护性能：具有防静电、防电磁干扰、防腐蚀、防霉菌、防虫、防潮、抗震动、抗雷击等功能；具有电源过压、过流、断电保护、分布上电措施、防护等级达到</w:t>
      </w:r>
      <w:r>
        <w:t>IP60</w:t>
      </w:r>
      <w:r>
        <w:rPr>
          <w:rFonts w:hint="eastAsia"/>
        </w:rPr>
        <w:t>；【提供此功能的证明资料】</w:t>
      </w:r>
      <w:bookmarkEnd w:id="529"/>
      <w:bookmarkEnd w:id="530"/>
    </w:p>
    <w:p>
      <w:pPr>
        <w:adjustRightInd w:val="0"/>
        <w:snapToGrid w:val="0"/>
        <w:spacing w:line="240" w:lineRule="auto"/>
        <w:ind w:firstLine="0" w:firstLineChars="0"/>
        <w:jc w:val="center"/>
      </w:pPr>
      <w:r>
        <w:drawing>
          <wp:inline distT="0" distB="0" distL="114300" distR="114300">
            <wp:extent cx="5471795" cy="7743190"/>
            <wp:effectExtent l="0" t="0" r="14605" b="10160"/>
            <wp:docPr id="105"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7"/>
                    <pic:cNvPicPr>
                      <a:picLocks noChangeAspect="1"/>
                    </pic:cNvPicPr>
                  </pic:nvPicPr>
                  <pic:blipFill>
                    <a:blip r:embed="rId56"/>
                    <a:stretch>
                      <a:fillRect/>
                    </a:stretch>
                  </pic:blipFill>
                  <pic:spPr>
                    <a:xfrm>
                      <a:off x="0" y="0"/>
                      <a:ext cx="5471795" cy="7743190"/>
                    </a:xfrm>
                    <a:prstGeom prst="rect">
                      <a:avLst/>
                    </a:prstGeom>
                    <a:noFill/>
                    <a:ln>
                      <a:noFill/>
                    </a:ln>
                  </pic:spPr>
                </pic:pic>
              </a:graphicData>
            </a:graphic>
          </wp:inline>
        </w:drawing>
      </w:r>
    </w:p>
    <w:p>
      <w:pPr>
        <w:adjustRightInd w:val="0"/>
        <w:snapToGrid w:val="0"/>
        <w:spacing w:line="240" w:lineRule="auto"/>
        <w:ind w:firstLine="0" w:firstLineChars="0"/>
        <w:jc w:val="center"/>
      </w:pPr>
      <w:r>
        <w:drawing>
          <wp:inline distT="0" distB="0" distL="114300" distR="114300">
            <wp:extent cx="5305425" cy="7496175"/>
            <wp:effectExtent l="0" t="0" r="9525" b="9525"/>
            <wp:docPr id="9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4"/>
                    <pic:cNvPicPr>
                      <a:picLocks noChangeAspect="1"/>
                    </pic:cNvPicPr>
                  </pic:nvPicPr>
                  <pic:blipFill>
                    <a:blip r:embed="rId57"/>
                    <a:stretch>
                      <a:fillRect/>
                    </a:stretch>
                  </pic:blipFill>
                  <pic:spPr>
                    <a:xfrm>
                      <a:off x="0" y="0"/>
                      <a:ext cx="5305425" cy="7496175"/>
                    </a:xfrm>
                    <a:prstGeom prst="rect">
                      <a:avLst/>
                    </a:prstGeom>
                    <a:noFill/>
                    <a:ln>
                      <a:noFill/>
                    </a:ln>
                  </pic:spPr>
                </pic:pic>
              </a:graphicData>
            </a:graphic>
          </wp:inline>
        </w:drawing>
      </w:r>
    </w:p>
    <w:p>
      <w:pPr>
        <w:adjustRightInd w:val="0"/>
        <w:snapToGrid w:val="0"/>
        <w:spacing w:line="240" w:lineRule="auto"/>
        <w:ind w:firstLine="0" w:firstLineChars="0"/>
        <w:jc w:val="center"/>
      </w:pPr>
      <w:r>
        <w:drawing>
          <wp:inline distT="0" distB="0" distL="114300" distR="114300">
            <wp:extent cx="5667375" cy="7943850"/>
            <wp:effectExtent l="0" t="0" r="9525" b="0"/>
            <wp:docPr id="106"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8"/>
                    <pic:cNvPicPr>
                      <a:picLocks noChangeAspect="1"/>
                    </pic:cNvPicPr>
                  </pic:nvPicPr>
                  <pic:blipFill>
                    <a:blip r:embed="rId58"/>
                    <a:stretch>
                      <a:fillRect/>
                    </a:stretch>
                  </pic:blipFill>
                  <pic:spPr>
                    <a:xfrm>
                      <a:off x="0" y="0"/>
                      <a:ext cx="5667375" cy="7943850"/>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31" w:name="_Toc23462"/>
      <w:bookmarkStart w:id="532" w:name="_Toc5235"/>
      <w:r>
        <w:t>46.</w:t>
      </w:r>
      <w:r>
        <w:rPr>
          <w:rFonts w:hint="eastAsia"/>
        </w:rPr>
        <w:t>平均无故障时间：</w:t>
      </w:r>
      <w:r>
        <w:t>MTBF</w:t>
      </w:r>
      <w:r>
        <w:rPr>
          <w:rFonts w:hint="eastAsia"/>
        </w:rPr>
        <w:t>平均无故障时间</w:t>
      </w:r>
      <w:r>
        <w:t>≥20000h</w:t>
      </w:r>
      <w:r>
        <w:rPr>
          <w:rFonts w:hint="eastAsia"/>
        </w:rPr>
        <w:t>；</w:t>
      </w:r>
      <w:r>
        <w:t>MTTR</w:t>
      </w:r>
      <w:r>
        <w:rPr>
          <w:rFonts w:hint="eastAsia"/>
        </w:rPr>
        <w:t>平均修复时间</w:t>
      </w:r>
      <w:r>
        <w:t>≤4</w:t>
      </w:r>
      <w:r>
        <w:rPr>
          <w:rFonts w:hint="eastAsia"/>
        </w:rPr>
        <w:t>分钟；【提供此功能的证明资料】</w:t>
      </w:r>
      <w:bookmarkEnd w:id="531"/>
      <w:bookmarkEnd w:id="532"/>
    </w:p>
    <w:p>
      <w:pPr>
        <w:adjustRightInd w:val="0"/>
        <w:snapToGrid w:val="0"/>
        <w:spacing w:line="240" w:lineRule="auto"/>
        <w:ind w:firstLine="0" w:firstLineChars="0"/>
        <w:jc w:val="center"/>
      </w:pPr>
      <w:r>
        <w:drawing>
          <wp:inline distT="0" distB="0" distL="114300" distR="114300">
            <wp:extent cx="5579745" cy="7793990"/>
            <wp:effectExtent l="0" t="0" r="1905" b="16510"/>
            <wp:docPr id="104"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6"/>
                    <pic:cNvPicPr>
                      <a:picLocks noChangeAspect="1"/>
                    </pic:cNvPicPr>
                  </pic:nvPicPr>
                  <pic:blipFill>
                    <a:blip r:embed="rId59"/>
                    <a:srcRect t="674"/>
                    <a:stretch>
                      <a:fillRect/>
                    </a:stretch>
                  </pic:blipFill>
                  <pic:spPr>
                    <a:xfrm>
                      <a:off x="0" y="0"/>
                      <a:ext cx="5579745" cy="7793990"/>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33" w:name="_Toc6826"/>
      <w:bookmarkStart w:id="534" w:name="_Toc22919"/>
      <w:r>
        <w:t>50.</w:t>
      </w:r>
      <w:r>
        <w:rPr>
          <w:rFonts w:hint="eastAsia"/>
        </w:rPr>
        <w:t>光生物安全检测：无危害类：</w:t>
      </w:r>
      <w:r>
        <w:t>8h</w:t>
      </w:r>
      <w:r>
        <w:rPr>
          <w:rFonts w:hint="eastAsia"/>
        </w:rPr>
        <w:t>（</w:t>
      </w:r>
      <w:r>
        <w:t>30000s</w:t>
      </w:r>
      <w:r>
        <w:rPr>
          <w:rFonts w:hint="eastAsia"/>
        </w:rPr>
        <w:t>）曝辐中不造成光化学紫外危害（</w:t>
      </w:r>
      <w:r>
        <w:t>ES</w:t>
      </w:r>
      <w:r>
        <w:rPr>
          <w:rFonts w:hint="eastAsia"/>
        </w:rPr>
        <w:t>），并在</w:t>
      </w:r>
      <w:r>
        <w:t>16min</w:t>
      </w:r>
      <w:r>
        <w:rPr>
          <w:rFonts w:hint="eastAsia"/>
        </w:rPr>
        <w:t>（</w:t>
      </w:r>
      <w:r>
        <w:t>1000s</w:t>
      </w:r>
      <w:r>
        <w:rPr>
          <w:rFonts w:hint="eastAsia"/>
        </w:rPr>
        <w:t>）内不造成近紫外危害（</w:t>
      </w:r>
      <w:r>
        <w:t>EUVA</w:t>
      </w:r>
      <w:r>
        <w:rPr>
          <w:rFonts w:hint="eastAsia"/>
        </w:rPr>
        <w:t>），并在</w:t>
      </w:r>
      <w:r>
        <w:t>2.8h</w:t>
      </w:r>
      <w:r>
        <w:rPr>
          <w:rFonts w:hint="eastAsia"/>
        </w:rPr>
        <w:t>（</w:t>
      </w:r>
      <w:r>
        <w:t>10000s</w:t>
      </w:r>
      <w:r>
        <w:rPr>
          <w:rFonts w:hint="eastAsia"/>
        </w:rPr>
        <w:t>）内不造成对视网膜蓝光危害（</w:t>
      </w:r>
      <w:r>
        <w:t>LB</w:t>
      </w:r>
      <w:r>
        <w:rPr>
          <w:rFonts w:hint="eastAsia"/>
        </w:rPr>
        <w:t>）并在</w:t>
      </w:r>
      <w:r>
        <w:t>10s</w:t>
      </w:r>
      <w:r>
        <w:rPr>
          <w:rFonts w:hint="eastAsia"/>
        </w:rPr>
        <w:t>内不造成对视网膜热危害（</w:t>
      </w:r>
      <w:r>
        <w:t>LR</w:t>
      </w:r>
      <w:r>
        <w:rPr>
          <w:rFonts w:hint="eastAsia"/>
        </w:rPr>
        <w:t>），且在</w:t>
      </w:r>
      <w:r>
        <w:t>1000s</w:t>
      </w:r>
      <w:r>
        <w:rPr>
          <w:rFonts w:hint="eastAsia"/>
        </w:rPr>
        <w:t>内不造成对眼睛的红外辐射危害（</w:t>
      </w:r>
      <w:r>
        <w:t>EIR</w:t>
      </w:r>
      <w:r>
        <w:rPr>
          <w:rFonts w:hint="eastAsia"/>
        </w:rPr>
        <w:t>）；【提供此功能的证明资料】</w:t>
      </w:r>
      <w:bookmarkEnd w:id="533"/>
      <w:bookmarkEnd w:id="534"/>
    </w:p>
    <w:p>
      <w:pPr>
        <w:adjustRightInd w:val="0"/>
        <w:snapToGrid w:val="0"/>
        <w:spacing w:line="240" w:lineRule="auto"/>
        <w:ind w:firstLine="0" w:firstLineChars="0"/>
        <w:jc w:val="center"/>
      </w:pPr>
      <w:r>
        <w:drawing>
          <wp:inline distT="0" distB="0" distL="114300" distR="114300">
            <wp:extent cx="5039995" cy="7120255"/>
            <wp:effectExtent l="0" t="0" r="8255" b="4445"/>
            <wp:docPr id="10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5"/>
                    <pic:cNvPicPr>
                      <a:picLocks noChangeAspect="1"/>
                    </pic:cNvPicPr>
                  </pic:nvPicPr>
                  <pic:blipFill>
                    <a:blip r:embed="rId60"/>
                    <a:stretch>
                      <a:fillRect/>
                    </a:stretch>
                  </pic:blipFill>
                  <pic:spPr>
                    <a:xfrm>
                      <a:off x="0" y="0"/>
                      <a:ext cx="5039995" cy="7120255"/>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35" w:name="_Toc22139"/>
      <w:bookmarkStart w:id="536" w:name="_Toc24831"/>
      <w:r>
        <w:t>8.</w:t>
      </w:r>
      <w:r>
        <w:rPr>
          <w:rFonts w:hint="eastAsia"/>
        </w:rPr>
        <w:t>支持不少于</w:t>
      </w:r>
      <w:r>
        <w:t>20</w:t>
      </w:r>
      <w:r>
        <w:rPr>
          <w:rFonts w:hint="eastAsia"/>
        </w:rPr>
        <w:t>路千兆网口输出；【提供此功能的证明资料】</w:t>
      </w:r>
      <w:bookmarkEnd w:id="535"/>
      <w:bookmarkEnd w:id="536"/>
    </w:p>
    <w:p>
      <w:pPr>
        <w:adjustRightInd w:val="0"/>
        <w:snapToGrid w:val="0"/>
        <w:spacing w:line="240" w:lineRule="auto"/>
        <w:ind w:firstLine="0" w:firstLineChars="0"/>
        <w:jc w:val="center"/>
      </w:pPr>
      <w:r>
        <w:drawing>
          <wp:inline distT="0" distB="0" distL="114300" distR="114300">
            <wp:extent cx="5760085" cy="8147050"/>
            <wp:effectExtent l="0" t="0" r="12065" b="6350"/>
            <wp:docPr id="107"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9"/>
                    <pic:cNvPicPr>
                      <a:picLocks noChangeAspect="1"/>
                    </pic:cNvPicPr>
                  </pic:nvPicPr>
                  <pic:blipFill>
                    <a:blip r:embed="rId61"/>
                    <a:stretch>
                      <a:fillRect/>
                    </a:stretch>
                  </pic:blipFill>
                  <pic:spPr>
                    <a:xfrm>
                      <a:off x="0" y="0"/>
                      <a:ext cx="5760085" cy="8147050"/>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37" w:name="_Toc1346"/>
      <w:bookmarkStart w:id="538" w:name="_Toc74"/>
      <w:r>
        <w:t>18.</w:t>
      </w:r>
      <w:r>
        <w:rPr>
          <w:rFonts w:hint="eastAsia"/>
        </w:rPr>
        <w:t>支持主动式</w:t>
      </w:r>
      <w:r>
        <w:t>3D</w:t>
      </w:r>
      <w:r>
        <w:rPr>
          <w:rFonts w:hint="eastAsia"/>
        </w:rPr>
        <w:t>显示功能；【提供此功能的证明资料】</w:t>
      </w:r>
      <w:bookmarkEnd w:id="537"/>
      <w:bookmarkEnd w:id="538"/>
    </w:p>
    <w:p>
      <w:pPr>
        <w:adjustRightInd w:val="0"/>
        <w:snapToGrid w:val="0"/>
        <w:spacing w:line="240" w:lineRule="auto"/>
        <w:ind w:firstLine="0" w:firstLineChars="0"/>
        <w:jc w:val="center"/>
      </w:pPr>
      <w:r>
        <w:rPr>
          <w:rFonts w:ascii="Times New Roman" w:hAnsi="Times New Roman" w:cs="Times New Roman"/>
        </w:rPr>
        <w:drawing>
          <wp:inline distT="0" distB="0" distL="114300" distR="114300">
            <wp:extent cx="5591175" cy="7915275"/>
            <wp:effectExtent l="0" t="0" r="9525" b="9525"/>
            <wp:docPr id="34" name="图片框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框 1056"/>
                    <pic:cNvPicPr>
                      <a:picLocks noChangeAspect="1"/>
                    </pic:cNvPicPr>
                  </pic:nvPicPr>
                  <pic:blipFill>
                    <a:blip r:embed="rId62">
                      <a:lum/>
                    </a:blip>
                    <a:stretch>
                      <a:fillRect/>
                    </a:stretch>
                  </pic:blipFill>
                  <pic:spPr>
                    <a:xfrm>
                      <a:off x="0" y="0"/>
                      <a:ext cx="5591175" cy="7915275"/>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39" w:name="_Toc21382"/>
      <w:bookmarkStart w:id="540" w:name="_Toc27690"/>
      <w:r>
        <w:rPr>
          <w:rFonts w:hint="eastAsia"/>
        </w:rPr>
        <w:t>22.可在局域网内实现通过</w:t>
      </w:r>
      <w:r>
        <w:t>web</w:t>
      </w:r>
      <w:r>
        <w:rPr>
          <w:rFonts w:hint="eastAsia"/>
        </w:rPr>
        <w:t>控制设备，支持</w:t>
      </w:r>
      <w:r>
        <w:t>Windows</w:t>
      </w:r>
      <w:r>
        <w:rPr>
          <w:rFonts w:hint="eastAsia"/>
        </w:rPr>
        <w:t>、</w:t>
      </w:r>
      <w:r>
        <w:t>macOS</w:t>
      </w:r>
      <w:r>
        <w:rPr>
          <w:rFonts w:hint="eastAsia"/>
        </w:rPr>
        <w:t>、</w:t>
      </w:r>
      <w:r>
        <w:t>Linux</w:t>
      </w:r>
      <w:r>
        <w:rPr>
          <w:rFonts w:hint="eastAsia"/>
        </w:rPr>
        <w:t>、麒麟系统、</w:t>
      </w:r>
      <w:r>
        <w:t>Android</w:t>
      </w:r>
      <w:r>
        <w:rPr>
          <w:rFonts w:hint="eastAsia"/>
        </w:rPr>
        <w:t>、</w:t>
      </w:r>
      <w:r>
        <w:t>iOS</w:t>
      </w:r>
      <w:r>
        <w:rPr>
          <w:rFonts w:hint="eastAsia"/>
        </w:rPr>
        <w:t>等系统平台，支持电脑、平板、手机等多种硬件平台；【提供此功能的证明资料】</w:t>
      </w:r>
      <w:bookmarkEnd w:id="539"/>
      <w:bookmarkEnd w:id="540"/>
    </w:p>
    <w:p>
      <w:pPr>
        <w:adjustRightInd w:val="0"/>
        <w:snapToGrid w:val="0"/>
        <w:spacing w:line="240" w:lineRule="auto"/>
        <w:ind w:firstLine="0" w:firstLineChars="0"/>
        <w:jc w:val="center"/>
      </w:pPr>
      <w:r>
        <w:rPr>
          <w:rFonts w:ascii="Times New Roman" w:hAnsi="Times New Roman" w:cs="Times New Roman"/>
        </w:rPr>
        <w:drawing>
          <wp:inline distT="0" distB="0" distL="114300" distR="114300">
            <wp:extent cx="5759450" cy="3517900"/>
            <wp:effectExtent l="0" t="0" r="12700" b="6350"/>
            <wp:docPr id="35" name="图片框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框 1057"/>
                    <pic:cNvPicPr>
                      <a:picLocks noChangeAspect="1"/>
                    </pic:cNvPicPr>
                  </pic:nvPicPr>
                  <pic:blipFill>
                    <a:blip r:embed="rId63">
                      <a:lum/>
                    </a:blip>
                    <a:stretch>
                      <a:fillRect/>
                    </a:stretch>
                  </pic:blipFill>
                  <pic:spPr>
                    <a:xfrm>
                      <a:off x="0" y="0"/>
                      <a:ext cx="5759450" cy="3517900"/>
                    </a:xfrm>
                    <a:prstGeom prst="rect">
                      <a:avLst/>
                    </a:prstGeom>
                    <a:noFill/>
                    <a:ln>
                      <a:noFill/>
                    </a:ln>
                  </pic:spPr>
                </pic:pic>
              </a:graphicData>
            </a:graphic>
          </wp:inline>
        </w:drawing>
      </w:r>
    </w:p>
    <w:p>
      <w:pPr>
        <w:adjustRightInd w:val="0"/>
        <w:snapToGrid w:val="0"/>
        <w:spacing w:line="240" w:lineRule="auto"/>
        <w:ind w:firstLine="0" w:firstLineChars="0"/>
        <w:jc w:val="center"/>
        <w:rPr>
          <w:rFonts w:ascii="Times New Roman" w:hAnsi="Times New Roman" w:cs="Times New Roman"/>
        </w:rPr>
      </w:pP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41" w:name="_Toc20494"/>
      <w:bookmarkStart w:id="542" w:name="_Toc4040"/>
      <w:r>
        <w:t>27.</w:t>
      </w:r>
      <w:r>
        <w:rPr>
          <w:rFonts w:hint="eastAsia"/>
        </w:rPr>
        <w:t>控制系统支持</w:t>
      </w:r>
      <w:r>
        <w:t>3D</w:t>
      </w:r>
      <w:r>
        <w:rPr>
          <w:rFonts w:hint="eastAsia"/>
        </w:rPr>
        <w:t>应用显示；【提供此功能的证明资料】</w:t>
      </w:r>
      <w:bookmarkEnd w:id="541"/>
      <w:bookmarkEnd w:id="542"/>
    </w:p>
    <w:p>
      <w:pPr>
        <w:adjustRightInd w:val="0"/>
        <w:snapToGrid w:val="0"/>
        <w:spacing w:line="240" w:lineRule="auto"/>
        <w:ind w:firstLine="0" w:firstLineChars="0"/>
        <w:jc w:val="center"/>
      </w:pPr>
      <w:r>
        <w:rPr>
          <w:rFonts w:ascii="Times New Roman" w:hAnsi="Times New Roman" w:cs="Times New Roman"/>
        </w:rPr>
        <w:drawing>
          <wp:inline distT="0" distB="0" distL="114300" distR="114300">
            <wp:extent cx="5581650" cy="7915275"/>
            <wp:effectExtent l="0" t="0" r="0" b="9525"/>
            <wp:docPr id="36" name="图片框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框 1058"/>
                    <pic:cNvPicPr>
                      <a:picLocks noChangeAspect="1"/>
                    </pic:cNvPicPr>
                  </pic:nvPicPr>
                  <pic:blipFill>
                    <a:blip r:embed="rId64">
                      <a:lum/>
                    </a:blip>
                    <a:stretch>
                      <a:fillRect/>
                    </a:stretch>
                  </pic:blipFill>
                  <pic:spPr>
                    <a:xfrm>
                      <a:off x="0" y="0"/>
                      <a:ext cx="5581650" cy="7915275"/>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43" w:name="_Toc341"/>
      <w:bookmarkStart w:id="544" w:name="_Toc24444"/>
      <w:r>
        <w:t>3.</w:t>
      </w:r>
      <w:r>
        <w:rPr>
          <w:rFonts w:hint="eastAsia"/>
        </w:rPr>
        <w:t>延时：</w:t>
      </w:r>
      <w:r>
        <w:t>≤4.8ms</w:t>
      </w:r>
      <w:r>
        <w:rPr>
          <w:rFonts w:hint="eastAsia"/>
        </w:rPr>
        <w:t>；【提供此功能的证明资料】</w:t>
      </w:r>
      <w:bookmarkEnd w:id="543"/>
      <w:bookmarkEnd w:id="544"/>
    </w:p>
    <w:p>
      <w:pPr>
        <w:adjustRightInd w:val="0"/>
        <w:snapToGrid w:val="0"/>
        <w:spacing w:line="240" w:lineRule="auto"/>
        <w:ind w:firstLine="0" w:firstLineChars="0"/>
        <w:jc w:val="center"/>
      </w:pPr>
      <w:r>
        <w:drawing>
          <wp:inline distT="0" distB="0" distL="114300" distR="114300">
            <wp:extent cx="5756910" cy="7611745"/>
            <wp:effectExtent l="0" t="0" r="15240" b="8255"/>
            <wp:docPr id="109"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1"/>
                    <pic:cNvPicPr>
                      <a:picLocks noChangeAspect="1"/>
                    </pic:cNvPicPr>
                  </pic:nvPicPr>
                  <pic:blipFill>
                    <a:blip r:embed="rId65"/>
                    <a:stretch>
                      <a:fillRect/>
                    </a:stretch>
                  </pic:blipFill>
                  <pic:spPr>
                    <a:xfrm>
                      <a:off x="0" y="0"/>
                      <a:ext cx="5756910" cy="7611745"/>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45" w:name="_Toc8483"/>
      <w:bookmarkStart w:id="546" w:name="_Toc12561"/>
      <w:bookmarkStart w:id="547" w:name="_Toc26913"/>
      <w:bookmarkStart w:id="548" w:name="_Toc28165"/>
      <w:r>
        <w:t>10.</w:t>
      </w:r>
      <w:r>
        <w:rPr>
          <w:rFonts w:hint="eastAsia"/>
        </w:rPr>
        <w:t>相机在</w:t>
      </w:r>
      <w:r>
        <w:t>60</w:t>
      </w:r>
      <w:r>
        <w:rPr>
          <w:rFonts w:hint="eastAsia"/>
        </w:rPr>
        <w:t>摄氏度环境温度下可连续正常工作</w:t>
      </w:r>
      <w:r>
        <w:t>8</w:t>
      </w:r>
      <w:r>
        <w:rPr>
          <w:rFonts w:hint="eastAsia"/>
        </w:rPr>
        <w:t>小时以上；相机在</w:t>
      </w:r>
      <w:r>
        <w:t>-25</w:t>
      </w:r>
      <w:r>
        <w:rPr>
          <w:rFonts w:hint="eastAsia"/>
        </w:rPr>
        <w:t>摄氏度环境温度下可连续正常工作</w:t>
      </w:r>
      <w:r>
        <w:t>8</w:t>
      </w:r>
      <w:r>
        <w:rPr>
          <w:rFonts w:hint="eastAsia"/>
        </w:rPr>
        <w:t>小时以上；相机在温度</w:t>
      </w:r>
      <w:r>
        <w:t>40</w:t>
      </w:r>
      <w:r>
        <w:rPr>
          <w:rFonts w:hint="eastAsia"/>
        </w:rPr>
        <w:t>摄氏度和湿度</w:t>
      </w:r>
      <w:r>
        <w:t>93%RH</w:t>
      </w:r>
      <w:r>
        <w:rPr>
          <w:rFonts w:hint="eastAsia"/>
        </w:rPr>
        <w:t>的环境下可连续正常工作</w:t>
      </w:r>
      <w:r>
        <w:t>48</w:t>
      </w:r>
      <w:r>
        <w:rPr>
          <w:rFonts w:hint="eastAsia"/>
        </w:rPr>
        <w:t>小时以上；【提供此功能的证明资料】</w:t>
      </w:r>
      <w:bookmarkEnd w:id="545"/>
      <w:bookmarkEnd w:id="546"/>
    </w:p>
    <w:p>
      <w:pPr>
        <w:adjustRightInd w:val="0"/>
        <w:snapToGrid w:val="0"/>
        <w:spacing w:line="240" w:lineRule="auto"/>
        <w:ind w:firstLine="0" w:firstLineChars="0"/>
        <w:jc w:val="center"/>
      </w:pPr>
      <w:r>
        <w:rPr>
          <w:rFonts w:ascii="Times New Roman" w:hAnsi="Times New Roman" w:cs="Times New Roman"/>
        </w:rPr>
        <w:drawing>
          <wp:inline distT="0" distB="0" distL="114300" distR="114300">
            <wp:extent cx="5619750" cy="7494270"/>
            <wp:effectExtent l="0" t="0" r="0" b="11430"/>
            <wp:docPr id="37" name="图片框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框 1060"/>
                    <pic:cNvPicPr>
                      <a:picLocks noChangeAspect="1"/>
                    </pic:cNvPicPr>
                  </pic:nvPicPr>
                  <pic:blipFill>
                    <a:blip r:embed="rId66">
                      <a:lum/>
                    </a:blip>
                    <a:srcRect t="2235" b="2164"/>
                    <a:stretch>
                      <a:fillRect/>
                    </a:stretch>
                  </pic:blipFill>
                  <pic:spPr>
                    <a:xfrm>
                      <a:off x="0" y="0"/>
                      <a:ext cx="5619750" cy="7494270"/>
                    </a:xfrm>
                    <a:prstGeom prst="rect">
                      <a:avLst/>
                    </a:prstGeom>
                    <a:noFill/>
                    <a:ln>
                      <a:noFill/>
                    </a:ln>
                  </pic:spPr>
                </pic:pic>
              </a:graphicData>
            </a:graphic>
          </wp:inline>
        </w:drawing>
      </w:r>
    </w:p>
    <w:p>
      <w:pPr>
        <w:adjustRightInd w:val="0"/>
        <w:snapToGrid w:val="0"/>
        <w:spacing w:line="240" w:lineRule="auto"/>
        <w:ind w:firstLine="0" w:firstLineChars="0"/>
      </w:pPr>
    </w:p>
    <w:p>
      <w:pPr>
        <w:adjustRightInd w:val="0"/>
        <w:snapToGrid w:val="0"/>
        <w:spacing w:line="240" w:lineRule="auto"/>
        <w:ind w:firstLine="0" w:firstLineChars="0"/>
        <w:jc w:val="center"/>
        <w:sectPr>
          <w:pgSz w:w="11906" w:h="16838"/>
          <w:pgMar w:top="1474" w:right="1417" w:bottom="1247" w:left="1417" w:header="851" w:footer="992" w:gutter="0"/>
          <w:cols w:space="720" w:num="1"/>
          <w:docGrid w:type="lines" w:linePitch="312" w:charSpace="0"/>
        </w:sectPr>
      </w:pPr>
    </w:p>
    <w:p>
      <w:pPr>
        <w:pStyle w:val="5"/>
        <w:tabs>
          <w:tab w:val="left" w:pos="0"/>
        </w:tabs>
        <w:ind w:firstLine="480"/>
      </w:pPr>
      <w:r>
        <w:t>13.</w:t>
      </w:r>
      <w:r>
        <w:rPr>
          <w:rFonts w:hint="eastAsia"/>
        </w:rPr>
        <w:t>每个相机搭载</w:t>
      </w:r>
      <w:r>
        <w:t>≥14</w:t>
      </w:r>
      <w:r>
        <w:rPr>
          <w:rFonts w:hint="eastAsia"/>
        </w:rPr>
        <w:t>个超大功率</w:t>
      </w:r>
      <w:r>
        <w:t>850nm</w:t>
      </w:r>
      <w:r>
        <w:rPr>
          <w:rFonts w:hint="eastAsia"/>
        </w:rPr>
        <w:t>红外</w:t>
      </w:r>
      <w:r>
        <w:t>LED</w:t>
      </w:r>
      <w:r>
        <w:rPr>
          <w:rFonts w:hint="eastAsia"/>
        </w:rPr>
        <w:t>，</w:t>
      </w:r>
      <w:r>
        <w:t>LED</w:t>
      </w:r>
      <w:r>
        <w:rPr>
          <w:rFonts w:hint="eastAsia"/>
        </w:rPr>
        <w:t>灯亮度可以随目标距离进行调整；【提供此功能的证明资料】</w:t>
      </w:r>
      <w:bookmarkEnd w:id="547"/>
      <w:bookmarkEnd w:id="548"/>
    </w:p>
    <w:p>
      <w:pPr>
        <w:adjustRightInd w:val="0"/>
        <w:snapToGrid w:val="0"/>
        <w:spacing w:line="240" w:lineRule="auto"/>
        <w:ind w:firstLine="0" w:firstLineChars="0"/>
        <w:jc w:val="center"/>
      </w:pPr>
      <w:r>
        <w:drawing>
          <wp:inline distT="0" distB="0" distL="114300" distR="114300">
            <wp:extent cx="5756910" cy="7663180"/>
            <wp:effectExtent l="0" t="0" r="15240" b="13970"/>
            <wp:docPr id="11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2"/>
                    <pic:cNvPicPr>
                      <a:picLocks noChangeAspect="1"/>
                    </pic:cNvPicPr>
                  </pic:nvPicPr>
                  <pic:blipFill>
                    <a:blip r:embed="rId67"/>
                    <a:stretch>
                      <a:fillRect/>
                    </a:stretch>
                  </pic:blipFill>
                  <pic:spPr>
                    <a:xfrm>
                      <a:off x="0" y="0"/>
                      <a:ext cx="5756910" cy="7663180"/>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49" w:name="_Toc9581"/>
      <w:bookmarkStart w:id="550" w:name="_Toc30006"/>
      <w:r>
        <w:t>19.</w:t>
      </w:r>
      <w:r>
        <w:rPr>
          <w:rFonts w:hint="eastAsia"/>
        </w:rPr>
        <w:t>一场地对应一个配置方案，能够根据实际场地灵活进行相机配置；【提供此功能的证明资料】</w:t>
      </w:r>
      <w:bookmarkEnd w:id="549"/>
      <w:bookmarkEnd w:id="550"/>
    </w:p>
    <w:p>
      <w:pPr>
        <w:adjustRightInd w:val="0"/>
        <w:snapToGrid w:val="0"/>
        <w:spacing w:line="240" w:lineRule="auto"/>
        <w:ind w:firstLine="0" w:firstLineChars="0"/>
        <w:jc w:val="center"/>
      </w:pPr>
      <w:r>
        <w:rPr>
          <w:rFonts w:ascii="Times New Roman" w:hAnsi="Times New Roman" w:cs="Times New Roman"/>
        </w:rPr>
        <w:drawing>
          <wp:inline distT="0" distB="0" distL="114300" distR="114300">
            <wp:extent cx="5591175" cy="7924800"/>
            <wp:effectExtent l="0" t="0" r="9525" b="0"/>
            <wp:docPr id="38" name="图片框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框 1062"/>
                    <pic:cNvPicPr>
                      <a:picLocks noChangeAspect="1"/>
                    </pic:cNvPicPr>
                  </pic:nvPicPr>
                  <pic:blipFill>
                    <a:blip r:embed="rId68">
                      <a:lum/>
                    </a:blip>
                    <a:stretch>
                      <a:fillRect/>
                    </a:stretch>
                  </pic:blipFill>
                  <pic:spPr>
                    <a:xfrm>
                      <a:off x="0" y="0"/>
                      <a:ext cx="5591175" cy="7924800"/>
                    </a:xfrm>
                    <a:prstGeom prst="rect">
                      <a:avLst/>
                    </a:prstGeom>
                    <a:noFill/>
                    <a:ln>
                      <a:noFill/>
                    </a:ln>
                  </pic:spPr>
                </pic:pic>
              </a:graphicData>
            </a:graphic>
          </wp:inline>
        </w:drawing>
      </w:r>
    </w:p>
    <w:p>
      <w:pPr>
        <w:ind w:firstLine="0" w:firstLineChars="0"/>
      </w:pPr>
    </w:p>
    <w:p>
      <w:pPr>
        <w:ind w:firstLine="0" w:firstLineChars="0"/>
        <w:sectPr>
          <w:pgSz w:w="11906" w:h="16838"/>
          <w:pgMar w:top="1474" w:right="1417" w:bottom="1247" w:left="1417" w:header="851" w:footer="992" w:gutter="0"/>
          <w:cols w:space="720" w:num="1"/>
          <w:docGrid w:type="lines" w:linePitch="312" w:charSpace="0"/>
        </w:sectPr>
      </w:pPr>
    </w:p>
    <w:p>
      <w:pPr>
        <w:pStyle w:val="5"/>
        <w:tabs>
          <w:tab w:val="left" w:pos="0"/>
        </w:tabs>
        <w:ind w:firstLine="480"/>
      </w:pPr>
      <w:bookmarkStart w:id="551" w:name="_Toc17437"/>
      <w:bookmarkStart w:id="552" w:name="_Toc31807"/>
      <w:r>
        <w:t>5.1</w:t>
      </w:r>
      <w:r>
        <w:rPr>
          <w:rFonts w:hint="eastAsia"/>
        </w:rPr>
        <w:t>老师端：数据报告（每位学生的姓名、听课时长、练习步骤完成率、每个步骤的操作的时间、练习总时间）；【需提供软件截图】</w:t>
      </w:r>
      <w:bookmarkEnd w:id="551"/>
      <w:bookmarkEnd w:id="552"/>
    </w:p>
    <w:p>
      <w:pPr>
        <w:adjustRightInd w:val="0"/>
        <w:snapToGrid w:val="0"/>
        <w:spacing w:line="240" w:lineRule="auto"/>
        <w:ind w:firstLine="0" w:firstLineChars="0"/>
        <w:jc w:val="center"/>
      </w:pPr>
      <w:r>
        <w:rPr>
          <w:rFonts w:ascii="Times New Roman" w:hAnsi="Times New Roman" w:eastAsia="宋体" w:cs="Times New Roman"/>
        </w:rPr>
        <w:drawing>
          <wp:inline distT="0" distB="0" distL="114300" distR="114300">
            <wp:extent cx="4800600" cy="2609850"/>
            <wp:effectExtent l="0" t="0" r="0" b="0"/>
            <wp:docPr id="39" name="图片框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框 1063"/>
                    <pic:cNvPicPr>
                      <a:picLocks noChangeAspect="1"/>
                    </pic:cNvPicPr>
                  </pic:nvPicPr>
                  <pic:blipFill>
                    <a:blip r:embed="rId69">
                      <a:lum/>
                    </a:blip>
                    <a:stretch>
                      <a:fillRect/>
                    </a:stretch>
                  </pic:blipFill>
                  <pic:spPr>
                    <a:xfrm>
                      <a:off x="0" y="0"/>
                      <a:ext cx="4800600" cy="2609850"/>
                    </a:xfrm>
                    <a:prstGeom prst="rect">
                      <a:avLst/>
                    </a:prstGeom>
                    <a:noFill/>
                    <a:ln>
                      <a:noFill/>
                    </a:ln>
                  </pic:spPr>
                </pic:pic>
              </a:graphicData>
            </a:graphic>
          </wp:inline>
        </w:drawing>
      </w:r>
    </w:p>
    <w:p>
      <w:pPr>
        <w:pStyle w:val="5"/>
        <w:tabs>
          <w:tab w:val="left" w:pos="0"/>
        </w:tabs>
        <w:ind w:firstLine="480"/>
      </w:pPr>
      <w:bookmarkStart w:id="553" w:name="_Toc3621"/>
      <w:bookmarkStart w:id="554" w:name="_Toc15126"/>
      <w:r>
        <w:t>5.2</w:t>
      </w:r>
      <w:r>
        <w:rPr>
          <w:rFonts w:hint="eastAsia"/>
        </w:rPr>
        <w:t>学生端：数据报告（该学生的姓名、听课时长、举手</w:t>
      </w:r>
      <w:r>
        <w:t>/</w:t>
      </w:r>
      <w:r>
        <w:rPr>
          <w:rFonts w:hint="eastAsia"/>
        </w:rPr>
        <w:t>应答、练习步骤完成率、每个步骤的操作的时间、练习总时间；【需提供软件截图】</w:t>
      </w:r>
      <w:bookmarkEnd w:id="553"/>
      <w:bookmarkEnd w:id="554"/>
    </w:p>
    <w:p>
      <w:pPr>
        <w:adjustRightInd w:val="0"/>
        <w:snapToGrid w:val="0"/>
        <w:spacing w:line="240" w:lineRule="auto"/>
        <w:ind w:firstLine="0" w:firstLineChars="0"/>
        <w:jc w:val="center"/>
      </w:pPr>
      <w:r>
        <w:rPr>
          <w:rFonts w:ascii="Times New Roman" w:hAnsi="Times New Roman" w:cs="Times New Roman"/>
        </w:rPr>
        <w:drawing>
          <wp:inline distT="0" distB="0" distL="114300" distR="114300">
            <wp:extent cx="4924425" cy="2695575"/>
            <wp:effectExtent l="0" t="0" r="9525" b="9525"/>
            <wp:docPr id="40" name="图片框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框 1064"/>
                    <pic:cNvPicPr>
                      <a:picLocks noChangeAspect="1"/>
                    </pic:cNvPicPr>
                  </pic:nvPicPr>
                  <pic:blipFill>
                    <a:blip r:embed="rId70">
                      <a:lum/>
                    </a:blip>
                    <a:stretch>
                      <a:fillRect/>
                    </a:stretch>
                  </pic:blipFill>
                  <pic:spPr>
                    <a:xfrm>
                      <a:off x="0" y="0"/>
                      <a:ext cx="4924425" cy="2695575"/>
                    </a:xfrm>
                    <a:prstGeom prst="rect">
                      <a:avLst/>
                    </a:prstGeom>
                    <a:noFill/>
                    <a:ln>
                      <a:noFill/>
                    </a:ln>
                  </pic:spPr>
                </pic:pic>
              </a:graphicData>
            </a:graphic>
          </wp:inline>
        </w:drawing>
      </w:r>
    </w:p>
    <w:p>
      <w:pPr>
        <w:adjustRightInd w:val="0"/>
        <w:snapToGrid w:val="0"/>
        <w:spacing w:line="240" w:lineRule="auto"/>
        <w:ind w:firstLine="0" w:firstLineChars="0"/>
      </w:pPr>
    </w:p>
    <w:p>
      <w:pPr>
        <w:adjustRightInd w:val="0"/>
        <w:snapToGrid w:val="0"/>
        <w:spacing w:line="240" w:lineRule="auto"/>
        <w:ind w:firstLine="0" w:firstLineChars="0"/>
        <w:sectPr>
          <w:pgSz w:w="11906" w:h="16838"/>
          <w:pgMar w:top="1474" w:right="1417" w:bottom="1247" w:left="1417" w:header="851" w:footer="992" w:gutter="0"/>
          <w:cols w:space="720" w:num="1"/>
          <w:docGrid w:type="lines" w:linePitch="312" w:charSpace="0"/>
        </w:sectPr>
      </w:pPr>
    </w:p>
    <w:p>
      <w:pPr>
        <w:pStyle w:val="4"/>
        <w:tabs>
          <w:tab w:val="left" w:pos="0"/>
        </w:tabs>
        <w:spacing w:before="156" w:after="156"/>
        <w:ind w:firstLine="560"/>
      </w:pPr>
      <w:bookmarkStart w:id="555" w:name="_Toc17755"/>
      <w:bookmarkStart w:id="556" w:name="_Toc6981"/>
      <w:r>
        <w:rPr>
          <w:rFonts w:hint="eastAsia"/>
        </w:rPr>
        <w:t>供应商认为需提供的其他资料</w:t>
      </w:r>
      <w:bookmarkEnd w:id="555"/>
      <w:bookmarkEnd w:id="556"/>
    </w:p>
    <w:p>
      <w:pPr>
        <w:pStyle w:val="5"/>
        <w:tabs>
          <w:tab w:val="left" w:pos="0"/>
        </w:tabs>
        <w:ind w:firstLine="480"/>
      </w:pPr>
      <w:bookmarkStart w:id="557" w:name="_Toc17387"/>
      <w:bookmarkStart w:id="558" w:name="_Toc24605"/>
      <w:r>
        <w:rPr>
          <w:rFonts w:hint="eastAsia"/>
        </w:rPr>
        <w:t>节能、环保产品相关资料</w:t>
      </w:r>
      <w:bookmarkEnd w:id="557"/>
      <w:bookmarkEnd w:id="558"/>
    </w:p>
    <w:p>
      <w:pPr>
        <w:pStyle w:val="6"/>
        <w:ind w:firstLine="420"/>
      </w:pPr>
      <w:bookmarkStart w:id="559" w:name="_Toc31064"/>
      <w:r>
        <w:rPr>
          <w:rFonts w:hint="eastAsia"/>
        </w:rPr>
        <w:t>LED显示屏幕</w:t>
      </w:r>
      <w:bookmarkEnd w:id="559"/>
    </w:p>
    <w:p>
      <w:pPr>
        <w:spacing w:line="240" w:lineRule="auto"/>
        <w:ind w:firstLine="0" w:firstLineChars="0"/>
        <w:jc w:val="center"/>
      </w:pPr>
      <w:r>
        <w:rPr>
          <w:rFonts w:hint="eastAsia" w:ascii="Times New Roman" w:hAnsi="Times New Roman" w:cs="Times New Roman"/>
        </w:rPr>
        <w:drawing>
          <wp:inline distT="0" distB="0" distL="114300" distR="114300">
            <wp:extent cx="5400040" cy="7438390"/>
            <wp:effectExtent l="0" t="0" r="10160" b="10160"/>
            <wp:docPr id="41" name="图片框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框 1065"/>
                    <pic:cNvPicPr>
                      <a:picLocks noChangeAspect="1"/>
                    </pic:cNvPicPr>
                  </pic:nvPicPr>
                  <pic:blipFill>
                    <a:blip r:embed="rId71">
                      <a:lum/>
                    </a:blip>
                    <a:stretch>
                      <a:fillRect/>
                    </a:stretch>
                  </pic:blipFill>
                  <pic:spPr>
                    <a:xfrm>
                      <a:off x="0" y="0"/>
                      <a:ext cx="5400040" cy="7438390"/>
                    </a:xfrm>
                    <a:prstGeom prst="rect">
                      <a:avLst/>
                    </a:prstGeom>
                    <a:noFill/>
                    <a:ln>
                      <a:noFill/>
                    </a:ln>
                  </pic:spPr>
                </pic:pic>
              </a:graphicData>
            </a:graphic>
          </wp:inline>
        </w:drawing>
      </w:r>
    </w:p>
    <w:p>
      <w:pPr>
        <w:spacing w:line="240" w:lineRule="auto"/>
        <w:ind w:firstLine="0" w:firstLineChars="0"/>
        <w:jc w:val="center"/>
      </w:pPr>
      <w:r>
        <w:rPr>
          <w:rFonts w:hint="eastAsia" w:ascii="Times New Roman" w:hAnsi="Times New Roman" w:cs="Times New Roman"/>
        </w:rPr>
        <w:drawing>
          <wp:inline distT="0" distB="0" distL="114300" distR="114300">
            <wp:extent cx="5760085" cy="7934325"/>
            <wp:effectExtent l="0" t="0" r="12065" b="9525"/>
            <wp:docPr id="42" name="图片框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框 1066"/>
                    <pic:cNvPicPr>
                      <a:picLocks noChangeAspect="1"/>
                    </pic:cNvPicPr>
                  </pic:nvPicPr>
                  <pic:blipFill>
                    <a:blip r:embed="rId72">
                      <a:lum/>
                    </a:blip>
                    <a:stretch>
                      <a:fillRect/>
                    </a:stretch>
                  </pic:blipFill>
                  <pic:spPr>
                    <a:xfrm>
                      <a:off x="0" y="0"/>
                      <a:ext cx="5760085" cy="7934325"/>
                    </a:xfrm>
                    <a:prstGeom prst="rect">
                      <a:avLst/>
                    </a:prstGeom>
                    <a:noFill/>
                    <a:ln>
                      <a:noFill/>
                    </a:ln>
                  </pic:spPr>
                </pic:pic>
              </a:graphicData>
            </a:graphic>
          </wp:inline>
        </w:drawing>
      </w:r>
    </w:p>
    <w:p>
      <w:pPr>
        <w:spacing w:line="240" w:lineRule="auto"/>
        <w:ind w:firstLine="0" w:firstLineChars="0"/>
      </w:pPr>
    </w:p>
    <w:p>
      <w:pPr>
        <w:adjustRightInd w:val="0"/>
        <w:snapToGrid w:val="0"/>
        <w:spacing w:line="240" w:lineRule="auto"/>
        <w:ind w:firstLine="0" w:firstLineChars="0"/>
        <w:jc w:val="center"/>
        <w:sectPr>
          <w:pgSz w:w="11906" w:h="16838"/>
          <w:pgMar w:top="1474" w:right="1417" w:bottom="1247" w:left="1417" w:header="851" w:footer="992" w:gutter="0"/>
          <w:cols w:space="720" w:num="1"/>
          <w:docGrid w:type="lines" w:linePitch="312" w:charSpace="0"/>
        </w:sectPr>
      </w:pPr>
    </w:p>
    <w:p>
      <w:pPr>
        <w:adjustRightInd w:val="0"/>
        <w:snapToGrid w:val="0"/>
        <w:spacing w:line="240" w:lineRule="auto"/>
        <w:ind w:firstLine="0" w:firstLineChars="0"/>
        <w:jc w:val="center"/>
      </w:pPr>
    </w:p>
    <w:p>
      <w:pPr>
        <w:pStyle w:val="6"/>
        <w:ind w:firstLine="420"/>
      </w:pPr>
      <w:bookmarkStart w:id="560" w:name="_Toc28309"/>
      <w:r>
        <w:rPr>
          <w:rFonts w:hint="eastAsia"/>
        </w:rPr>
        <w:t>图形工作站</w:t>
      </w:r>
      <w:bookmarkEnd w:id="560"/>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43" name="图片框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框 1067"/>
                    <pic:cNvPicPr>
                      <a:picLocks noChangeAspect="1"/>
                    </pic:cNvPicPr>
                  </pic:nvPicPr>
                  <pic:blipFill>
                    <a:blip r:embed="rId73">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44" name="图片框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框 1068"/>
                    <pic:cNvPicPr>
                      <a:picLocks noChangeAspect="1"/>
                    </pic:cNvPicPr>
                  </pic:nvPicPr>
                  <pic:blipFill>
                    <a:blip r:embed="rId74">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45" name="图片框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框 1069"/>
                    <pic:cNvPicPr>
                      <a:picLocks noChangeAspect="1"/>
                    </pic:cNvPicPr>
                  </pic:nvPicPr>
                  <pic:blipFill>
                    <a:blip r:embed="rId75">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pPr>
    </w:p>
    <w:p>
      <w:pPr>
        <w:adjustRightInd w:val="0"/>
        <w:snapToGrid w:val="0"/>
        <w:spacing w:line="240" w:lineRule="auto"/>
        <w:ind w:firstLine="0" w:firstLineChars="0"/>
        <w:jc w:val="center"/>
        <w:sectPr>
          <w:pgSz w:w="11906" w:h="16838"/>
          <w:pgMar w:top="1474" w:right="1417" w:bottom="1247" w:left="1417" w:header="851" w:footer="992" w:gutter="0"/>
          <w:cols w:space="720" w:num="1"/>
          <w:docGrid w:type="lines" w:linePitch="312" w:charSpace="0"/>
        </w:sectPr>
      </w:pPr>
    </w:p>
    <w:p>
      <w:pPr>
        <w:pStyle w:val="6"/>
        <w:ind w:firstLine="420"/>
      </w:pPr>
      <w:bookmarkStart w:id="561" w:name="_Toc5060"/>
      <w:r>
        <w:rPr>
          <w:rFonts w:hint="eastAsia"/>
        </w:rPr>
        <w:t>教学工作站</w:t>
      </w:r>
      <w:bookmarkEnd w:id="561"/>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46" name="图片框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框 1070"/>
                    <pic:cNvPicPr>
                      <a:picLocks noChangeAspect="1"/>
                    </pic:cNvPicPr>
                  </pic:nvPicPr>
                  <pic:blipFill>
                    <a:blip r:embed="rId76">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47" name="图片框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框 1071"/>
                    <pic:cNvPicPr>
                      <a:picLocks noChangeAspect="1"/>
                    </pic:cNvPicPr>
                  </pic:nvPicPr>
                  <pic:blipFill>
                    <a:blip r:embed="rId77">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48" name="图片框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框 1072"/>
                    <pic:cNvPicPr>
                      <a:picLocks noChangeAspect="1"/>
                    </pic:cNvPicPr>
                  </pic:nvPicPr>
                  <pic:blipFill>
                    <a:blip r:embed="rId78">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49" name="图片框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框 1073"/>
                    <pic:cNvPicPr>
                      <a:picLocks noChangeAspect="1"/>
                    </pic:cNvPicPr>
                  </pic:nvPicPr>
                  <pic:blipFill>
                    <a:blip r:embed="rId79">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0" name="图片框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框 1074"/>
                    <pic:cNvPicPr>
                      <a:picLocks noChangeAspect="1"/>
                    </pic:cNvPicPr>
                  </pic:nvPicPr>
                  <pic:blipFill>
                    <a:blip r:embed="rId80">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1" name="图片框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框 1075"/>
                    <pic:cNvPicPr>
                      <a:picLocks noChangeAspect="1"/>
                    </pic:cNvPicPr>
                  </pic:nvPicPr>
                  <pic:blipFill>
                    <a:blip r:embed="rId81">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2" name="图片框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框 1076"/>
                    <pic:cNvPicPr>
                      <a:picLocks noChangeAspect="1"/>
                    </pic:cNvPicPr>
                  </pic:nvPicPr>
                  <pic:blipFill>
                    <a:blip r:embed="rId82">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3" name="图片框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框 1077"/>
                    <pic:cNvPicPr>
                      <a:picLocks noChangeAspect="1"/>
                    </pic:cNvPicPr>
                  </pic:nvPicPr>
                  <pic:blipFill>
                    <a:blip r:embed="rId83">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4" name="图片框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框 1078"/>
                    <pic:cNvPicPr>
                      <a:picLocks noChangeAspect="1"/>
                    </pic:cNvPicPr>
                  </pic:nvPicPr>
                  <pic:blipFill>
                    <a:blip r:embed="rId84">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5" name="图片框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框 1079"/>
                    <pic:cNvPicPr>
                      <a:picLocks noChangeAspect="1"/>
                    </pic:cNvPicPr>
                  </pic:nvPicPr>
                  <pic:blipFill>
                    <a:blip r:embed="rId85">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6" name="图片框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框 1080"/>
                    <pic:cNvPicPr>
                      <a:picLocks noChangeAspect="1"/>
                    </pic:cNvPicPr>
                  </pic:nvPicPr>
                  <pic:blipFill>
                    <a:blip r:embed="rId86">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7" name="图片框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框 1081"/>
                    <pic:cNvPicPr>
                      <a:picLocks noChangeAspect="1"/>
                    </pic:cNvPicPr>
                  </pic:nvPicPr>
                  <pic:blipFill>
                    <a:blip r:embed="rId87">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8" name="图片框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框 1082"/>
                    <pic:cNvPicPr>
                      <a:picLocks noChangeAspect="1"/>
                    </pic:cNvPicPr>
                  </pic:nvPicPr>
                  <pic:blipFill>
                    <a:blip r:embed="rId88">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pPr>
    </w:p>
    <w:p>
      <w:pPr>
        <w:adjustRightInd w:val="0"/>
        <w:snapToGrid w:val="0"/>
        <w:spacing w:line="240" w:lineRule="auto"/>
        <w:ind w:firstLine="0" w:firstLineChars="0"/>
        <w:jc w:val="center"/>
        <w:sectPr>
          <w:pgSz w:w="11906" w:h="16838"/>
          <w:pgMar w:top="1474" w:right="1417" w:bottom="1247" w:left="1417" w:header="851" w:footer="992" w:gutter="0"/>
          <w:cols w:space="720" w:num="1"/>
          <w:docGrid w:type="lines" w:linePitch="312" w:charSpace="0"/>
        </w:sectPr>
      </w:pPr>
    </w:p>
    <w:p>
      <w:pPr>
        <w:pStyle w:val="6"/>
        <w:ind w:firstLine="420"/>
      </w:pPr>
      <w:bookmarkStart w:id="562" w:name="_Toc32373"/>
      <w:r>
        <w:rPr>
          <w:rFonts w:hint="eastAsia"/>
        </w:rPr>
        <w:t>实训工作站</w:t>
      </w:r>
      <w:bookmarkEnd w:id="562"/>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59" name="图片框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框 1083"/>
                    <pic:cNvPicPr>
                      <a:picLocks noChangeAspect="1"/>
                    </pic:cNvPicPr>
                  </pic:nvPicPr>
                  <pic:blipFill>
                    <a:blip r:embed="rId76">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0" name="图片框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框 1084"/>
                    <pic:cNvPicPr>
                      <a:picLocks noChangeAspect="1"/>
                    </pic:cNvPicPr>
                  </pic:nvPicPr>
                  <pic:blipFill>
                    <a:blip r:embed="rId77">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1" name="图片框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框 1085"/>
                    <pic:cNvPicPr>
                      <a:picLocks noChangeAspect="1"/>
                    </pic:cNvPicPr>
                  </pic:nvPicPr>
                  <pic:blipFill>
                    <a:blip r:embed="rId78">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2" name="图片框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框 1086"/>
                    <pic:cNvPicPr>
                      <a:picLocks noChangeAspect="1"/>
                    </pic:cNvPicPr>
                  </pic:nvPicPr>
                  <pic:blipFill>
                    <a:blip r:embed="rId79">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3" name="图片框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框 1087"/>
                    <pic:cNvPicPr>
                      <a:picLocks noChangeAspect="1"/>
                    </pic:cNvPicPr>
                  </pic:nvPicPr>
                  <pic:blipFill>
                    <a:blip r:embed="rId80">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4" name="图片框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框 1088"/>
                    <pic:cNvPicPr>
                      <a:picLocks noChangeAspect="1"/>
                    </pic:cNvPicPr>
                  </pic:nvPicPr>
                  <pic:blipFill>
                    <a:blip r:embed="rId81">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5" name="图片框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框 1089"/>
                    <pic:cNvPicPr>
                      <a:picLocks noChangeAspect="1"/>
                    </pic:cNvPicPr>
                  </pic:nvPicPr>
                  <pic:blipFill>
                    <a:blip r:embed="rId82">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6" name="图片框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框 1090"/>
                    <pic:cNvPicPr>
                      <a:picLocks noChangeAspect="1"/>
                    </pic:cNvPicPr>
                  </pic:nvPicPr>
                  <pic:blipFill>
                    <a:blip r:embed="rId83">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7" name="图片框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框 1091"/>
                    <pic:cNvPicPr>
                      <a:picLocks noChangeAspect="1"/>
                    </pic:cNvPicPr>
                  </pic:nvPicPr>
                  <pic:blipFill>
                    <a:blip r:embed="rId84">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8" name="图片框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框 1092"/>
                    <pic:cNvPicPr>
                      <a:picLocks noChangeAspect="1"/>
                    </pic:cNvPicPr>
                  </pic:nvPicPr>
                  <pic:blipFill>
                    <a:blip r:embed="rId85">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69" name="图片框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框 1093"/>
                    <pic:cNvPicPr>
                      <a:picLocks noChangeAspect="1"/>
                    </pic:cNvPicPr>
                  </pic:nvPicPr>
                  <pic:blipFill>
                    <a:blip r:embed="rId86">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0" name="图片框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框 1094"/>
                    <pic:cNvPicPr>
                      <a:picLocks noChangeAspect="1"/>
                    </pic:cNvPicPr>
                  </pic:nvPicPr>
                  <pic:blipFill>
                    <a:blip r:embed="rId87">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1" name="图片框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框 1095"/>
                    <pic:cNvPicPr>
                      <a:picLocks noChangeAspect="1"/>
                    </pic:cNvPicPr>
                  </pic:nvPicPr>
                  <pic:blipFill>
                    <a:blip r:embed="rId88">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pPr>
    </w:p>
    <w:p>
      <w:pPr>
        <w:adjustRightInd w:val="0"/>
        <w:snapToGrid w:val="0"/>
        <w:spacing w:line="240" w:lineRule="auto"/>
        <w:ind w:firstLine="0" w:firstLineChars="0"/>
        <w:jc w:val="center"/>
        <w:sectPr>
          <w:pgSz w:w="11906" w:h="16838"/>
          <w:pgMar w:top="1474" w:right="1417" w:bottom="1247" w:left="1417" w:header="851" w:footer="992" w:gutter="0"/>
          <w:cols w:space="720" w:num="1"/>
          <w:docGrid w:type="lines" w:linePitch="312" w:charSpace="0"/>
        </w:sectPr>
      </w:pPr>
    </w:p>
    <w:p>
      <w:pPr>
        <w:adjustRightInd w:val="0"/>
        <w:snapToGrid w:val="0"/>
        <w:spacing w:line="240" w:lineRule="auto"/>
        <w:ind w:firstLine="0" w:firstLineChars="0"/>
        <w:jc w:val="center"/>
      </w:pPr>
    </w:p>
    <w:p>
      <w:pPr>
        <w:pStyle w:val="6"/>
        <w:ind w:firstLine="420"/>
      </w:pPr>
      <w:bookmarkStart w:id="563" w:name="_Toc13524"/>
      <w:r>
        <w:rPr>
          <w:rFonts w:hint="eastAsia"/>
        </w:rPr>
        <w:t>研发工作站</w:t>
      </w:r>
      <w:bookmarkEnd w:id="563"/>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2" name="图片框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框 1096"/>
                    <pic:cNvPicPr>
                      <a:picLocks noChangeAspect="1"/>
                    </pic:cNvPicPr>
                  </pic:nvPicPr>
                  <pic:blipFill>
                    <a:blip r:embed="rId76">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3" name="图片框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框 1097"/>
                    <pic:cNvPicPr>
                      <a:picLocks noChangeAspect="1"/>
                    </pic:cNvPicPr>
                  </pic:nvPicPr>
                  <pic:blipFill>
                    <a:blip r:embed="rId77">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4" name="图片框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框 1098"/>
                    <pic:cNvPicPr>
                      <a:picLocks noChangeAspect="1"/>
                    </pic:cNvPicPr>
                  </pic:nvPicPr>
                  <pic:blipFill>
                    <a:blip r:embed="rId78">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5" name="图片框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框 1099"/>
                    <pic:cNvPicPr>
                      <a:picLocks noChangeAspect="1"/>
                    </pic:cNvPicPr>
                  </pic:nvPicPr>
                  <pic:blipFill>
                    <a:blip r:embed="rId79">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6" name="图片框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框 1100"/>
                    <pic:cNvPicPr>
                      <a:picLocks noChangeAspect="1"/>
                    </pic:cNvPicPr>
                  </pic:nvPicPr>
                  <pic:blipFill>
                    <a:blip r:embed="rId80">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7" name="图片框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框 1101"/>
                    <pic:cNvPicPr>
                      <a:picLocks noChangeAspect="1"/>
                    </pic:cNvPicPr>
                  </pic:nvPicPr>
                  <pic:blipFill>
                    <a:blip r:embed="rId81">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8" name="图片框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框 1102"/>
                    <pic:cNvPicPr>
                      <a:picLocks noChangeAspect="1"/>
                    </pic:cNvPicPr>
                  </pic:nvPicPr>
                  <pic:blipFill>
                    <a:blip r:embed="rId82">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79" name="图片框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框 1103"/>
                    <pic:cNvPicPr>
                      <a:picLocks noChangeAspect="1"/>
                    </pic:cNvPicPr>
                  </pic:nvPicPr>
                  <pic:blipFill>
                    <a:blip r:embed="rId83">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80" name="图片框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框 1104"/>
                    <pic:cNvPicPr>
                      <a:picLocks noChangeAspect="1"/>
                    </pic:cNvPicPr>
                  </pic:nvPicPr>
                  <pic:blipFill>
                    <a:blip r:embed="rId84">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81" name="图片框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框 1105"/>
                    <pic:cNvPicPr>
                      <a:picLocks noChangeAspect="1"/>
                    </pic:cNvPicPr>
                  </pic:nvPicPr>
                  <pic:blipFill>
                    <a:blip r:embed="rId85">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82" name="图片框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框 1106"/>
                    <pic:cNvPicPr>
                      <a:picLocks noChangeAspect="1"/>
                    </pic:cNvPicPr>
                  </pic:nvPicPr>
                  <pic:blipFill>
                    <a:blip r:embed="rId86">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83" name="图片框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框 1107"/>
                    <pic:cNvPicPr>
                      <a:picLocks noChangeAspect="1"/>
                    </pic:cNvPicPr>
                  </pic:nvPicPr>
                  <pic:blipFill>
                    <a:blip r:embed="rId87">
                      <a:lum/>
                    </a:blip>
                    <a:stretch>
                      <a:fillRect/>
                    </a:stretch>
                  </pic:blipFill>
                  <pic:spPr>
                    <a:xfrm>
                      <a:off x="0" y="0"/>
                      <a:ext cx="5755005" cy="8138160"/>
                    </a:xfrm>
                    <a:prstGeom prst="rect">
                      <a:avLst/>
                    </a:prstGeom>
                    <a:noFill/>
                    <a:ln>
                      <a:noFill/>
                    </a:ln>
                  </pic:spPr>
                </pic:pic>
              </a:graphicData>
            </a:graphic>
          </wp:inline>
        </w:drawing>
      </w:r>
    </w:p>
    <w:p>
      <w:pPr>
        <w:adjustRightInd w:val="0"/>
        <w:snapToGrid w:val="0"/>
        <w:spacing w:line="240" w:lineRule="auto"/>
        <w:ind w:firstLine="0" w:firstLineChars="0"/>
        <w:jc w:val="center"/>
      </w:pPr>
      <w:r>
        <w:rPr>
          <w:rFonts w:hint="eastAsia" w:ascii="Times New Roman" w:hAnsi="Times New Roman" w:cs="Times New Roman"/>
        </w:rPr>
        <w:drawing>
          <wp:inline distT="0" distB="0" distL="114300" distR="114300">
            <wp:extent cx="5755005" cy="8138160"/>
            <wp:effectExtent l="0" t="0" r="17145" b="15240"/>
            <wp:docPr id="85" name="图片框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框 1108"/>
                    <pic:cNvPicPr>
                      <a:picLocks noChangeAspect="1"/>
                    </pic:cNvPicPr>
                  </pic:nvPicPr>
                  <pic:blipFill>
                    <a:blip r:embed="rId88">
                      <a:lum/>
                    </a:blip>
                    <a:stretch>
                      <a:fillRect/>
                    </a:stretch>
                  </pic:blipFill>
                  <pic:spPr>
                    <a:xfrm>
                      <a:off x="0" y="0"/>
                      <a:ext cx="5755005" cy="8138160"/>
                    </a:xfrm>
                    <a:prstGeom prst="rect">
                      <a:avLst/>
                    </a:prstGeom>
                    <a:noFill/>
                    <a:ln>
                      <a:noFill/>
                    </a:ln>
                  </pic:spPr>
                </pic:pic>
              </a:graphicData>
            </a:graphic>
          </wp:inline>
        </w:drawing>
      </w: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widowControl/>
        <w:spacing w:line="240" w:lineRule="auto"/>
        <w:ind w:firstLine="0" w:firstLineChars="0"/>
        <w:jc w:val="left"/>
      </w:pPr>
    </w:p>
    <w:p>
      <w:pPr>
        <w:pStyle w:val="5"/>
        <w:tabs>
          <w:tab w:val="left" w:pos="0"/>
        </w:tabs>
        <w:ind w:firstLine="480"/>
      </w:pPr>
      <w:bookmarkStart w:id="564" w:name="_Toc20650"/>
      <w:r>
        <w:rPr>
          <w:rFonts w:hint="eastAsia"/>
        </w:rPr>
        <w:t>联合体投标</w:t>
      </w:r>
      <w:bookmarkEnd w:id="564"/>
    </w:p>
    <w:p>
      <w:pPr>
        <w:ind w:firstLine="420"/>
      </w:pPr>
      <w:r>
        <w:rPr>
          <w:rFonts w:hint="eastAsia"/>
        </w:rPr>
        <w:t>本公司不属于联合体投标。</w:t>
      </w:r>
    </w:p>
    <w:p>
      <w:pPr>
        <w:widowControl/>
        <w:spacing w:line="240" w:lineRule="auto"/>
        <w:ind w:firstLine="0" w:firstLineChars="0"/>
        <w:jc w:val="left"/>
      </w:pPr>
      <w:r>
        <w:br w:type="page"/>
      </w:r>
    </w:p>
    <w:p>
      <w:pPr>
        <w:pStyle w:val="5"/>
        <w:tabs>
          <w:tab w:val="left" w:pos="0"/>
        </w:tabs>
        <w:ind w:firstLine="480"/>
      </w:pPr>
      <w:bookmarkStart w:id="565" w:name="_Toc991"/>
      <w:r>
        <w:rPr>
          <w:rFonts w:hint="eastAsia"/>
        </w:rPr>
        <w:t>其他要求</w:t>
      </w:r>
      <w:bookmarkEnd w:id="565"/>
    </w:p>
    <w:p>
      <w:pPr>
        <w:ind w:firstLine="420"/>
      </w:pPr>
      <w:r>
        <w:rPr>
          <w:rFonts w:hint="eastAsia"/>
        </w:rPr>
        <w:t>本公司无其他要求</w:t>
      </w:r>
    </w:p>
    <w:p>
      <w:pPr>
        <w:widowControl/>
        <w:spacing w:line="240" w:lineRule="auto"/>
        <w:ind w:firstLine="0" w:firstLineChars="0"/>
        <w:jc w:val="left"/>
      </w:pPr>
      <w:r>
        <w:br w:type="page"/>
      </w:r>
    </w:p>
    <w:p>
      <w:pPr>
        <w:pStyle w:val="5"/>
        <w:tabs>
          <w:tab w:val="left" w:pos="0"/>
        </w:tabs>
        <w:ind w:firstLine="480"/>
      </w:pPr>
      <w:bookmarkStart w:id="566" w:name="_Toc7909"/>
      <w:r>
        <w:rPr>
          <w:rFonts w:hint="eastAsia"/>
        </w:rPr>
        <w:t>价格扣除优惠政策</w:t>
      </w:r>
      <w:bookmarkEnd w:id="566"/>
    </w:p>
    <w:p>
      <w:pPr>
        <w:ind w:firstLine="420"/>
      </w:pPr>
      <w:r>
        <w:rPr>
          <w:rFonts w:hint="eastAsia"/>
        </w:rPr>
        <w:t>本公司无扣除优惠政策</w:t>
      </w:r>
    </w:p>
    <w:p>
      <w:pPr>
        <w:pStyle w:val="2"/>
        <w:ind w:left="0" w:leftChars="0" w:firstLine="0" w:firstLineChars="0"/>
        <w:rPr>
          <w:rFonts w:hint="default" w:cs="宋体"/>
          <w:lang w:val="en-US" w:eastAsia="zh-CN"/>
        </w:rPr>
        <w:sectPr>
          <w:pgSz w:w="11900" w:h="16840"/>
          <w:pgMar w:top="500" w:right="560" w:bottom="280" w:left="540" w:header="0" w:footer="13" w:gutter="0"/>
          <w:cols w:space="720" w:num="1"/>
        </w:sectPr>
      </w:pPr>
    </w:p>
    <w:p>
      <w:pPr>
        <w:rPr>
          <w:rFonts w:hint="eastAsia" w:ascii="宋体" w:hAnsi="宋体" w:eastAsia="宋体" w:cs="宋体"/>
          <w:lang w:val="en-US" w:eastAsia="zh-CN"/>
        </w:rPr>
      </w:pPr>
      <w:r>
        <w:rPr>
          <w:rFonts w:hint="eastAsia" w:ascii="宋体" w:hAnsi="宋体" w:eastAsia="宋体" w:cs="宋体"/>
          <w:lang w:val="en-US" w:eastAsia="zh-CN"/>
        </w:rPr>
        <w:br w:type="page"/>
      </w:r>
    </w:p>
    <w:p>
      <w:pPr>
        <w:pStyle w:val="2"/>
        <w:rPr>
          <w:rFonts w:hint="eastAsia" w:ascii="宋体" w:hAnsi="宋体" w:eastAsia="宋体" w:cs="宋体"/>
          <w:lang w:val="en-US"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MS UI Gothic">
    <w:panose1 w:val="020B0600070205080204"/>
    <w:charset w:val="80"/>
    <w:family w:val="swiss"/>
    <w:pitch w:val="default"/>
    <w:sig w:usb0="E00002FF" w:usb1="6AC7FDFB" w:usb2="08000012" w:usb3="00000000" w:csb0="4002009F" w:csb1="DFD7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line="14" w:lineRule="auto"/>
      <w:rPr>
        <w:sz w:val="20"/>
      </w:rPr>
    </w:pPr>
    <w:r>
      <mc:AlternateContent>
        <mc:Choice Requires="wps">
          <w:drawing>
            <wp:anchor distT="0" distB="0" distL="114300" distR="114300" simplePos="0" relativeHeight="251660288" behindDoc="1" locked="0" layoutInCell="1" allowOverlap="1">
              <wp:simplePos x="0" y="0"/>
              <wp:positionH relativeFrom="page">
                <wp:posOffset>3506470</wp:posOffset>
              </wp:positionH>
              <wp:positionV relativeFrom="page">
                <wp:posOffset>10494645</wp:posOffset>
              </wp:positionV>
              <wp:extent cx="537845" cy="2032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537845" cy="203200"/>
                      </a:xfrm>
                      <a:prstGeom prst="rect">
                        <a:avLst/>
                      </a:prstGeom>
                      <a:noFill/>
                      <a:ln>
                        <a:noFill/>
                      </a:ln>
                    </wps:spPr>
                    <wps:txbx>
                      <w:txbxContent>
                        <w:p>
                          <w:pPr>
                            <w:spacing w:before="2"/>
                            <w:ind w:left="20" w:right="0" w:firstLine="0"/>
                            <w:jc w:val="left"/>
                            <w:rPr>
                              <w:rFonts w:hint="eastAsia" w:ascii="MS UI Gothic" w:eastAsia="MS UI Gothic"/>
                              <w:sz w:val="24"/>
                            </w:rPr>
                          </w:pPr>
                          <w:r>
                            <w:rPr>
                              <w:rFonts w:hint="eastAsia" w:ascii="MS UI Gothic" w:eastAsia="MS UI Gothic"/>
                              <w:w w:val="95"/>
                              <w:sz w:val="24"/>
                            </w:rPr>
                            <w:t>-</w:t>
                          </w:r>
                          <w:r>
                            <w:rPr>
                              <w:w w:val="95"/>
                              <w:sz w:val="24"/>
                            </w:rPr>
                            <w:t>第</w:t>
                          </w:r>
                          <w:r>
                            <w:fldChar w:fldCharType="begin"/>
                          </w:r>
                          <w:r>
                            <w:rPr>
                              <w:rFonts w:hint="eastAsia" w:ascii="MS UI Gothic" w:eastAsia="MS UI Gothic"/>
                              <w:w w:val="95"/>
                              <w:sz w:val="24"/>
                            </w:rPr>
                            <w:instrText xml:space="preserve"> PAGE </w:instrText>
                          </w:r>
                          <w:r>
                            <w:fldChar w:fldCharType="separate"/>
                          </w:r>
                          <w:r>
                            <w:t>5</w:t>
                          </w:r>
                          <w:r>
                            <w:fldChar w:fldCharType="end"/>
                          </w:r>
                          <w:r>
                            <w:rPr>
                              <w:w w:val="95"/>
                              <w:sz w:val="24"/>
                            </w:rPr>
                            <w:t>页</w:t>
                          </w:r>
                          <w:r>
                            <w:rPr>
                              <w:rFonts w:hint="eastAsia" w:ascii="MS UI Gothic" w:eastAsia="MS UI Gothic"/>
                              <w:w w:val="95"/>
                              <w:sz w:val="24"/>
                            </w:rPr>
                            <w:t>-</w:t>
                          </w:r>
                        </w:p>
                      </w:txbxContent>
                    </wps:txbx>
                    <wps:bodyPr lIns="0" tIns="0" rIns="0" bIns="0" upright="1"/>
                  </wps:wsp>
                </a:graphicData>
              </a:graphic>
            </wp:anchor>
          </w:drawing>
        </mc:Choice>
        <mc:Fallback>
          <w:pict>
            <v:shape id="_x0000_s1026" o:spid="_x0000_s1026" o:spt="202" type="#_x0000_t202" style="position:absolute;left:0pt;margin-left:276.1pt;margin-top:826.35pt;height:16pt;width:42.35pt;mso-position-horizontal-relative:page;mso-position-vertical-relative:page;z-index:-251656192;mso-width-relative:page;mso-height-relative:page;" filled="f" stroked="f" coordsize="21600,21600" o:gfxdata="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NQgVajbAAAADQEAAA8AAAAAAAAAAQAgAAAAIgAAAGRycy9kb3ducmV2LnhtbFBL&#10;AQIUABQAAAAIAIdO4kBcvoRaugEAAHMDAAAOAAAAAAAAAAEAIAAAACoBAABkcnMvZTJvRG9jLnht&#10;bFBLBQYAAAAABgAGAFkBAABWBQAAAAA=&#10;">
              <v:fill on="f" focussize="0,0"/>
              <v:stroke on="f"/>
              <v:imagedata o:title=""/>
              <o:lock v:ext="edit" aspectratio="f"/>
              <v:textbox inset="0mm,0mm,0mm,0mm">
                <w:txbxContent>
                  <w:p>
                    <w:pPr>
                      <w:spacing w:before="2"/>
                      <w:ind w:left="20" w:right="0" w:firstLine="0"/>
                      <w:jc w:val="left"/>
                      <w:rPr>
                        <w:rFonts w:hint="eastAsia" w:ascii="MS UI Gothic" w:eastAsia="MS UI Gothic"/>
                        <w:sz w:val="24"/>
                      </w:rPr>
                    </w:pPr>
                    <w:r>
                      <w:rPr>
                        <w:rFonts w:hint="eastAsia" w:ascii="MS UI Gothic" w:eastAsia="MS UI Gothic"/>
                        <w:w w:val="95"/>
                        <w:sz w:val="24"/>
                      </w:rPr>
                      <w:t>-</w:t>
                    </w:r>
                    <w:r>
                      <w:rPr>
                        <w:w w:val="95"/>
                        <w:sz w:val="24"/>
                      </w:rPr>
                      <w:t>第</w:t>
                    </w:r>
                    <w:r>
                      <w:fldChar w:fldCharType="begin"/>
                    </w:r>
                    <w:r>
                      <w:rPr>
                        <w:rFonts w:hint="eastAsia" w:ascii="MS UI Gothic" w:eastAsia="MS UI Gothic"/>
                        <w:w w:val="95"/>
                        <w:sz w:val="24"/>
                      </w:rPr>
                      <w:instrText xml:space="preserve"> PAGE </w:instrText>
                    </w:r>
                    <w:r>
                      <w:fldChar w:fldCharType="separate"/>
                    </w:r>
                    <w:r>
                      <w:t>5</w:t>
                    </w:r>
                    <w:r>
                      <w:fldChar w:fldCharType="end"/>
                    </w:r>
                    <w:r>
                      <w:rPr>
                        <w:w w:val="95"/>
                        <w:sz w:val="24"/>
                      </w:rPr>
                      <w:t>页</w:t>
                    </w:r>
                    <w:r>
                      <w:rPr>
                        <w:rFonts w:hint="eastAsia" w:ascii="MS UI Gothic" w:eastAsia="MS UI Gothic"/>
                        <w:w w:val="95"/>
                        <w:sz w:val="24"/>
                      </w:rPr>
                      <w:t>-</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r>
      <w:rPr>
        <w:rFonts w:ascii="Times New Roman" w:hAnsi="Times New Roman" w:cs="Times New Roman"/>
      </w:rPr>
      <mc:AlternateContent>
        <mc:Choice Requires="wps">
          <w:drawing>
            <wp:anchor distT="0" distB="0" distL="114300" distR="114300" simplePos="0" relativeHeight="251667456" behindDoc="0" locked="0" layoutInCell="1" allowOverlap="1">
              <wp:simplePos x="0" y="0"/>
              <wp:positionH relativeFrom="margin">
                <wp:posOffset>2402840</wp:posOffset>
              </wp:positionH>
              <wp:positionV relativeFrom="paragraph">
                <wp:posOffset>5715</wp:posOffset>
              </wp:positionV>
              <wp:extent cx="873760" cy="149860"/>
              <wp:effectExtent l="0" t="0" r="0" b="0"/>
              <wp:wrapNone/>
              <wp:docPr id="84" name="文本框 19"/>
              <wp:cNvGraphicFramePr/>
              <a:graphic xmlns:a="http://schemas.openxmlformats.org/drawingml/2006/main">
                <a:graphicData uri="http://schemas.microsoft.com/office/word/2010/wordprocessingShape">
                  <wps:wsp>
                    <wps:cNvSpPr/>
                    <wps:spPr>
                      <a:xfrm>
                        <a:off x="0" y="0"/>
                        <a:ext cx="873457" cy="150126"/>
                      </a:xfrm>
                      <a:prstGeom prst="rect">
                        <a:avLst/>
                      </a:prstGeom>
                      <a:noFill/>
                      <a:ln>
                        <a:noFill/>
                      </a:ln>
                    </wps:spPr>
                    <wps:txbx>
                      <w:txbxContent>
                        <w:p>
                          <w:pPr>
                            <w:pStyle w:val="12"/>
                            <w:ind w:firstLine="0" w:firstLineChars="0"/>
                            <w:rPr>
                              <w:rFonts w:hint="eastAsia" w:ascii="宋体" w:hAnsi="宋体"/>
                              <w:b/>
                              <w:bCs/>
                              <w:lang w:val="en-US" w:eastAsia="zh-CN"/>
                            </w:rPr>
                          </w:pPr>
                          <w:r>
                            <w:rPr>
                              <w:rFonts w:ascii="宋体" w:hAnsi="宋体"/>
                              <w:b/>
                              <w:bCs/>
                            </w:rPr>
                            <w:t>第</w:t>
                          </w:r>
                          <w:r>
                            <w:rPr>
                              <w:rFonts w:ascii="宋体" w:hAnsi="宋体"/>
                              <w:b/>
                              <w:bCs/>
                            </w:rPr>
                            <w:fldChar w:fldCharType="begin"/>
                          </w:r>
                          <w:r>
                            <w:rPr>
                              <w:rFonts w:ascii="宋体" w:hAnsi="宋体"/>
                              <w:b/>
                              <w:bCs/>
                            </w:rPr>
                            <w:instrText xml:space="preserve"> PAGE  \* MERGEFORMAT </w:instrText>
                          </w:r>
                          <w:r>
                            <w:rPr>
                              <w:rFonts w:ascii="宋体" w:hAnsi="宋体"/>
                              <w:b/>
                              <w:bCs/>
                            </w:rPr>
                            <w:fldChar w:fldCharType="separate"/>
                          </w:r>
                          <w:r>
                            <w:rPr>
                              <w:rFonts w:ascii="宋体" w:hAnsi="宋体"/>
                              <w:b/>
                              <w:bCs/>
                            </w:rPr>
                            <w:t>2</w:t>
                          </w:r>
                          <w:r>
                            <w:rPr>
                              <w:rFonts w:ascii="宋体" w:hAnsi="宋体"/>
                              <w:b/>
                              <w:bCs/>
                            </w:rPr>
                            <w:fldChar w:fldCharType="end"/>
                          </w:r>
                          <w:r>
                            <w:rPr>
                              <w:rFonts w:ascii="宋体" w:hAnsi="宋体"/>
                              <w:b/>
                              <w:bCs/>
                            </w:rPr>
                            <w:t>页共1</w:t>
                          </w:r>
                          <w:r>
                            <w:rPr>
                              <w:rFonts w:hint="eastAsia" w:ascii="宋体" w:hAnsi="宋体"/>
                              <w:b/>
                              <w:bCs/>
                              <w:lang w:val="en-US" w:eastAsia="zh-CN"/>
                            </w:rPr>
                            <w:t>49页</w:t>
                          </w:r>
                        </w:p>
                        <w:p>
                          <w:pPr>
                            <w:pStyle w:val="12"/>
                            <w:ind w:firstLine="0" w:firstLineChars="0"/>
                            <w:rPr>
                              <w:rFonts w:ascii="宋体" w:hAnsi="宋体"/>
                              <w:b/>
                              <w:bCs/>
                            </w:rPr>
                          </w:pPr>
                          <w:r>
                            <w:rPr>
                              <w:rFonts w:ascii="宋体" w:hAnsi="宋体"/>
                              <w:b/>
                              <w:bCs/>
                            </w:rPr>
                            <w:t>页</w:t>
                          </w:r>
                        </w:p>
                      </w:txbxContent>
                    </wps:txbx>
                    <wps:bodyPr wrap="square" lIns="0" tIns="0" rIns="0" bIns="0" upright="1">
                      <a:noAutofit/>
                    </wps:bodyPr>
                  </wps:wsp>
                </a:graphicData>
              </a:graphic>
            </wp:anchor>
          </w:drawing>
        </mc:Choice>
        <mc:Fallback>
          <w:pict>
            <v:rect id="文本框 19" o:spid="_x0000_s1026" o:spt="1" style="position:absolute;left:0pt;margin-left:189.2pt;margin-top:0.45pt;height:11.8pt;width:68.8pt;mso-position-horizontal-relative:margin;z-index:251667456;mso-width-relative:page;mso-height-relative:page;" filled="f" stroked="f" coordsize="21600,21600" o:gfxdata="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23yrM2QAAAAcBAAAPAAAAAAAAAAEAIAAAACIAAABk&#10;cnMvZG93bnJldi54bWxQSwECFAAUAAAACACHTuJA3uCtpMwBAACRAwAADgAAAAAAAAABACAAAAAo&#10;AQAAZHJzL2Uyb0RvYy54bWxQSwUGAAAAAAYABgBZAQAAZgUAAAAA&#10;">
              <v:fill on="f" focussize="0,0"/>
              <v:stroke on="f"/>
              <v:imagedata o:title=""/>
              <o:lock v:ext="edit" aspectratio="f"/>
              <v:textbox inset="0mm,0mm,0mm,0mm">
                <w:txbxContent>
                  <w:p>
                    <w:pPr>
                      <w:pStyle w:val="12"/>
                      <w:ind w:firstLine="0" w:firstLineChars="0"/>
                      <w:rPr>
                        <w:rFonts w:hint="eastAsia" w:ascii="宋体" w:hAnsi="宋体"/>
                        <w:b/>
                        <w:bCs/>
                        <w:lang w:val="en-US" w:eastAsia="zh-CN"/>
                      </w:rPr>
                    </w:pPr>
                    <w:r>
                      <w:rPr>
                        <w:rFonts w:ascii="宋体" w:hAnsi="宋体"/>
                        <w:b/>
                        <w:bCs/>
                      </w:rPr>
                      <w:t>第</w:t>
                    </w:r>
                    <w:r>
                      <w:rPr>
                        <w:rFonts w:ascii="宋体" w:hAnsi="宋体"/>
                        <w:b/>
                        <w:bCs/>
                      </w:rPr>
                      <w:fldChar w:fldCharType="begin"/>
                    </w:r>
                    <w:r>
                      <w:rPr>
                        <w:rFonts w:ascii="宋体" w:hAnsi="宋体"/>
                        <w:b/>
                        <w:bCs/>
                      </w:rPr>
                      <w:instrText xml:space="preserve"> PAGE  \* MERGEFORMAT </w:instrText>
                    </w:r>
                    <w:r>
                      <w:rPr>
                        <w:rFonts w:ascii="宋体" w:hAnsi="宋体"/>
                        <w:b/>
                        <w:bCs/>
                      </w:rPr>
                      <w:fldChar w:fldCharType="separate"/>
                    </w:r>
                    <w:r>
                      <w:rPr>
                        <w:rFonts w:ascii="宋体" w:hAnsi="宋体"/>
                        <w:b/>
                        <w:bCs/>
                      </w:rPr>
                      <w:t>2</w:t>
                    </w:r>
                    <w:r>
                      <w:rPr>
                        <w:rFonts w:ascii="宋体" w:hAnsi="宋体"/>
                        <w:b/>
                        <w:bCs/>
                      </w:rPr>
                      <w:fldChar w:fldCharType="end"/>
                    </w:r>
                    <w:r>
                      <w:rPr>
                        <w:rFonts w:ascii="宋体" w:hAnsi="宋体"/>
                        <w:b/>
                        <w:bCs/>
                      </w:rPr>
                      <w:t>页共1</w:t>
                    </w:r>
                    <w:r>
                      <w:rPr>
                        <w:rFonts w:hint="eastAsia" w:ascii="宋体" w:hAnsi="宋体"/>
                        <w:b/>
                        <w:bCs/>
                        <w:lang w:val="en-US" w:eastAsia="zh-CN"/>
                      </w:rPr>
                      <w:t>49页</w:t>
                    </w:r>
                  </w:p>
                  <w:p>
                    <w:pPr>
                      <w:pStyle w:val="12"/>
                      <w:ind w:firstLine="0" w:firstLineChars="0"/>
                      <w:rPr>
                        <w:rFonts w:ascii="宋体" w:hAnsi="宋体"/>
                        <w:b/>
                        <w:bCs/>
                      </w:rPr>
                    </w:pPr>
                    <w:r>
                      <w:rPr>
                        <w:rFonts w:ascii="宋体" w:hAnsi="宋体"/>
                        <w:b/>
                        <w:bCs/>
                      </w:rPr>
                      <w:t>页</w:t>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line="14" w:lineRule="auto"/>
      <w:rPr>
        <w:sz w:val="20"/>
      </w:rPr>
    </w:pPr>
    <w:r>
      <mc:AlternateContent>
        <mc:Choice Requires="wps">
          <w:drawing>
            <wp:anchor distT="0" distB="0" distL="114300" distR="114300" simplePos="0" relativeHeight="251660288" behindDoc="1" locked="0" layoutInCell="1" allowOverlap="1">
              <wp:simplePos x="0" y="0"/>
              <wp:positionH relativeFrom="page">
                <wp:posOffset>3506470</wp:posOffset>
              </wp:positionH>
              <wp:positionV relativeFrom="page">
                <wp:posOffset>10494645</wp:posOffset>
              </wp:positionV>
              <wp:extent cx="537845" cy="2032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537845" cy="203200"/>
                      </a:xfrm>
                      <a:prstGeom prst="rect">
                        <a:avLst/>
                      </a:prstGeom>
                      <a:noFill/>
                      <a:ln>
                        <a:noFill/>
                      </a:ln>
                    </wps:spPr>
                    <wps:txbx>
                      <w:txbxContent>
                        <w:p>
                          <w:pPr>
                            <w:spacing w:before="2"/>
                            <w:ind w:left="20" w:right="0" w:firstLine="0"/>
                            <w:jc w:val="left"/>
                            <w:rPr>
                              <w:rFonts w:hint="eastAsia" w:ascii="MS UI Gothic" w:eastAsia="MS UI Gothic"/>
                              <w:sz w:val="24"/>
                            </w:rPr>
                          </w:pPr>
                          <w:r>
                            <w:rPr>
                              <w:rFonts w:hint="eastAsia" w:ascii="MS UI Gothic" w:eastAsia="MS UI Gothic"/>
                              <w:w w:val="95"/>
                              <w:sz w:val="24"/>
                            </w:rPr>
                            <w:t>-</w:t>
                          </w:r>
                          <w:r>
                            <w:rPr>
                              <w:w w:val="95"/>
                              <w:sz w:val="24"/>
                            </w:rPr>
                            <w:t>第</w:t>
                          </w:r>
                          <w:r>
                            <w:fldChar w:fldCharType="begin"/>
                          </w:r>
                          <w:r>
                            <w:rPr>
                              <w:rFonts w:hint="eastAsia" w:ascii="MS UI Gothic" w:eastAsia="MS UI Gothic"/>
                              <w:w w:val="95"/>
                              <w:sz w:val="24"/>
                            </w:rPr>
                            <w:instrText xml:space="preserve"> PAGE </w:instrText>
                          </w:r>
                          <w:r>
                            <w:fldChar w:fldCharType="separate"/>
                          </w:r>
                          <w:r>
                            <w:t>5</w:t>
                          </w:r>
                          <w:r>
                            <w:fldChar w:fldCharType="end"/>
                          </w:r>
                          <w:r>
                            <w:rPr>
                              <w:w w:val="95"/>
                              <w:sz w:val="24"/>
                            </w:rPr>
                            <w:t>页</w:t>
                          </w:r>
                          <w:r>
                            <w:rPr>
                              <w:rFonts w:hint="eastAsia" w:ascii="MS UI Gothic" w:eastAsia="MS UI Gothic"/>
                              <w:w w:val="95"/>
                              <w:sz w:val="24"/>
                            </w:rPr>
                            <w:t>-</w:t>
                          </w:r>
                        </w:p>
                      </w:txbxContent>
                    </wps:txbx>
                    <wps:bodyPr lIns="0" tIns="0" rIns="0" bIns="0" upright="1"/>
                  </wps:wsp>
                </a:graphicData>
              </a:graphic>
            </wp:anchor>
          </w:drawing>
        </mc:Choice>
        <mc:Fallback>
          <w:pict>
            <v:shape id="_x0000_s1026" o:spid="_x0000_s1026" o:spt="202" type="#_x0000_t202" style="position:absolute;left:0pt;margin-left:276.1pt;margin-top:826.35pt;height:16pt;width:42.35pt;mso-position-horizontal-relative:page;mso-position-vertical-relative:page;z-index:-251656192;mso-width-relative:page;mso-height-relative:page;" filled="f" stroked="f" coordsize="21600,21600" o:gfxdata="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NQgVajbAAAADQEAAA8AAAAAAAAAAQAgAAAAIgAAAGRycy9kb3ducmV2LnhtbFBL&#10;AQIUABQAAAAIAIdO4kCXQYkxugEAAHMDAAAOAAAAAAAAAAEAIAAAACoBAABkcnMvZTJvRG9jLnht&#10;bFBLBQYAAAAABgAGAFkBAABWBQAAAAA=&#10;">
              <v:fill on="f" focussize="0,0"/>
              <v:stroke on="f"/>
              <v:imagedata o:title=""/>
              <o:lock v:ext="edit" aspectratio="f"/>
              <v:textbox inset="0mm,0mm,0mm,0mm">
                <w:txbxContent>
                  <w:p>
                    <w:pPr>
                      <w:spacing w:before="2"/>
                      <w:ind w:left="20" w:right="0" w:firstLine="0"/>
                      <w:jc w:val="left"/>
                      <w:rPr>
                        <w:rFonts w:hint="eastAsia" w:ascii="MS UI Gothic" w:eastAsia="MS UI Gothic"/>
                        <w:sz w:val="24"/>
                      </w:rPr>
                    </w:pPr>
                    <w:r>
                      <w:rPr>
                        <w:rFonts w:hint="eastAsia" w:ascii="MS UI Gothic" w:eastAsia="MS UI Gothic"/>
                        <w:w w:val="95"/>
                        <w:sz w:val="24"/>
                      </w:rPr>
                      <w:t>-</w:t>
                    </w:r>
                    <w:r>
                      <w:rPr>
                        <w:w w:val="95"/>
                        <w:sz w:val="24"/>
                      </w:rPr>
                      <w:t>第</w:t>
                    </w:r>
                    <w:r>
                      <w:fldChar w:fldCharType="begin"/>
                    </w:r>
                    <w:r>
                      <w:rPr>
                        <w:rFonts w:hint="eastAsia" w:ascii="MS UI Gothic" w:eastAsia="MS UI Gothic"/>
                        <w:w w:val="95"/>
                        <w:sz w:val="24"/>
                      </w:rPr>
                      <w:instrText xml:space="preserve"> PAGE </w:instrText>
                    </w:r>
                    <w:r>
                      <w:fldChar w:fldCharType="separate"/>
                    </w:r>
                    <w:r>
                      <w:t>5</w:t>
                    </w:r>
                    <w:r>
                      <w:fldChar w:fldCharType="end"/>
                    </w:r>
                    <w:r>
                      <w:rPr>
                        <w:w w:val="95"/>
                        <w:sz w:val="24"/>
                      </w:rPr>
                      <w:t>页</w:t>
                    </w:r>
                    <w:r>
                      <w:rPr>
                        <w:rFonts w:hint="eastAsia" w:ascii="MS UI Gothic" w:eastAsia="MS UI Gothic"/>
                        <w:w w:val="95"/>
                        <w:sz w:val="24"/>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line="14" w:lineRule="auto"/>
      <w:rPr>
        <w:sz w:val="20"/>
      </w:rPr>
    </w:pPr>
    <w:r>
      <mc:AlternateContent>
        <mc:Choice Requires="wps">
          <w:drawing>
            <wp:anchor distT="0" distB="0" distL="114300" distR="114300" simplePos="0" relativeHeight="251661312" behindDoc="1" locked="0" layoutInCell="1" allowOverlap="1">
              <wp:simplePos x="0" y="0"/>
              <wp:positionH relativeFrom="page">
                <wp:posOffset>3458845</wp:posOffset>
              </wp:positionH>
              <wp:positionV relativeFrom="page">
                <wp:posOffset>10494645</wp:posOffset>
              </wp:positionV>
              <wp:extent cx="633095" cy="2032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633095" cy="203200"/>
                      </a:xfrm>
                      <a:prstGeom prst="rect">
                        <a:avLst/>
                      </a:prstGeom>
                      <a:noFill/>
                      <a:ln>
                        <a:noFill/>
                      </a:ln>
                    </wps:spPr>
                    <wps:txbx>
                      <w:txbxContent>
                        <w:p>
                          <w:pPr>
                            <w:spacing w:before="2"/>
                            <w:ind w:left="20" w:right="0" w:firstLine="0"/>
                            <w:jc w:val="left"/>
                            <w:rPr>
                              <w:rFonts w:hint="eastAsia" w:ascii="MS UI Gothic" w:eastAsia="MS UI Gothic"/>
                              <w:sz w:val="24"/>
                            </w:rPr>
                          </w:pPr>
                          <w:r>
                            <w:rPr>
                              <w:rFonts w:hint="eastAsia" w:ascii="MS UI Gothic" w:eastAsia="MS UI Gothic"/>
                              <w:sz w:val="24"/>
                            </w:rPr>
                            <w:t>-</w:t>
                          </w:r>
                          <w:r>
                            <w:rPr>
                              <w:sz w:val="24"/>
                            </w:rPr>
                            <w:t>第</w:t>
                          </w:r>
                          <w:r>
                            <w:fldChar w:fldCharType="begin"/>
                          </w:r>
                          <w:r>
                            <w:rPr>
                              <w:rFonts w:hint="eastAsia" w:ascii="MS UI Gothic" w:eastAsia="MS UI Gothic"/>
                              <w:sz w:val="24"/>
                            </w:rPr>
                            <w:instrText xml:space="preserve"> PAGE </w:instrText>
                          </w:r>
                          <w:r>
                            <w:fldChar w:fldCharType="separate"/>
                          </w:r>
                          <w:r>
                            <w:t>16</w:t>
                          </w:r>
                          <w:r>
                            <w:fldChar w:fldCharType="end"/>
                          </w:r>
                          <w:r>
                            <w:rPr>
                              <w:sz w:val="24"/>
                            </w:rPr>
                            <w:t>页</w:t>
                          </w:r>
                          <w:r>
                            <w:rPr>
                              <w:rFonts w:hint="eastAsia" w:ascii="MS UI Gothic" w:eastAsia="MS UI Gothic"/>
                              <w:sz w:val="24"/>
                            </w:rPr>
                            <w:t>-</w:t>
                          </w:r>
                        </w:p>
                      </w:txbxContent>
                    </wps:txbx>
                    <wps:bodyPr lIns="0" tIns="0" rIns="0" bIns="0" upright="1"/>
                  </wps:wsp>
                </a:graphicData>
              </a:graphic>
            </wp:anchor>
          </w:drawing>
        </mc:Choice>
        <mc:Fallback>
          <w:pict>
            <v:shape id="_x0000_s1026" o:spid="_x0000_s1026" o:spt="202" type="#_x0000_t202" style="position:absolute;left:0pt;margin-left:272.35pt;margin-top:826.35pt;height:16pt;width:49.85pt;mso-position-horizontal-relative:page;mso-position-vertical-relative:page;z-index:-251655168;mso-width-relative:page;mso-height-relative:page;" filled="f" stroked="f" coordsize="21600,21600" o:gfxdata="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arjuNoAAAANAQAADwAAAAAAAAABACAAAAAiAAAAZHJzL2Rvd25yZXYueG1sUEsB&#10;AhQAFAAAAAgAh07iQH/zWvK6AQAAcwMAAA4AAAAAAAAAAQAgAAAAKQEAAGRycy9lMm9Eb2MueG1s&#10;UEsFBgAAAAAGAAYAWQEAAFUFAAAAAA==&#10;">
              <v:fill on="f" focussize="0,0"/>
              <v:stroke on="f"/>
              <v:imagedata o:title=""/>
              <o:lock v:ext="edit" aspectratio="f"/>
              <v:textbox inset="0mm,0mm,0mm,0mm">
                <w:txbxContent>
                  <w:p>
                    <w:pPr>
                      <w:spacing w:before="2"/>
                      <w:ind w:left="20" w:right="0" w:firstLine="0"/>
                      <w:jc w:val="left"/>
                      <w:rPr>
                        <w:rFonts w:hint="eastAsia" w:ascii="MS UI Gothic" w:eastAsia="MS UI Gothic"/>
                        <w:sz w:val="24"/>
                      </w:rPr>
                    </w:pPr>
                    <w:r>
                      <w:rPr>
                        <w:rFonts w:hint="eastAsia" w:ascii="MS UI Gothic" w:eastAsia="MS UI Gothic"/>
                        <w:sz w:val="24"/>
                      </w:rPr>
                      <w:t>-</w:t>
                    </w:r>
                    <w:r>
                      <w:rPr>
                        <w:sz w:val="24"/>
                      </w:rPr>
                      <w:t>第</w:t>
                    </w:r>
                    <w:r>
                      <w:fldChar w:fldCharType="begin"/>
                    </w:r>
                    <w:r>
                      <w:rPr>
                        <w:rFonts w:hint="eastAsia" w:ascii="MS UI Gothic" w:eastAsia="MS UI Gothic"/>
                        <w:sz w:val="24"/>
                      </w:rPr>
                      <w:instrText xml:space="preserve"> PAGE </w:instrText>
                    </w:r>
                    <w:r>
                      <w:fldChar w:fldCharType="separate"/>
                    </w:r>
                    <w:r>
                      <w:t>16</w:t>
                    </w:r>
                    <w:r>
                      <w:fldChar w:fldCharType="end"/>
                    </w:r>
                    <w:r>
                      <w:rPr>
                        <w:sz w:val="24"/>
                      </w:rPr>
                      <w:t>页</w:t>
                    </w:r>
                    <w:r>
                      <w:rPr>
                        <w:rFonts w:hint="eastAsia" w:ascii="MS UI Gothic" w:eastAsia="MS UI Gothic"/>
                        <w:sz w:val="24"/>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line="14" w:lineRule="auto"/>
      <w:rPr>
        <w:sz w:val="20"/>
      </w:rPr>
    </w:pPr>
    <w:r>
      <mc:AlternateContent>
        <mc:Choice Requires="wps">
          <w:drawing>
            <wp:anchor distT="0" distB="0" distL="114300" distR="114300" simplePos="0" relativeHeight="251662336" behindDoc="1" locked="0" layoutInCell="1" allowOverlap="1">
              <wp:simplePos x="0" y="0"/>
              <wp:positionH relativeFrom="page">
                <wp:posOffset>3458845</wp:posOffset>
              </wp:positionH>
              <wp:positionV relativeFrom="page">
                <wp:posOffset>10494645</wp:posOffset>
              </wp:positionV>
              <wp:extent cx="633095" cy="2032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633095" cy="203200"/>
                      </a:xfrm>
                      <a:prstGeom prst="rect">
                        <a:avLst/>
                      </a:prstGeom>
                      <a:noFill/>
                      <a:ln>
                        <a:noFill/>
                      </a:ln>
                    </wps:spPr>
                    <wps:txbx>
                      <w:txbxContent>
                        <w:p>
                          <w:pPr>
                            <w:spacing w:before="2"/>
                            <w:ind w:left="20" w:right="0" w:firstLine="0"/>
                            <w:jc w:val="left"/>
                            <w:rPr>
                              <w:rFonts w:hint="eastAsia" w:ascii="MS UI Gothic" w:eastAsia="MS UI Gothic"/>
                              <w:sz w:val="24"/>
                            </w:rPr>
                          </w:pPr>
                          <w:r>
                            <w:rPr>
                              <w:rFonts w:hint="eastAsia" w:ascii="MS UI Gothic" w:eastAsia="MS UI Gothic"/>
                              <w:sz w:val="24"/>
                            </w:rPr>
                            <w:t>-</w:t>
                          </w:r>
                          <w:r>
                            <w:rPr>
                              <w:sz w:val="24"/>
                            </w:rPr>
                            <w:t>第</w:t>
                          </w:r>
                          <w:r>
                            <w:fldChar w:fldCharType="begin"/>
                          </w:r>
                          <w:r>
                            <w:rPr>
                              <w:rFonts w:hint="eastAsia" w:ascii="MS UI Gothic" w:eastAsia="MS UI Gothic"/>
                              <w:sz w:val="24"/>
                            </w:rPr>
                            <w:instrText xml:space="preserve"> PAGE </w:instrText>
                          </w:r>
                          <w:r>
                            <w:fldChar w:fldCharType="separate"/>
                          </w:r>
                          <w:r>
                            <w:t>20</w:t>
                          </w:r>
                          <w:r>
                            <w:fldChar w:fldCharType="end"/>
                          </w:r>
                          <w:r>
                            <w:rPr>
                              <w:sz w:val="24"/>
                            </w:rPr>
                            <w:t>页</w:t>
                          </w:r>
                          <w:r>
                            <w:rPr>
                              <w:rFonts w:hint="eastAsia" w:ascii="MS UI Gothic" w:eastAsia="MS UI Gothic"/>
                              <w:sz w:val="24"/>
                            </w:rPr>
                            <w:t>-</w:t>
                          </w:r>
                        </w:p>
                      </w:txbxContent>
                    </wps:txbx>
                    <wps:bodyPr lIns="0" tIns="0" rIns="0" bIns="0" upright="1"/>
                  </wps:wsp>
                </a:graphicData>
              </a:graphic>
            </wp:anchor>
          </w:drawing>
        </mc:Choice>
        <mc:Fallback>
          <w:pict>
            <v:shape id="_x0000_s1026" o:spid="_x0000_s1026" o:spt="202" type="#_x0000_t202" style="position:absolute;left:0pt;margin-left:272.35pt;margin-top:826.35pt;height:16pt;width:49.85pt;mso-position-horizontal-relative:page;mso-position-vertical-relative:page;z-index:-251654144;mso-width-relative:page;mso-height-relative:page;" filled="f" stroked="f" coordsize="21600,21600" o:gfxdata="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arjuNoAAAANAQAADwAAAAAAAAABACAAAAAiAAAAZHJzL2Rvd25yZXYueG1sUEsB&#10;AhQAFAAAAAgAh07iQGOReXC6AQAAcwMAAA4AAAAAAAAAAQAgAAAAKQEAAGRycy9lMm9Eb2MueG1s&#10;UEsFBgAAAAAGAAYAWQEAAFUFAAAAAA==&#10;">
              <v:fill on="f" focussize="0,0"/>
              <v:stroke on="f"/>
              <v:imagedata o:title=""/>
              <o:lock v:ext="edit" aspectratio="f"/>
              <v:textbox inset="0mm,0mm,0mm,0mm">
                <w:txbxContent>
                  <w:p>
                    <w:pPr>
                      <w:spacing w:before="2"/>
                      <w:ind w:left="20" w:right="0" w:firstLine="0"/>
                      <w:jc w:val="left"/>
                      <w:rPr>
                        <w:rFonts w:hint="eastAsia" w:ascii="MS UI Gothic" w:eastAsia="MS UI Gothic"/>
                        <w:sz w:val="24"/>
                      </w:rPr>
                    </w:pPr>
                    <w:r>
                      <w:rPr>
                        <w:rFonts w:hint="eastAsia" w:ascii="MS UI Gothic" w:eastAsia="MS UI Gothic"/>
                        <w:sz w:val="24"/>
                      </w:rPr>
                      <w:t>-</w:t>
                    </w:r>
                    <w:r>
                      <w:rPr>
                        <w:sz w:val="24"/>
                      </w:rPr>
                      <w:t>第</w:t>
                    </w:r>
                    <w:r>
                      <w:fldChar w:fldCharType="begin"/>
                    </w:r>
                    <w:r>
                      <w:rPr>
                        <w:rFonts w:hint="eastAsia" w:ascii="MS UI Gothic" w:eastAsia="MS UI Gothic"/>
                        <w:sz w:val="24"/>
                      </w:rPr>
                      <w:instrText xml:space="preserve"> PAGE </w:instrText>
                    </w:r>
                    <w:r>
                      <w:fldChar w:fldCharType="separate"/>
                    </w:r>
                    <w:r>
                      <w:t>20</w:t>
                    </w:r>
                    <w:r>
                      <w:fldChar w:fldCharType="end"/>
                    </w:r>
                    <w:r>
                      <w:rPr>
                        <w:sz w:val="24"/>
                      </w:rPr>
                      <w:t>页</w:t>
                    </w:r>
                    <w:r>
                      <w:rPr>
                        <w:rFonts w:hint="eastAsia" w:ascii="MS UI Gothic" w:eastAsia="MS UI Gothic"/>
                        <w:sz w:val="24"/>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line="14" w:lineRule="auto"/>
      <w:rPr>
        <w:sz w:val="20"/>
      </w:rPr>
    </w:pPr>
    <w:r>
      <mc:AlternateContent>
        <mc:Choice Requires="wps">
          <w:drawing>
            <wp:anchor distT="0" distB="0" distL="114300" distR="114300" simplePos="0" relativeHeight="251663360" behindDoc="1" locked="0" layoutInCell="1" allowOverlap="1">
              <wp:simplePos x="0" y="0"/>
              <wp:positionH relativeFrom="page">
                <wp:posOffset>3458845</wp:posOffset>
              </wp:positionH>
              <wp:positionV relativeFrom="page">
                <wp:posOffset>10494645</wp:posOffset>
              </wp:positionV>
              <wp:extent cx="633095" cy="2032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633095" cy="203200"/>
                      </a:xfrm>
                      <a:prstGeom prst="rect">
                        <a:avLst/>
                      </a:prstGeom>
                      <a:noFill/>
                      <a:ln>
                        <a:noFill/>
                      </a:ln>
                    </wps:spPr>
                    <wps:txbx>
                      <w:txbxContent>
                        <w:p>
                          <w:pPr>
                            <w:spacing w:before="2"/>
                            <w:ind w:left="20" w:right="0" w:firstLine="0"/>
                            <w:jc w:val="left"/>
                            <w:rPr>
                              <w:rFonts w:hint="eastAsia" w:ascii="MS UI Gothic" w:eastAsia="MS UI Gothic"/>
                              <w:sz w:val="24"/>
                            </w:rPr>
                          </w:pPr>
                          <w:r>
                            <w:rPr>
                              <w:rFonts w:hint="eastAsia" w:ascii="MS UI Gothic" w:eastAsia="MS UI Gothic"/>
                              <w:sz w:val="24"/>
                            </w:rPr>
                            <w:t>-</w:t>
                          </w:r>
                          <w:r>
                            <w:rPr>
                              <w:sz w:val="24"/>
                            </w:rPr>
                            <w:t>第</w:t>
                          </w:r>
                          <w:r>
                            <w:fldChar w:fldCharType="begin"/>
                          </w:r>
                          <w:r>
                            <w:rPr>
                              <w:rFonts w:hint="eastAsia" w:ascii="MS UI Gothic" w:eastAsia="MS UI Gothic"/>
                              <w:sz w:val="24"/>
                            </w:rPr>
                            <w:instrText xml:space="preserve"> PAGE </w:instrText>
                          </w:r>
                          <w:r>
                            <w:fldChar w:fldCharType="separate"/>
                          </w:r>
                          <w:r>
                            <w:t>33</w:t>
                          </w:r>
                          <w:r>
                            <w:fldChar w:fldCharType="end"/>
                          </w:r>
                          <w:r>
                            <w:rPr>
                              <w:sz w:val="24"/>
                            </w:rPr>
                            <w:t>页</w:t>
                          </w:r>
                          <w:r>
                            <w:rPr>
                              <w:rFonts w:hint="eastAsia" w:ascii="MS UI Gothic" w:eastAsia="MS UI Gothic"/>
                              <w:sz w:val="24"/>
                            </w:rPr>
                            <w:t>-</w:t>
                          </w:r>
                        </w:p>
                      </w:txbxContent>
                    </wps:txbx>
                    <wps:bodyPr lIns="0" tIns="0" rIns="0" bIns="0" upright="1"/>
                  </wps:wsp>
                </a:graphicData>
              </a:graphic>
            </wp:anchor>
          </w:drawing>
        </mc:Choice>
        <mc:Fallback>
          <w:pict>
            <v:shape id="_x0000_s1026" o:spid="_x0000_s1026" o:spt="202" type="#_x0000_t202" style="position:absolute;left:0pt;margin-left:272.35pt;margin-top:826.35pt;height:16pt;width:49.85pt;mso-position-horizontal-relative:page;mso-position-vertical-relative:page;z-index:-251653120;mso-width-relative:page;mso-height-relative:page;" filled="f" stroked="f" coordsize="21600,21600" o:gfxdata="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arjuNoAAAANAQAADwAAAAAAAAABACAAAAAiAAAAZHJzL2Rvd25yZXYueG1sUEsB&#10;AhQAFAAAAAgAh07iQLQMV5m6AQAAcwMAAA4AAAAAAAAAAQAgAAAAKQEAAGRycy9lMm9Eb2MueG1s&#10;UEsFBgAAAAAGAAYAWQEAAFUFAAAAAA==&#10;">
              <v:fill on="f" focussize="0,0"/>
              <v:stroke on="f"/>
              <v:imagedata o:title=""/>
              <o:lock v:ext="edit" aspectratio="f"/>
              <v:textbox inset="0mm,0mm,0mm,0mm">
                <w:txbxContent>
                  <w:p>
                    <w:pPr>
                      <w:spacing w:before="2"/>
                      <w:ind w:left="20" w:right="0" w:firstLine="0"/>
                      <w:jc w:val="left"/>
                      <w:rPr>
                        <w:rFonts w:hint="eastAsia" w:ascii="MS UI Gothic" w:eastAsia="MS UI Gothic"/>
                        <w:sz w:val="24"/>
                      </w:rPr>
                    </w:pPr>
                    <w:r>
                      <w:rPr>
                        <w:rFonts w:hint="eastAsia" w:ascii="MS UI Gothic" w:eastAsia="MS UI Gothic"/>
                        <w:sz w:val="24"/>
                      </w:rPr>
                      <w:t>-</w:t>
                    </w:r>
                    <w:r>
                      <w:rPr>
                        <w:sz w:val="24"/>
                      </w:rPr>
                      <w:t>第</w:t>
                    </w:r>
                    <w:r>
                      <w:fldChar w:fldCharType="begin"/>
                    </w:r>
                    <w:r>
                      <w:rPr>
                        <w:rFonts w:hint="eastAsia" w:ascii="MS UI Gothic" w:eastAsia="MS UI Gothic"/>
                        <w:sz w:val="24"/>
                      </w:rPr>
                      <w:instrText xml:space="preserve"> PAGE </w:instrText>
                    </w:r>
                    <w:r>
                      <w:fldChar w:fldCharType="separate"/>
                    </w:r>
                    <w:r>
                      <w:t>33</w:t>
                    </w:r>
                    <w:r>
                      <w:fldChar w:fldCharType="end"/>
                    </w:r>
                    <w:r>
                      <w:rPr>
                        <w:sz w:val="24"/>
                      </w:rPr>
                      <w:t>页</w:t>
                    </w:r>
                    <w:r>
                      <w:rPr>
                        <w:rFonts w:hint="eastAsia" w:ascii="MS UI Gothic" w:eastAsia="MS UI Gothic"/>
                        <w:sz w:val="24"/>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line="14" w:lineRule="auto"/>
      <w:rPr>
        <w:sz w:val="20"/>
      </w:rPr>
    </w:pPr>
    <w:r>
      <mc:AlternateContent>
        <mc:Choice Requires="wps">
          <w:drawing>
            <wp:anchor distT="0" distB="0" distL="114300" distR="114300" simplePos="0" relativeHeight="251664384" behindDoc="1" locked="0" layoutInCell="1" allowOverlap="1">
              <wp:simplePos x="0" y="0"/>
              <wp:positionH relativeFrom="page">
                <wp:posOffset>3458845</wp:posOffset>
              </wp:positionH>
              <wp:positionV relativeFrom="page">
                <wp:posOffset>10494645</wp:posOffset>
              </wp:positionV>
              <wp:extent cx="633095" cy="2032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633095" cy="203200"/>
                      </a:xfrm>
                      <a:prstGeom prst="rect">
                        <a:avLst/>
                      </a:prstGeom>
                      <a:noFill/>
                      <a:ln>
                        <a:noFill/>
                      </a:ln>
                    </wps:spPr>
                    <wps:txbx>
                      <w:txbxContent>
                        <w:p>
                          <w:pPr>
                            <w:spacing w:before="2"/>
                            <w:ind w:left="20" w:right="0" w:firstLine="0"/>
                            <w:jc w:val="left"/>
                            <w:rPr>
                              <w:rFonts w:hint="eastAsia" w:ascii="MS UI Gothic" w:eastAsia="MS UI Gothic"/>
                              <w:sz w:val="24"/>
                            </w:rPr>
                          </w:pPr>
                          <w:r>
                            <w:rPr>
                              <w:rFonts w:hint="eastAsia" w:ascii="MS UI Gothic" w:eastAsia="MS UI Gothic"/>
                              <w:sz w:val="24"/>
                            </w:rPr>
                            <w:t>-</w:t>
                          </w:r>
                          <w:r>
                            <w:rPr>
                              <w:sz w:val="24"/>
                            </w:rPr>
                            <w:t>第</w:t>
                          </w:r>
                          <w:r>
                            <w:fldChar w:fldCharType="begin"/>
                          </w:r>
                          <w:r>
                            <w:rPr>
                              <w:rFonts w:hint="eastAsia" w:ascii="MS UI Gothic" w:eastAsia="MS UI Gothic"/>
                              <w:sz w:val="24"/>
                            </w:rPr>
                            <w:instrText xml:space="preserve"> PAGE </w:instrText>
                          </w:r>
                          <w:r>
                            <w:fldChar w:fldCharType="separate"/>
                          </w:r>
                          <w:r>
                            <w:t>41</w:t>
                          </w:r>
                          <w:r>
                            <w:fldChar w:fldCharType="end"/>
                          </w:r>
                          <w:r>
                            <w:rPr>
                              <w:sz w:val="24"/>
                            </w:rPr>
                            <w:t>页</w:t>
                          </w:r>
                          <w:r>
                            <w:rPr>
                              <w:rFonts w:hint="eastAsia" w:ascii="MS UI Gothic" w:eastAsia="MS UI Gothic"/>
                              <w:sz w:val="24"/>
                            </w:rPr>
                            <w:t>-</w:t>
                          </w:r>
                        </w:p>
                      </w:txbxContent>
                    </wps:txbx>
                    <wps:bodyPr lIns="0" tIns="0" rIns="0" bIns="0" upright="1"/>
                  </wps:wsp>
                </a:graphicData>
              </a:graphic>
            </wp:anchor>
          </w:drawing>
        </mc:Choice>
        <mc:Fallback>
          <w:pict>
            <v:shape id="_x0000_s1026" o:spid="_x0000_s1026" o:spt="202" type="#_x0000_t202" style="position:absolute;left:0pt;margin-left:272.35pt;margin-top:826.35pt;height:16pt;width:49.85pt;mso-position-horizontal-relative:page;mso-position-vertical-relative:page;z-index:-251652096;mso-width-relative:page;mso-height-relative:page;" filled="f" stroked="f" coordsize="21600,21600" o:gfxdata="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arjuNoAAAANAQAADwAAAAAAAAABACAAAAAiAAAAZHJzL2Rvd25yZXYueG1sUEsB&#10;AhQAFAAAAAgAh07iQIp2NOC6AQAAcwMAAA4AAAAAAAAAAQAgAAAAKQEAAGRycy9lMm9Eb2MueG1s&#10;UEsFBgAAAAAGAAYAWQEAAFUFAAAAAA==&#10;">
              <v:fill on="f" focussize="0,0"/>
              <v:stroke on="f"/>
              <v:imagedata o:title=""/>
              <o:lock v:ext="edit" aspectratio="f"/>
              <v:textbox inset="0mm,0mm,0mm,0mm">
                <w:txbxContent>
                  <w:p>
                    <w:pPr>
                      <w:spacing w:before="2"/>
                      <w:ind w:left="20" w:right="0" w:firstLine="0"/>
                      <w:jc w:val="left"/>
                      <w:rPr>
                        <w:rFonts w:hint="eastAsia" w:ascii="MS UI Gothic" w:eastAsia="MS UI Gothic"/>
                        <w:sz w:val="24"/>
                      </w:rPr>
                    </w:pPr>
                    <w:r>
                      <w:rPr>
                        <w:rFonts w:hint="eastAsia" w:ascii="MS UI Gothic" w:eastAsia="MS UI Gothic"/>
                        <w:sz w:val="24"/>
                      </w:rPr>
                      <w:t>-</w:t>
                    </w:r>
                    <w:r>
                      <w:rPr>
                        <w:sz w:val="24"/>
                      </w:rPr>
                      <w:t>第</w:t>
                    </w:r>
                    <w:r>
                      <w:fldChar w:fldCharType="begin"/>
                    </w:r>
                    <w:r>
                      <w:rPr>
                        <w:rFonts w:hint="eastAsia" w:ascii="MS UI Gothic" w:eastAsia="MS UI Gothic"/>
                        <w:sz w:val="24"/>
                      </w:rPr>
                      <w:instrText xml:space="preserve"> PAGE </w:instrText>
                    </w:r>
                    <w:r>
                      <w:fldChar w:fldCharType="separate"/>
                    </w:r>
                    <w:r>
                      <w:t>41</w:t>
                    </w:r>
                    <w:r>
                      <w:fldChar w:fldCharType="end"/>
                    </w:r>
                    <w:r>
                      <w:rPr>
                        <w:sz w:val="24"/>
                      </w:rPr>
                      <w:t>页</w:t>
                    </w:r>
                    <w:r>
                      <w:rPr>
                        <w:rFonts w:hint="eastAsia" w:ascii="MS UI Gothic" w:eastAsia="MS UI Gothic"/>
                        <w:sz w:val="24"/>
                      </w:rPr>
                      <w:t>-</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3A4B87"/>
    <w:multiLevelType w:val="multilevel"/>
    <w:tmpl w:val="813A4B87"/>
    <w:lvl w:ilvl="0" w:tentative="0">
      <w:start w:val="27"/>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1">
    <w:nsid w:val="845B5372"/>
    <w:multiLevelType w:val="multilevel"/>
    <w:tmpl w:val="845B5372"/>
    <w:lvl w:ilvl="0" w:tentative="0">
      <w:start w:val="1"/>
      <w:numFmt w:val="decimal"/>
      <w:lvlText w:val="%1)"/>
      <w:lvlJc w:val="left"/>
      <w:pPr>
        <w:ind w:left="100" w:hanging="175"/>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985" w:hanging="175"/>
      </w:pPr>
      <w:rPr>
        <w:rFonts w:hint="default"/>
        <w:lang w:val="zh-CN" w:eastAsia="zh-CN" w:bidi="zh-CN"/>
      </w:rPr>
    </w:lvl>
    <w:lvl w:ilvl="2" w:tentative="0">
      <w:start w:val="0"/>
      <w:numFmt w:val="bullet"/>
      <w:lvlText w:val="•"/>
      <w:lvlJc w:val="left"/>
      <w:pPr>
        <w:ind w:left="1870" w:hanging="175"/>
      </w:pPr>
      <w:rPr>
        <w:rFonts w:hint="default"/>
        <w:lang w:val="zh-CN" w:eastAsia="zh-CN" w:bidi="zh-CN"/>
      </w:rPr>
    </w:lvl>
    <w:lvl w:ilvl="3" w:tentative="0">
      <w:start w:val="0"/>
      <w:numFmt w:val="bullet"/>
      <w:lvlText w:val="•"/>
      <w:lvlJc w:val="left"/>
      <w:pPr>
        <w:ind w:left="2755" w:hanging="175"/>
      </w:pPr>
      <w:rPr>
        <w:rFonts w:hint="default"/>
        <w:lang w:val="zh-CN" w:eastAsia="zh-CN" w:bidi="zh-CN"/>
      </w:rPr>
    </w:lvl>
    <w:lvl w:ilvl="4" w:tentative="0">
      <w:start w:val="0"/>
      <w:numFmt w:val="bullet"/>
      <w:lvlText w:val="•"/>
      <w:lvlJc w:val="left"/>
      <w:pPr>
        <w:ind w:left="3640" w:hanging="175"/>
      </w:pPr>
      <w:rPr>
        <w:rFonts w:hint="default"/>
        <w:lang w:val="zh-CN" w:eastAsia="zh-CN" w:bidi="zh-CN"/>
      </w:rPr>
    </w:lvl>
    <w:lvl w:ilvl="5" w:tentative="0">
      <w:start w:val="0"/>
      <w:numFmt w:val="bullet"/>
      <w:lvlText w:val="•"/>
      <w:lvlJc w:val="left"/>
      <w:pPr>
        <w:ind w:left="4525" w:hanging="175"/>
      </w:pPr>
      <w:rPr>
        <w:rFonts w:hint="default"/>
        <w:lang w:val="zh-CN" w:eastAsia="zh-CN" w:bidi="zh-CN"/>
      </w:rPr>
    </w:lvl>
    <w:lvl w:ilvl="6" w:tentative="0">
      <w:start w:val="0"/>
      <w:numFmt w:val="bullet"/>
      <w:lvlText w:val="•"/>
      <w:lvlJc w:val="left"/>
      <w:pPr>
        <w:ind w:left="5410" w:hanging="175"/>
      </w:pPr>
      <w:rPr>
        <w:rFonts w:hint="default"/>
        <w:lang w:val="zh-CN" w:eastAsia="zh-CN" w:bidi="zh-CN"/>
      </w:rPr>
    </w:lvl>
    <w:lvl w:ilvl="7" w:tentative="0">
      <w:start w:val="0"/>
      <w:numFmt w:val="bullet"/>
      <w:lvlText w:val="•"/>
      <w:lvlJc w:val="left"/>
      <w:pPr>
        <w:ind w:left="6295" w:hanging="175"/>
      </w:pPr>
      <w:rPr>
        <w:rFonts w:hint="default"/>
        <w:lang w:val="zh-CN" w:eastAsia="zh-CN" w:bidi="zh-CN"/>
      </w:rPr>
    </w:lvl>
    <w:lvl w:ilvl="8" w:tentative="0">
      <w:start w:val="0"/>
      <w:numFmt w:val="bullet"/>
      <w:lvlText w:val="•"/>
      <w:lvlJc w:val="left"/>
      <w:pPr>
        <w:ind w:left="7180" w:hanging="175"/>
      </w:pPr>
      <w:rPr>
        <w:rFonts w:hint="default"/>
        <w:lang w:val="zh-CN" w:eastAsia="zh-CN" w:bidi="zh-CN"/>
      </w:rPr>
    </w:lvl>
  </w:abstractNum>
  <w:abstractNum w:abstractNumId="2">
    <w:nsid w:val="8461FADE"/>
    <w:multiLevelType w:val="multilevel"/>
    <w:tmpl w:val="8461FADE"/>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2."/>
      <w:lvlJc w:val="left"/>
      <w:pPr>
        <w:ind w:left="692" w:hanging="183"/>
        <w:jc w:val="left"/>
      </w:pPr>
      <w:rPr>
        <w:rFonts w:hint="default" w:ascii="MS UI Gothic" w:hAnsi="MS UI Gothic" w:eastAsia="MS UI Gothic" w:cs="MS UI Gothic"/>
        <w:spacing w:val="-3"/>
        <w:w w:val="128"/>
        <w:sz w:val="17"/>
        <w:szCs w:val="17"/>
        <w:lang w:val="zh-CN" w:eastAsia="zh-CN" w:bidi="zh-CN"/>
      </w:rPr>
    </w:lvl>
    <w:lvl w:ilvl="2" w:tentative="0">
      <w:start w:val="0"/>
      <w:numFmt w:val="bullet"/>
      <w:lvlText w:val="•"/>
      <w:lvlJc w:val="left"/>
      <w:pPr>
        <w:ind w:left="1822" w:hanging="183"/>
      </w:pPr>
      <w:rPr>
        <w:rFonts w:hint="default"/>
        <w:lang w:val="zh-CN" w:eastAsia="zh-CN" w:bidi="zh-CN"/>
      </w:rPr>
    </w:lvl>
    <w:lvl w:ilvl="3" w:tentative="0">
      <w:start w:val="0"/>
      <w:numFmt w:val="bullet"/>
      <w:lvlText w:val="•"/>
      <w:lvlJc w:val="left"/>
      <w:pPr>
        <w:ind w:left="2944" w:hanging="183"/>
      </w:pPr>
      <w:rPr>
        <w:rFonts w:hint="default"/>
        <w:lang w:val="zh-CN" w:eastAsia="zh-CN" w:bidi="zh-CN"/>
      </w:rPr>
    </w:lvl>
    <w:lvl w:ilvl="4" w:tentative="0">
      <w:start w:val="0"/>
      <w:numFmt w:val="bullet"/>
      <w:lvlText w:val="•"/>
      <w:lvlJc w:val="left"/>
      <w:pPr>
        <w:ind w:left="4066" w:hanging="183"/>
      </w:pPr>
      <w:rPr>
        <w:rFonts w:hint="default"/>
        <w:lang w:val="zh-CN" w:eastAsia="zh-CN" w:bidi="zh-CN"/>
      </w:rPr>
    </w:lvl>
    <w:lvl w:ilvl="5" w:tentative="0">
      <w:start w:val="0"/>
      <w:numFmt w:val="bullet"/>
      <w:lvlText w:val="•"/>
      <w:lvlJc w:val="left"/>
      <w:pPr>
        <w:ind w:left="5188" w:hanging="183"/>
      </w:pPr>
      <w:rPr>
        <w:rFonts w:hint="default"/>
        <w:lang w:val="zh-CN" w:eastAsia="zh-CN" w:bidi="zh-CN"/>
      </w:rPr>
    </w:lvl>
    <w:lvl w:ilvl="6" w:tentative="0">
      <w:start w:val="0"/>
      <w:numFmt w:val="bullet"/>
      <w:lvlText w:val="•"/>
      <w:lvlJc w:val="left"/>
      <w:pPr>
        <w:ind w:left="6311" w:hanging="183"/>
      </w:pPr>
      <w:rPr>
        <w:rFonts w:hint="default"/>
        <w:lang w:val="zh-CN" w:eastAsia="zh-CN" w:bidi="zh-CN"/>
      </w:rPr>
    </w:lvl>
    <w:lvl w:ilvl="7" w:tentative="0">
      <w:start w:val="0"/>
      <w:numFmt w:val="bullet"/>
      <w:lvlText w:val="•"/>
      <w:lvlJc w:val="left"/>
      <w:pPr>
        <w:ind w:left="7433" w:hanging="183"/>
      </w:pPr>
      <w:rPr>
        <w:rFonts w:hint="default"/>
        <w:lang w:val="zh-CN" w:eastAsia="zh-CN" w:bidi="zh-CN"/>
      </w:rPr>
    </w:lvl>
    <w:lvl w:ilvl="8" w:tentative="0">
      <w:start w:val="0"/>
      <w:numFmt w:val="bullet"/>
      <w:lvlText w:val="•"/>
      <w:lvlJc w:val="left"/>
      <w:pPr>
        <w:ind w:left="8555" w:hanging="183"/>
      </w:pPr>
      <w:rPr>
        <w:rFonts w:hint="default"/>
        <w:lang w:val="zh-CN" w:eastAsia="zh-CN" w:bidi="zh-CN"/>
      </w:rPr>
    </w:lvl>
  </w:abstractNum>
  <w:abstractNum w:abstractNumId="3">
    <w:nsid w:val="871E1EB8"/>
    <w:multiLevelType w:val="singleLevel"/>
    <w:tmpl w:val="871E1EB8"/>
    <w:lvl w:ilvl="0" w:tentative="0">
      <w:start w:val="1"/>
      <w:numFmt w:val="bullet"/>
      <w:lvlText w:val=""/>
      <w:lvlJc w:val="left"/>
      <w:pPr>
        <w:ind w:left="420" w:hanging="420"/>
      </w:pPr>
      <w:rPr>
        <w:rFonts w:hint="default" w:ascii="Wingdings" w:hAnsi="Wingdings"/>
      </w:rPr>
    </w:lvl>
  </w:abstractNum>
  <w:abstractNum w:abstractNumId="4">
    <w:nsid w:val="8947D23B"/>
    <w:multiLevelType w:val="singleLevel"/>
    <w:tmpl w:val="8947D23B"/>
    <w:lvl w:ilvl="0" w:tentative="0">
      <w:start w:val="1"/>
      <w:numFmt w:val="chineseCounting"/>
      <w:suff w:val="nothing"/>
      <w:lvlText w:val="%1、"/>
      <w:lvlJc w:val="left"/>
      <w:pPr>
        <w:ind w:left="0" w:firstLine="420"/>
      </w:pPr>
      <w:rPr>
        <w:rFonts w:hint="eastAsia"/>
      </w:rPr>
    </w:lvl>
  </w:abstractNum>
  <w:abstractNum w:abstractNumId="5">
    <w:nsid w:val="8CAEB125"/>
    <w:multiLevelType w:val="multilevel"/>
    <w:tmpl w:val="8CAEB125"/>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6">
    <w:nsid w:val="8CD93686"/>
    <w:multiLevelType w:val="singleLevel"/>
    <w:tmpl w:val="8CD93686"/>
    <w:lvl w:ilvl="0" w:tentative="0">
      <w:start w:val="1"/>
      <w:numFmt w:val="decimal"/>
      <w:lvlText w:val="(%1)"/>
      <w:lvlJc w:val="left"/>
      <w:pPr>
        <w:ind w:left="425" w:hanging="425"/>
      </w:pPr>
      <w:rPr>
        <w:rFonts w:hint="default"/>
      </w:rPr>
    </w:lvl>
  </w:abstractNum>
  <w:abstractNum w:abstractNumId="7">
    <w:nsid w:val="91995D4F"/>
    <w:multiLevelType w:val="multilevel"/>
    <w:tmpl w:val="91995D4F"/>
    <w:lvl w:ilvl="0" w:tentative="0">
      <w:start w:val="1"/>
      <w:numFmt w:val="decimal"/>
      <w:lvlText w:val="%1."/>
      <w:lvlJc w:val="left"/>
      <w:pPr>
        <w:ind w:left="100"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985" w:hanging="163"/>
      </w:pPr>
      <w:rPr>
        <w:rFonts w:hint="default"/>
        <w:lang w:val="zh-CN" w:eastAsia="zh-CN" w:bidi="zh-CN"/>
      </w:rPr>
    </w:lvl>
    <w:lvl w:ilvl="2" w:tentative="0">
      <w:start w:val="0"/>
      <w:numFmt w:val="bullet"/>
      <w:lvlText w:val="•"/>
      <w:lvlJc w:val="left"/>
      <w:pPr>
        <w:ind w:left="1870" w:hanging="163"/>
      </w:pPr>
      <w:rPr>
        <w:rFonts w:hint="default"/>
        <w:lang w:val="zh-CN" w:eastAsia="zh-CN" w:bidi="zh-CN"/>
      </w:rPr>
    </w:lvl>
    <w:lvl w:ilvl="3" w:tentative="0">
      <w:start w:val="0"/>
      <w:numFmt w:val="bullet"/>
      <w:lvlText w:val="•"/>
      <w:lvlJc w:val="left"/>
      <w:pPr>
        <w:ind w:left="2755" w:hanging="163"/>
      </w:pPr>
      <w:rPr>
        <w:rFonts w:hint="default"/>
        <w:lang w:val="zh-CN" w:eastAsia="zh-CN" w:bidi="zh-CN"/>
      </w:rPr>
    </w:lvl>
    <w:lvl w:ilvl="4" w:tentative="0">
      <w:start w:val="0"/>
      <w:numFmt w:val="bullet"/>
      <w:lvlText w:val="•"/>
      <w:lvlJc w:val="left"/>
      <w:pPr>
        <w:ind w:left="3640" w:hanging="163"/>
      </w:pPr>
      <w:rPr>
        <w:rFonts w:hint="default"/>
        <w:lang w:val="zh-CN" w:eastAsia="zh-CN" w:bidi="zh-CN"/>
      </w:rPr>
    </w:lvl>
    <w:lvl w:ilvl="5" w:tentative="0">
      <w:start w:val="0"/>
      <w:numFmt w:val="bullet"/>
      <w:lvlText w:val="•"/>
      <w:lvlJc w:val="left"/>
      <w:pPr>
        <w:ind w:left="4525" w:hanging="163"/>
      </w:pPr>
      <w:rPr>
        <w:rFonts w:hint="default"/>
        <w:lang w:val="zh-CN" w:eastAsia="zh-CN" w:bidi="zh-CN"/>
      </w:rPr>
    </w:lvl>
    <w:lvl w:ilvl="6" w:tentative="0">
      <w:start w:val="0"/>
      <w:numFmt w:val="bullet"/>
      <w:lvlText w:val="•"/>
      <w:lvlJc w:val="left"/>
      <w:pPr>
        <w:ind w:left="5410" w:hanging="163"/>
      </w:pPr>
      <w:rPr>
        <w:rFonts w:hint="default"/>
        <w:lang w:val="zh-CN" w:eastAsia="zh-CN" w:bidi="zh-CN"/>
      </w:rPr>
    </w:lvl>
    <w:lvl w:ilvl="7" w:tentative="0">
      <w:start w:val="0"/>
      <w:numFmt w:val="bullet"/>
      <w:lvlText w:val="•"/>
      <w:lvlJc w:val="left"/>
      <w:pPr>
        <w:ind w:left="6295" w:hanging="163"/>
      </w:pPr>
      <w:rPr>
        <w:rFonts w:hint="default"/>
        <w:lang w:val="zh-CN" w:eastAsia="zh-CN" w:bidi="zh-CN"/>
      </w:rPr>
    </w:lvl>
    <w:lvl w:ilvl="8" w:tentative="0">
      <w:start w:val="0"/>
      <w:numFmt w:val="bullet"/>
      <w:lvlText w:val="•"/>
      <w:lvlJc w:val="left"/>
      <w:pPr>
        <w:ind w:left="7180" w:hanging="163"/>
      </w:pPr>
      <w:rPr>
        <w:rFonts w:hint="default"/>
        <w:lang w:val="zh-CN" w:eastAsia="zh-CN" w:bidi="zh-CN"/>
      </w:rPr>
    </w:lvl>
  </w:abstractNum>
  <w:abstractNum w:abstractNumId="8">
    <w:nsid w:val="91B69C97"/>
    <w:multiLevelType w:val="multilevel"/>
    <w:tmpl w:val="91B69C97"/>
    <w:lvl w:ilvl="0" w:tentative="0">
      <w:start w:val="1"/>
      <w:numFmt w:val="decimal"/>
      <w:lvlText w:val="（%1）"/>
      <w:lvlJc w:val="left"/>
      <w:pPr>
        <w:ind w:left="631"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656" w:hanging="506"/>
      </w:pPr>
      <w:rPr>
        <w:rFonts w:hint="default"/>
        <w:lang w:val="zh-CN" w:eastAsia="zh-CN" w:bidi="zh-CN"/>
      </w:rPr>
    </w:lvl>
    <w:lvl w:ilvl="2" w:tentative="0">
      <w:start w:val="0"/>
      <w:numFmt w:val="bullet"/>
      <w:lvlText w:val="•"/>
      <w:lvlJc w:val="left"/>
      <w:pPr>
        <w:ind w:left="2672" w:hanging="506"/>
      </w:pPr>
      <w:rPr>
        <w:rFonts w:hint="default"/>
        <w:lang w:val="zh-CN" w:eastAsia="zh-CN" w:bidi="zh-CN"/>
      </w:rPr>
    </w:lvl>
    <w:lvl w:ilvl="3" w:tentative="0">
      <w:start w:val="0"/>
      <w:numFmt w:val="bullet"/>
      <w:lvlText w:val="•"/>
      <w:lvlJc w:val="left"/>
      <w:pPr>
        <w:ind w:left="3688" w:hanging="506"/>
      </w:pPr>
      <w:rPr>
        <w:rFonts w:hint="default"/>
        <w:lang w:val="zh-CN" w:eastAsia="zh-CN" w:bidi="zh-CN"/>
      </w:rPr>
    </w:lvl>
    <w:lvl w:ilvl="4" w:tentative="0">
      <w:start w:val="0"/>
      <w:numFmt w:val="bullet"/>
      <w:lvlText w:val="•"/>
      <w:lvlJc w:val="left"/>
      <w:pPr>
        <w:ind w:left="4704" w:hanging="506"/>
      </w:pPr>
      <w:rPr>
        <w:rFonts w:hint="default"/>
        <w:lang w:val="zh-CN" w:eastAsia="zh-CN" w:bidi="zh-CN"/>
      </w:rPr>
    </w:lvl>
    <w:lvl w:ilvl="5" w:tentative="0">
      <w:start w:val="0"/>
      <w:numFmt w:val="bullet"/>
      <w:lvlText w:val="•"/>
      <w:lvlJc w:val="left"/>
      <w:pPr>
        <w:ind w:left="5720" w:hanging="506"/>
      </w:pPr>
      <w:rPr>
        <w:rFonts w:hint="default"/>
        <w:lang w:val="zh-CN" w:eastAsia="zh-CN" w:bidi="zh-CN"/>
      </w:rPr>
    </w:lvl>
    <w:lvl w:ilvl="6" w:tentative="0">
      <w:start w:val="0"/>
      <w:numFmt w:val="bullet"/>
      <w:lvlText w:val="•"/>
      <w:lvlJc w:val="left"/>
      <w:pPr>
        <w:ind w:left="6736" w:hanging="506"/>
      </w:pPr>
      <w:rPr>
        <w:rFonts w:hint="default"/>
        <w:lang w:val="zh-CN" w:eastAsia="zh-CN" w:bidi="zh-CN"/>
      </w:rPr>
    </w:lvl>
    <w:lvl w:ilvl="7" w:tentative="0">
      <w:start w:val="0"/>
      <w:numFmt w:val="bullet"/>
      <w:lvlText w:val="•"/>
      <w:lvlJc w:val="left"/>
      <w:pPr>
        <w:ind w:left="7752" w:hanging="506"/>
      </w:pPr>
      <w:rPr>
        <w:rFonts w:hint="default"/>
        <w:lang w:val="zh-CN" w:eastAsia="zh-CN" w:bidi="zh-CN"/>
      </w:rPr>
    </w:lvl>
    <w:lvl w:ilvl="8" w:tentative="0">
      <w:start w:val="0"/>
      <w:numFmt w:val="bullet"/>
      <w:lvlText w:val="•"/>
      <w:lvlJc w:val="left"/>
      <w:pPr>
        <w:ind w:left="8768" w:hanging="506"/>
      </w:pPr>
      <w:rPr>
        <w:rFonts w:hint="default"/>
        <w:lang w:val="zh-CN" w:eastAsia="zh-CN" w:bidi="zh-CN"/>
      </w:rPr>
    </w:lvl>
  </w:abstractNum>
  <w:abstractNum w:abstractNumId="9">
    <w:nsid w:val="9239341B"/>
    <w:multiLevelType w:val="multilevel"/>
    <w:tmpl w:val="9239341B"/>
    <w:lvl w:ilvl="0" w:tentative="0">
      <w:start w:val="4"/>
      <w:numFmt w:val="decimal"/>
      <w:lvlText w:val="%1"/>
      <w:lvlJc w:val="left"/>
      <w:pPr>
        <w:ind w:left="126" w:hanging="361"/>
        <w:jc w:val="left"/>
      </w:pPr>
      <w:rPr>
        <w:rFonts w:hint="default"/>
        <w:lang w:val="zh-CN" w:eastAsia="zh-CN" w:bidi="zh-CN"/>
      </w:rPr>
    </w:lvl>
    <w:lvl w:ilvl="1" w:tentative="0">
      <w:start w:val="4"/>
      <w:numFmt w:val="decimal"/>
      <w:lvlText w:val="%1.%2"/>
      <w:lvlJc w:val="left"/>
      <w:pPr>
        <w:ind w:left="126" w:hanging="361"/>
        <w:jc w:val="left"/>
      </w:pPr>
      <w:rPr>
        <w:rFonts w:hint="default" w:ascii="MS UI Gothic" w:hAnsi="MS UI Gothic" w:eastAsia="MS UI Gothic" w:cs="MS UI Gothic"/>
        <w:spacing w:val="-3"/>
        <w:w w:val="128"/>
        <w:sz w:val="19"/>
        <w:szCs w:val="19"/>
        <w:lang w:val="zh-CN" w:eastAsia="zh-CN" w:bidi="zh-CN"/>
      </w:rPr>
    </w:lvl>
    <w:lvl w:ilvl="2" w:tentative="0">
      <w:start w:val="0"/>
      <w:numFmt w:val="bullet"/>
      <w:lvlText w:val="•"/>
      <w:lvlJc w:val="left"/>
      <w:pPr>
        <w:ind w:left="2256" w:hanging="361"/>
      </w:pPr>
      <w:rPr>
        <w:rFonts w:hint="default"/>
        <w:lang w:val="zh-CN" w:eastAsia="zh-CN" w:bidi="zh-CN"/>
      </w:rPr>
    </w:lvl>
    <w:lvl w:ilvl="3" w:tentative="0">
      <w:start w:val="0"/>
      <w:numFmt w:val="bullet"/>
      <w:lvlText w:val="•"/>
      <w:lvlJc w:val="left"/>
      <w:pPr>
        <w:ind w:left="3324" w:hanging="361"/>
      </w:pPr>
      <w:rPr>
        <w:rFonts w:hint="default"/>
        <w:lang w:val="zh-CN" w:eastAsia="zh-CN" w:bidi="zh-CN"/>
      </w:rPr>
    </w:lvl>
    <w:lvl w:ilvl="4" w:tentative="0">
      <w:start w:val="0"/>
      <w:numFmt w:val="bullet"/>
      <w:lvlText w:val="•"/>
      <w:lvlJc w:val="left"/>
      <w:pPr>
        <w:ind w:left="4392" w:hanging="361"/>
      </w:pPr>
      <w:rPr>
        <w:rFonts w:hint="default"/>
        <w:lang w:val="zh-CN" w:eastAsia="zh-CN" w:bidi="zh-CN"/>
      </w:rPr>
    </w:lvl>
    <w:lvl w:ilvl="5" w:tentative="0">
      <w:start w:val="0"/>
      <w:numFmt w:val="bullet"/>
      <w:lvlText w:val="•"/>
      <w:lvlJc w:val="left"/>
      <w:pPr>
        <w:ind w:left="5460" w:hanging="361"/>
      </w:pPr>
      <w:rPr>
        <w:rFonts w:hint="default"/>
        <w:lang w:val="zh-CN" w:eastAsia="zh-CN" w:bidi="zh-CN"/>
      </w:rPr>
    </w:lvl>
    <w:lvl w:ilvl="6" w:tentative="0">
      <w:start w:val="0"/>
      <w:numFmt w:val="bullet"/>
      <w:lvlText w:val="•"/>
      <w:lvlJc w:val="left"/>
      <w:pPr>
        <w:ind w:left="6528" w:hanging="361"/>
      </w:pPr>
      <w:rPr>
        <w:rFonts w:hint="default"/>
        <w:lang w:val="zh-CN" w:eastAsia="zh-CN" w:bidi="zh-CN"/>
      </w:rPr>
    </w:lvl>
    <w:lvl w:ilvl="7" w:tentative="0">
      <w:start w:val="0"/>
      <w:numFmt w:val="bullet"/>
      <w:lvlText w:val="•"/>
      <w:lvlJc w:val="left"/>
      <w:pPr>
        <w:ind w:left="7596" w:hanging="361"/>
      </w:pPr>
      <w:rPr>
        <w:rFonts w:hint="default"/>
        <w:lang w:val="zh-CN" w:eastAsia="zh-CN" w:bidi="zh-CN"/>
      </w:rPr>
    </w:lvl>
    <w:lvl w:ilvl="8" w:tentative="0">
      <w:start w:val="0"/>
      <w:numFmt w:val="bullet"/>
      <w:lvlText w:val="•"/>
      <w:lvlJc w:val="left"/>
      <w:pPr>
        <w:ind w:left="8664" w:hanging="361"/>
      </w:pPr>
      <w:rPr>
        <w:rFonts w:hint="default"/>
        <w:lang w:val="zh-CN" w:eastAsia="zh-CN" w:bidi="zh-CN"/>
      </w:rPr>
    </w:lvl>
  </w:abstractNum>
  <w:abstractNum w:abstractNumId="10">
    <w:nsid w:val="9288B902"/>
    <w:multiLevelType w:val="multilevel"/>
    <w:tmpl w:val="9288B902"/>
    <w:lvl w:ilvl="0" w:tentative="0">
      <w:start w:val="1"/>
      <w:numFmt w:val="decimal"/>
      <w:lvlText w:val="（%1）"/>
      <w:lvlJc w:val="left"/>
      <w:pPr>
        <w:ind w:left="1171" w:hanging="506"/>
        <w:jc w:val="righ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2142" w:hanging="506"/>
      </w:pPr>
      <w:rPr>
        <w:rFonts w:hint="default"/>
        <w:lang w:val="zh-CN" w:eastAsia="zh-CN" w:bidi="zh-CN"/>
      </w:rPr>
    </w:lvl>
    <w:lvl w:ilvl="2" w:tentative="0">
      <w:start w:val="0"/>
      <w:numFmt w:val="bullet"/>
      <w:lvlText w:val="•"/>
      <w:lvlJc w:val="left"/>
      <w:pPr>
        <w:ind w:left="3104" w:hanging="506"/>
      </w:pPr>
      <w:rPr>
        <w:rFonts w:hint="default"/>
        <w:lang w:val="zh-CN" w:eastAsia="zh-CN" w:bidi="zh-CN"/>
      </w:rPr>
    </w:lvl>
    <w:lvl w:ilvl="3" w:tentative="0">
      <w:start w:val="0"/>
      <w:numFmt w:val="bullet"/>
      <w:lvlText w:val="•"/>
      <w:lvlJc w:val="left"/>
      <w:pPr>
        <w:ind w:left="4066" w:hanging="506"/>
      </w:pPr>
      <w:rPr>
        <w:rFonts w:hint="default"/>
        <w:lang w:val="zh-CN" w:eastAsia="zh-CN" w:bidi="zh-CN"/>
      </w:rPr>
    </w:lvl>
    <w:lvl w:ilvl="4" w:tentative="0">
      <w:start w:val="0"/>
      <w:numFmt w:val="bullet"/>
      <w:lvlText w:val="•"/>
      <w:lvlJc w:val="left"/>
      <w:pPr>
        <w:ind w:left="5028" w:hanging="506"/>
      </w:pPr>
      <w:rPr>
        <w:rFonts w:hint="default"/>
        <w:lang w:val="zh-CN" w:eastAsia="zh-CN" w:bidi="zh-CN"/>
      </w:rPr>
    </w:lvl>
    <w:lvl w:ilvl="5" w:tentative="0">
      <w:start w:val="0"/>
      <w:numFmt w:val="bullet"/>
      <w:lvlText w:val="•"/>
      <w:lvlJc w:val="left"/>
      <w:pPr>
        <w:ind w:left="5990" w:hanging="506"/>
      </w:pPr>
      <w:rPr>
        <w:rFonts w:hint="default"/>
        <w:lang w:val="zh-CN" w:eastAsia="zh-CN" w:bidi="zh-CN"/>
      </w:rPr>
    </w:lvl>
    <w:lvl w:ilvl="6" w:tentative="0">
      <w:start w:val="0"/>
      <w:numFmt w:val="bullet"/>
      <w:lvlText w:val="•"/>
      <w:lvlJc w:val="left"/>
      <w:pPr>
        <w:ind w:left="6952" w:hanging="506"/>
      </w:pPr>
      <w:rPr>
        <w:rFonts w:hint="default"/>
        <w:lang w:val="zh-CN" w:eastAsia="zh-CN" w:bidi="zh-CN"/>
      </w:rPr>
    </w:lvl>
    <w:lvl w:ilvl="7" w:tentative="0">
      <w:start w:val="0"/>
      <w:numFmt w:val="bullet"/>
      <w:lvlText w:val="•"/>
      <w:lvlJc w:val="left"/>
      <w:pPr>
        <w:ind w:left="7914" w:hanging="506"/>
      </w:pPr>
      <w:rPr>
        <w:rFonts w:hint="default"/>
        <w:lang w:val="zh-CN" w:eastAsia="zh-CN" w:bidi="zh-CN"/>
      </w:rPr>
    </w:lvl>
    <w:lvl w:ilvl="8" w:tentative="0">
      <w:start w:val="0"/>
      <w:numFmt w:val="bullet"/>
      <w:lvlText w:val="•"/>
      <w:lvlJc w:val="left"/>
      <w:pPr>
        <w:ind w:left="8876" w:hanging="506"/>
      </w:pPr>
      <w:rPr>
        <w:rFonts w:hint="default"/>
        <w:lang w:val="zh-CN" w:eastAsia="zh-CN" w:bidi="zh-CN"/>
      </w:rPr>
    </w:lvl>
  </w:abstractNum>
  <w:abstractNum w:abstractNumId="11">
    <w:nsid w:val="9377BC45"/>
    <w:multiLevelType w:val="multilevel"/>
    <w:tmpl w:val="9377BC45"/>
    <w:lvl w:ilvl="0" w:tentative="0">
      <w:start w:val="1"/>
      <w:numFmt w:val="decimal"/>
      <w:lvlText w:val="（%1）"/>
      <w:lvlJc w:val="left"/>
      <w:pPr>
        <w:ind w:left="1015"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12">
    <w:nsid w:val="9ACF65A0"/>
    <w:multiLevelType w:val="multilevel"/>
    <w:tmpl w:val="9ACF65A0"/>
    <w:lvl w:ilvl="0" w:tentative="0">
      <w:start w:val="1"/>
      <w:numFmt w:val="decimal"/>
      <w:lvlText w:val="（%1）"/>
      <w:lvlJc w:val="left"/>
      <w:pPr>
        <w:ind w:left="126" w:hanging="506"/>
        <w:jc w:val="left"/>
      </w:pPr>
      <w:rPr>
        <w:rFonts w:hint="default" w:ascii="宋体" w:hAnsi="宋体" w:eastAsia="宋体" w:cs="宋体"/>
        <w:spacing w:val="-15"/>
        <w:w w:val="100"/>
        <w:sz w:val="17"/>
        <w:szCs w:val="17"/>
        <w:lang w:val="zh-CN" w:eastAsia="zh-CN" w:bidi="zh-CN"/>
      </w:rPr>
    </w:lvl>
    <w:lvl w:ilvl="1" w:tentative="0">
      <w:start w:val="0"/>
      <w:numFmt w:val="bullet"/>
      <w:lvlText w:val="•"/>
      <w:lvlJc w:val="left"/>
      <w:pPr>
        <w:ind w:left="1188" w:hanging="506"/>
      </w:pPr>
      <w:rPr>
        <w:rFonts w:hint="default"/>
        <w:lang w:val="zh-CN" w:eastAsia="zh-CN" w:bidi="zh-CN"/>
      </w:rPr>
    </w:lvl>
    <w:lvl w:ilvl="2" w:tentative="0">
      <w:start w:val="0"/>
      <w:numFmt w:val="bullet"/>
      <w:lvlText w:val="•"/>
      <w:lvlJc w:val="left"/>
      <w:pPr>
        <w:ind w:left="2256" w:hanging="506"/>
      </w:pPr>
      <w:rPr>
        <w:rFonts w:hint="default"/>
        <w:lang w:val="zh-CN" w:eastAsia="zh-CN" w:bidi="zh-CN"/>
      </w:rPr>
    </w:lvl>
    <w:lvl w:ilvl="3" w:tentative="0">
      <w:start w:val="0"/>
      <w:numFmt w:val="bullet"/>
      <w:lvlText w:val="•"/>
      <w:lvlJc w:val="left"/>
      <w:pPr>
        <w:ind w:left="3324" w:hanging="506"/>
      </w:pPr>
      <w:rPr>
        <w:rFonts w:hint="default"/>
        <w:lang w:val="zh-CN" w:eastAsia="zh-CN" w:bidi="zh-CN"/>
      </w:rPr>
    </w:lvl>
    <w:lvl w:ilvl="4" w:tentative="0">
      <w:start w:val="0"/>
      <w:numFmt w:val="bullet"/>
      <w:lvlText w:val="•"/>
      <w:lvlJc w:val="left"/>
      <w:pPr>
        <w:ind w:left="4392" w:hanging="506"/>
      </w:pPr>
      <w:rPr>
        <w:rFonts w:hint="default"/>
        <w:lang w:val="zh-CN" w:eastAsia="zh-CN" w:bidi="zh-CN"/>
      </w:rPr>
    </w:lvl>
    <w:lvl w:ilvl="5" w:tentative="0">
      <w:start w:val="0"/>
      <w:numFmt w:val="bullet"/>
      <w:lvlText w:val="•"/>
      <w:lvlJc w:val="left"/>
      <w:pPr>
        <w:ind w:left="5460" w:hanging="506"/>
      </w:pPr>
      <w:rPr>
        <w:rFonts w:hint="default"/>
        <w:lang w:val="zh-CN" w:eastAsia="zh-CN" w:bidi="zh-CN"/>
      </w:rPr>
    </w:lvl>
    <w:lvl w:ilvl="6" w:tentative="0">
      <w:start w:val="0"/>
      <w:numFmt w:val="bullet"/>
      <w:lvlText w:val="•"/>
      <w:lvlJc w:val="left"/>
      <w:pPr>
        <w:ind w:left="6528" w:hanging="506"/>
      </w:pPr>
      <w:rPr>
        <w:rFonts w:hint="default"/>
        <w:lang w:val="zh-CN" w:eastAsia="zh-CN" w:bidi="zh-CN"/>
      </w:rPr>
    </w:lvl>
    <w:lvl w:ilvl="7" w:tentative="0">
      <w:start w:val="0"/>
      <w:numFmt w:val="bullet"/>
      <w:lvlText w:val="•"/>
      <w:lvlJc w:val="left"/>
      <w:pPr>
        <w:ind w:left="7596" w:hanging="506"/>
      </w:pPr>
      <w:rPr>
        <w:rFonts w:hint="default"/>
        <w:lang w:val="zh-CN" w:eastAsia="zh-CN" w:bidi="zh-CN"/>
      </w:rPr>
    </w:lvl>
    <w:lvl w:ilvl="8" w:tentative="0">
      <w:start w:val="0"/>
      <w:numFmt w:val="bullet"/>
      <w:lvlText w:val="•"/>
      <w:lvlJc w:val="left"/>
      <w:pPr>
        <w:ind w:left="8664" w:hanging="506"/>
      </w:pPr>
      <w:rPr>
        <w:rFonts w:hint="default"/>
        <w:lang w:val="zh-CN" w:eastAsia="zh-CN" w:bidi="zh-CN"/>
      </w:rPr>
    </w:lvl>
  </w:abstractNum>
  <w:abstractNum w:abstractNumId="13">
    <w:nsid w:val="9C8AC8EF"/>
    <w:multiLevelType w:val="multilevel"/>
    <w:tmpl w:val="9C8AC8EF"/>
    <w:lvl w:ilvl="0" w:tentative="0">
      <w:start w:val="1"/>
      <w:numFmt w:val="decimal"/>
      <w:lvlText w:val="（%1）"/>
      <w:lvlJc w:val="left"/>
      <w:pPr>
        <w:ind w:left="1015"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14">
    <w:nsid w:val="9D5D7490"/>
    <w:multiLevelType w:val="multilevel"/>
    <w:tmpl w:val="9D5D7490"/>
    <w:lvl w:ilvl="0" w:tentative="0">
      <w:start w:val="1"/>
      <w:numFmt w:val="decimal"/>
      <w:lvlText w:val="（%1）"/>
      <w:lvlJc w:val="left"/>
      <w:pPr>
        <w:ind w:left="126" w:hanging="506"/>
        <w:jc w:val="left"/>
      </w:pPr>
      <w:rPr>
        <w:rFonts w:hint="default" w:ascii="宋体" w:hAnsi="宋体" w:eastAsia="宋体" w:cs="宋体"/>
        <w:spacing w:val="-17"/>
        <w:w w:val="100"/>
        <w:sz w:val="17"/>
        <w:szCs w:val="17"/>
        <w:lang w:val="zh-CN" w:eastAsia="zh-CN" w:bidi="zh-CN"/>
      </w:rPr>
    </w:lvl>
    <w:lvl w:ilvl="1" w:tentative="0">
      <w:start w:val="0"/>
      <w:numFmt w:val="bullet"/>
      <w:lvlText w:val="•"/>
      <w:lvlJc w:val="left"/>
      <w:pPr>
        <w:ind w:left="1188" w:hanging="506"/>
      </w:pPr>
      <w:rPr>
        <w:rFonts w:hint="default"/>
        <w:lang w:val="zh-CN" w:eastAsia="zh-CN" w:bidi="zh-CN"/>
      </w:rPr>
    </w:lvl>
    <w:lvl w:ilvl="2" w:tentative="0">
      <w:start w:val="0"/>
      <w:numFmt w:val="bullet"/>
      <w:lvlText w:val="•"/>
      <w:lvlJc w:val="left"/>
      <w:pPr>
        <w:ind w:left="2256" w:hanging="506"/>
      </w:pPr>
      <w:rPr>
        <w:rFonts w:hint="default"/>
        <w:lang w:val="zh-CN" w:eastAsia="zh-CN" w:bidi="zh-CN"/>
      </w:rPr>
    </w:lvl>
    <w:lvl w:ilvl="3" w:tentative="0">
      <w:start w:val="0"/>
      <w:numFmt w:val="bullet"/>
      <w:lvlText w:val="•"/>
      <w:lvlJc w:val="left"/>
      <w:pPr>
        <w:ind w:left="3324" w:hanging="506"/>
      </w:pPr>
      <w:rPr>
        <w:rFonts w:hint="default"/>
        <w:lang w:val="zh-CN" w:eastAsia="zh-CN" w:bidi="zh-CN"/>
      </w:rPr>
    </w:lvl>
    <w:lvl w:ilvl="4" w:tentative="0">
      <w:start w:val="0"/>
      <w:numFmt w:val="bullet"/>
      <w:lvlText w:val="•"/>
      <w:lvlJc w:val="left"/>
      <w:pPr>
        <w:ind w:left="4392" w:hanging="506"/>
      </w:pPr>
      <w:rPr>
        <w:rFonts w:hint="default"/>
        <w:lang w:val="zh-CN" w:eastAsia="zh-CN" w:bidi="zh-CN"/>
      </w:rPr>
    </w:lvl>
    <w:lvl w:ilvl="5" w:tentative="0">
      <w:start w:val="0"/>
      <w:numFmt w:val="bullet"/>
      <w:lvlText w:val="•"/>
      <w:lvlJc w:val="left"/>
      <w:pPr>
        <w:ind w:left="5460" w:hanging="506"/>
      </w:pPr>
      <w:rPr>
        <w:rFonts w:hint="default"/>
        <w:lang w:val="zh-CN" w:eastAsia="zh-CN" w:bidi="zh-CN"/>
      </w:rPr>
    </w:lvl>
    <w:lvl w:ilvl="6" w:tentative="0">
      <w:start w:val="0"/>
      <w:numFmt w:val="bullet"/>
      <w:lvlText w:val="•"/>
      <w:lvlJc w:val="left"/>
      <w:pPr>
        <w:ind w:left="6528" w:hanging="506"/>
      </w:pPr>
      <w:rPr>
        <w:rFonts w:hint="default"/>
        <w:lang w:val="zh-CN" w:eastAsia="zh-CN" w:bidi="zh-CN"/>
      </w:rPr>
    </w:lvl>
    <w:lvl w:ilvl="7" w:tentative="0">
      <w:start w:val="0"/>
      <w:numFmt w:val="bullet"/>
      <w:lvlText w:val="•"/>
      <w:lvlJc w:val="left"/>
      <w:pPr>
        <w:ind w:left="7596" w:hanging="506"/>
      </w:pPr>
      <w:rPr>
        <w:rFonts w:hint="default"/>
        <w:lang w:val="zh-CN" w:eastAsia="zh-CN" w:bidi="zh-CN"/>
      </w:rPr>
    </w:lvl>
    <w:lvl w:ilvl="8" w:tentative="0">
      <w:start w:val="0"/>
      <w:numFmt w:val="bullet"/>
      <w:lvlText w:val="•"/>
      <w:lvlJc w:val="left"/>
      <w:pPr>
        <w:ind w:left="8664" w:hanging="506"/>
      </w:pPr>
      <w:rPr>
        <w:rFonts w:hint="default"/>
        <w:lang w:val="zh-CN" w:eastAsia="zh-CN" w:bidi="zh-CN"/>
      </w:rPr>
    </w:lvl>
  </w:abstractNum>
  <w:abstractNum w:abstractNumId="15">
    <w:nsid w:val="9E72CD51"/>
    <w:multiLevelType w:val="singleLevel"/>
    <w:tmpl w:val="9E72CD51"/>
    <w:lvl w:ilvl="0" w:tentative="0">
      <w:start w:val="1"/>
      <w:numFmt w:val="chineseCounting"/>
      <w:suff w:val="nothing"/>
      <w:lvlText w:val="（%1）"/>
      <w:lvlJc w:val="left"/>
      <w:pPr>
        <w:ind w:left="0" w:firstLine="420"/>
      </w:pPr>
      <w:rPr>
        <w:rFonts w:hint="eastAsia"/>
      </w:rPr>
    </w:lvl>
  </w:abstractNum>
  <w:abstractNum w:abstractNumId="16">
    <w:nsid w:val="A0C93552"/>
    <w:multiLevelType w:val="multilevel"/>
    <w:tmpl w:val="A0C93552"/>
    <w:lvl w:ilvl="0" w:tentative="0">
      <w:start w:val="3"/>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1"/>
      <w:numFmt w:val="decimal"/>
      <w:lvlText w:val="%1.%2"/>
      <w:lvlJc w:val="left"/>
      <w:pPr>
        <w:ind w:left="365" w:hanging="265"/>
        <w:jc w:val="left"/>
      </w:pPr>
      <w:rPr>
        <w:rFonts w:hint="default" w:ascii="MS UI Gothic" w:hAnsi="MS UI Gothic" w:eastAsia="MS UI Gothic" w:cs="MS UI Gothic"/>
        <w:spacing w:val="-6"/>
        <w:w w:val="125"/>
        <w:sz w:val="15"/>
        <w:szCs w:val="15"/>
        <w:lang w:val="zh-CN" w:eastAsia="zh-CN" w:bidi="zh-CN"/>
      </w:rPr>
    </w:lvl>
    <w:lvl w:ilvl="2" w:tentative="0">
      <w:start w:val="0"/>
      <w:numFmt w:val="bullet"/>
      <w:lvlText w:val="•"/>
      <w:lvlJc w:val="left"/>
      <w:pPr>
        <w:ind w:left="1314" w:hanging="265"/>
      </w:pPr>
      <w:rPr>
        <w:rFonts w:hint="default"/>
        <w:lang w:val="zh-CN" w:eastAsia="zh-CN" w:bidi="zh-CN"/>
      </w:rPr>
    </w:lvl>
    <w:lvl w:ilvl="3" w:tentative="0">
      <w:start w:val="0"/>
      <w:numFmt w:val="bullet"/>
      <w:lvlText w:val="•"/>
      <w:lvlJc w:val="left"/>
      <w:pPr>
        <w:ind w:left="2269" w:hanging="265"/>
      </w:pPr>
      <w:rPr>
        <w:rFonts w:hint="default"/>
        <w:lang w:val="zh-CN" w:eastAsia="zh-CN" w:bidi="zh-CN"/>
      </w:rPr>
    </w:lvl>
    <w:lvl w:ilvl="4" w:tentative="0">
      <w:start w:val="0"/>
      <w:numFmt w:val="bullet"/>
      <w:lvlText w:val="•"/>
      <w:lvlJc w:val="left"/>
      <w:pPr>
        <w:ind w:left="3223" w:hanging="265"/>
      </w:pPr>
      <w:rPr>
        <w:rFonts w:hint="default"/>
        <w:lang w:val="zh-CN" w:eastAsia="zh-CN" w:bidi="zh-CN"/>
      </w:rPr>
    </w:lvl>
    <w:lvl w:ilvl="5" w:tentative="0">
      <w:start w:val="0"/>
      <w:numFmt w:val="bullet"/>
      <w:lvlText w:val="•"/>
      <w:lvlJc w:val="left"/>
      <w:pPr>
        <w:ind w:left="4178" w:hanging="265"/>
      </w:pPr>
      <w:rPr>
        <w:rFonts w:hint="default"/>
        <w:lang w:val="zh-CN" w:eastAsia="zh-CN" w:bidi="zh-CN"/>
      </w:rPr>
    </w:lvl>
    <w:lvl w:ilvl="6" w:tentative="0">
      <w:start w:val="0"/>
      <w:numFmt w:val="bullet"/>
      <w:lvlText w:val="•"/>
      <w:lvlJc w:val="left"/>
      <w:pPr>
        <w:ind w:left="5132" w:hanging="265"/>
      </w:pPr>
      <w:rPr>
        <w:rFonts w:hint="default"/>
        <w:lang w:val="zh-CN" w:eastAsia="zh-CN" w:bidi="zh-CN"/>
      </w:rPr>
    </w:lvl>
    <w:lvl w:ilvl="7" w:tentative="0">
      <w:start w:val="0"/>
      <w:numFmt w:val="bullet"/>
      <w:lvlText w:val="•"/>
      <w:lvlJc w:val="left"/>
      <w:pPr>
        <w:ind w:left="6087" w:hanging="265"/>
      </w:pPr>
      <w:rPr>
        <w:rFonts w:hint="default"/>
        <w:lang w:val="zh-CN" w:eastAsia="zh-CN" w:bidi="zh-CN"/>
      </w:rPr>
    </w:lvl>
    <w:lvl w:ilvl="8" w:tentative="0">
      <w:start w:val="0"/>
      <w:numFmt w:val="bullet"/>
      <w:lvlText w:val="•"/>
      <w:lvlJc w:val="left"/>
      <w:pPr>
        <w:ind w:left="7041" w:hanging="265"/>
      </w:pPr>
      <w:rPr>
        <w:rFonts w:hint="default"/>
        <w:lang w:val="zh-CN" w:eastAsia="zh-CN" w:bidi="zh-CN"/>
      </w:rPr>
    </w:lvl>
  </w:abstractNum>
  <w:abstractNum w:abstractNumId="17">
    <w:nsid w:val="A0F05207"/>
    <w:multiLevelType w:val="multilevel"/>
    <w:tmpl w:val="A0F05207"/>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18">
    <w:nsid w:val="AAF3F3FA"/>
    <w:multiLevelType w:val="multilevel"/>
    <w:tmpl w:val="AAF3F3FA"/>
    <w:lvl w:ilvl="0" w:tentative="0">
      <w:start w:val="1"/>
      <w:numFmt w:val="decimal"/>
      <w:lvlText w:val="（%1）"/>
      <w:lvlJc w:val="left"/>
      <w:pPr>
        <w:ind w:left="126" w:hanging="506"/>
        <w:jc w:val="left"/>
      </w:pPr>
      <w:rPr>
        <w:rFonts w:hint="default" w:ascii="宋体" w:hAnsi="宋体" w:eastAsia="宋体" w:cs="宋体"/>
        <w:spacing w:val="-18"/>
        <w:w w:val="100"/>
        <w:sz w:val="17"/>
        <w:szCs w:val="17"/>
        <w:lang w:val="zh-CN" w:eastAsia="zh-CN" w:bidi="zh-CN"/>
      </w:rPr>
    </w:lvl>
    <w:lvl w:ilvl="1" w:tentative="0">
      <w:start w:val="0"/>
      <w:numFmt w:val="bullet"/>
      <w:lvlText w:val="•"/>
      <w:lvlJc w:val="left"/>
      <w:pPr>
        <w:ind w:left="1188" w:hanging="506"/>
      </w:pPr>
      <w:rPr>
        <w:rFonts w:hint="default"/>
        <w:lang w:val="zh-CN" w:eastAsia="zh-CN" w:bidi="zh-CN"/>
      </w:rPr>
    </w:lvl>
    <w:lvl w:ilvl="2" w:tentative="0">
      <w:start w:val="0"/>
      <w:numFmt w:val="bullet"/>
      <w:lvlText w:val="•"/>
      <w:lvlJc w:val="left"/>
      <w:pPr>
        <w:ind w:left="2256" w:hanging="506"/>
      </w:pPr>
      <w:rPr>
        <w:rFonts w:hint="default"/>
        <w:lang w:val="zh-CN" w:eastAsia="zh-CN" w:bidi="zh-CN"/>
      </w:rPr>
    </w:lvl>
    <w:lvl w:ilvl="3" w:tentative="0">
      <w:start w:val="0"/>
      <w:numFmt w:val="bullet"/>
      <w:lvlText w:val="•"/>
      <w:lvlJc w:val="left"/>
      <w:pPr>
        <w:ind w:left="3324" w:hanging="506"/>
      </w:pPr>
      <w:rPr>
        <w:rFonts w:hint="default"/>
        <w:lang w:val="zh-CN" w:eastAsia="zh-CN" w:bidi="zh-CN"/>
      </w:rPr>
    </w:lvl>
    <w:lvl w:ilvl="4" w:tentative="0">
      <w:start w:val="0"/>
      <w:numFmt w:val="bullet"/>
      <w:lvlText w:val="•"/>
      <w:lvlJc w:val="left"/>
      <w:pPr>
        <w:ind w:left="4392" w:hanging="506"/>
      </w:pPr>
      <w:rPr>
        <w:rFonts w:hint="default"/>
        <w:lang w:val="zh-CN" w:eastAsia="zh-CN" w:bidi="zh-CN"/>
      </w:rPr>
    </w:lvl>
    <w:lvl w:ilvl="5" w:tentative="0">
      <w:start w:val="0"/>
      <w:numFmt w:val="bullet"/>
      <w:lvlText w:val="•"/>
      <w:lvlJc w:val="left"/>
      <w:pPr>
        <w:ind w:left="5460" w:hanging="506"/>
      </w:pPr>
      <w:rPr>
        <w:rFonts w:hint="default"/>
        <w:lang w:val="zh-CN" w:eastAsia="zh-CN" w:bidi="zh-CN"/>
      </w:rPr>
    </w:lvl>
    <w:lvl w:ilvl="6" w:tentative="0">
      <w:start w:val="0"/>
      <w:numFmt w:val="bullet"/>
      <w:lvlText w:val="•"/>
      <w:lvlJc w:val="left"/>
      <w:pPr>
        <w:ind w:left="6528" w:hanging="506"/>
      </w:pPr>
      <w:rPr>
        <w:rFonts w:hint="default"/>
        <w:lang w:val="zh-CN" w:eastAsia="zh-CN" w:bidi="zh-CN"/>
      </w:rPr>
    </w:lvl>
    <w:lvl w:ilvl="7" w:tentative="0">
      <w:start w:val="0"/>
      <w:numFmt w:val="bullet"/>
      <w:lvlText w:val="•"/>
      <w:lvlJc w:val="left"/>
      <w:pPr>
        <w:ind w:left="7596" w:hanging="506"/>
      </w:pPr>
      <w:rPr>
        <w:rFonts w:hint="default"/>
        <w:lang w:val="zh-CN" w:eastAsia="zh-CN" w:bidi="zh-CN"/>
      </w:rPr>
    </w:lvl>
    <w:lvl w:ilvl="8" w:tentative="0">
      <w:start w:val="0"/>
      <w:numFmt w:val="bullet"/>
      <w:lvlText w:val="•"/>
      <w:lvlJc w:val="left"/>
      <w:pPr>
        <w:ind w:left="8664" w:hanging="506"/>
      </w:pPr>
      <w:rPr>
        <w:rFonts w:hint="default"/>
        <w:lang w:val="zh-CN" w:eastAsia="zh-CN" w:bidi="zh-CN"/>
      </w:rPr>
    </w:lvl>
  </w:abstractNum>
  <w:abstractNum w:abstractNumId="19">
    <w:nsid w:val="ABDE1D36"/>
    <w:multiLevelType w:val="singleLevel"/>
    <w:tmpl w:val="ABDE1D36"/>
    <w:lvl w:ilvl="0" w:tentative="0">
      <w:start w:val="1"/>
      <w:numFmt w:val="bullet"/>
      <w:lvlText w:val=""/>
      <w:lvlJc w:val="left"/>
      <w:pPr>
        <w:ind w:left="420" w:hanging="420"/>
      </w:pPr>
      <w:rPr>
        <w:rFonts w:hint="default" w:ascii="Wingdings" w:hAnsi="Wingdings"/>
      </w:rPr>
    </w:lvl>
  </w:abstractNum>
  <w:abstractNum w:abstractNumId="20">
    <w:nsid w:val="B0ED9BEA"/>
    <w:multiLevelType w:val="multilevel"/>
    <w:tmpl w:val="B0ED9BEA"/>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1.%2"/>
      <w:lvlJc w:val="left"/>
      <w:pPr>
        <w:ind w:left="126" w:hanging="304"/>
        <w:jc w:val="left"/>
      </w:pPr>
      <w:rPr>
        <w:rFonts w:hint="default" w:ascii="MS UI Gothic" w:hAnsi="MS UI Gothic" w:eastAsia="MS UI Gothic" w:cs="MS UI Gothic"/>
        <w:spacing w:val="-3"/>
        <w:w w:val="128"/>
        <w:sz w:val="17"/>
        <w:szCs w:val="17"/>
        <w:lang w:val="zh-CN" w:eastAsia="zh-CN" w:bidi="zh-CN"/>
      </w:rPr>
    </w:lvl>
    <w:lvl w:ilvl="2" w:tentative="0">
      <w:start w:val="0"/>
      <w:numFmt w:val="bullet"/>
      <w:lvlText w:val="•"/>
      <w:lvlJc w:val="left"/>
      <w:pPr>
        <w:ind w:left="420" w:hanging="304"/>
      </w:pPr>
      <w:rPr>
        <w:rFonts w:hint="default"/>
        <w:lang w:val="zh-CN" w:eastAsia="zh-CN" w:bidi="zh-CN"/>
      </w:rPr>
    </w:lvl>
    <w:lvl w:ilvl="3" w:tentative="0">
      <w:start w:val="0"/>
      <w:numFmt w:val="bullet"/>
      <w:lvlText w:val="•"/>
      <w:lvlJc w:val="left"/>
      <w:pPr>
        <w:ind w:left="1717" w:hanging="304"/>
      </w:pPr>
      <w:rPr>
        <w:rFonts w:hint="default"/>
        <w:lang w:val="zh-CN" w:eastAsia="zh-CN" w:bidi="zh-CN"/>
      </w:rPr>
    </w:lvl>
    <w:lvl w:ilvl="4" w:tentative="0">
      <w:start w:val="0"/>
      <w:numFmt w:val="bullet"/>
      <w:lvlText w:val="•"/>
      <w:lvlJc w:val="left"/>
      <w:pPr>
        <w:ind w:left="3015" w:hanging="304"/>
      </w:pPr>
      <w:rPr>
        <w:rFonts w:hint="default"/>
        <w:lang w:val="zh-CN" w:eastAsia="zh-CN" w:bidi="zh-CN"/>
      </w:rPr>
    </w:lvl>
    <w:lvl w:ilvl="5" w:tentative="0">
      <w:start w:val="0"/>
      <w:numFmt w:val="bullet"/>
      <w:lvlText w:val="•"/>
      <w:lvlJc w:val="left"/>
      <w:pPr>
        <w:ind w:left="4312" w:hanging="304"/>
      </w:pPr>
      <w:rPr>
        <w:rFonts w:hint="default"/>
        <w:lang w:val="zh-CN" w:eastAsia="zh-CN" w:bidi="zh-CN"/>
      </w:rPr>
    </w:lvl>
    <w:lvl w:ilvl="6" w:tentative="0">
      <w:start w:val="0"/>
      <w:numFmt w:val="bullet"/>
      <w:lvlText w:val="•"/>
      <w:lvlJc w:val="left"/>
      <w:pPr>
        <w:ind w:left="5610" w:hanging="304"/>
      </w:pPr>
      <w:rPr>
        <w:rFonts w:hint="default"/>
        <w:lang w:val="zh-CN" w:eastAsia="zh-CN" w:bidi="zh-CN"/>
      </w:rPr>
    </w:lvl>
    <w:lvl w:ilvl="7" w:tentative="0">
      <w:start w:val="0"/>
      <w:numFmt w:val="bullet"/>
      <w:lvlText w:val="•"/>
      <w:lvlJc w:val="left"/>
      <w:pPr>
        <w:ind w:left="6907" w:hanging="304"/>
      </w:pPr>
      <w:rPr>
        <w:rFonts w:hint="default"/>
        <w:lang w:val="zh-CN" w:eastAsia="zh-CN" w:bidi="zh-CN"/>
      </w:rPr>
    </w:lvl>
    <w:lvl w:ilvl="8" w:tentative="0">
      <w:start w:val="0"/>
      <w:numFmt w:val="bullet"/>
      <w:lvlText w:val="•"/>
      <w:lvlJc w:val="left"/>
      <w:pPr>
        <w:ind w:left="8205" w:hanging="304"/>
      </w:pPr>
      <w:rPr>
        <w:rFonts w:hint="default"/>
        <w:lang w:val="zh-CN" w:eastAsia="zh-CN" w:bidi="zh-CN"/>
      </w:rPr>
    </w:lvl>
  </w:abstractNum>
  <w:abstractNum w:abstractNumId="21">
    <w:nsid w:val="B0F1ACD9"/>
    <w:multiLevelType w:val="multilevel"/>
    <w:tmpl w:val="B0F1ACD9"/>
    <w:lvl w:ilvl="0" w:tentative="0">
      <w:start w:val="1"/>
      <w:numFmt w:val="decimal"/>
      <w:lvlText w:val="%1."/>
      <w:lvlJc w:val="left"/>
      <w:pPr>
        <w:ind w:left="788" w:hanging="183"/>
        <w:jc w:val="right"/>
      </w:pPr>
      <w:rPr>
        <w:rFonts w:hint="default" w:ascii="MS UI Gothic" w:hAnsi="MS UI Gothic" w:eastAsia="MS UI Gothic" w:cs="MS UI Gothic"/>
        <w:spacing w:val="-3"/>
        <w:w w:val="128"/>
        <w:sz w:val="17"/>
        <w:szCs w:val="17"/>
        <w:lang w:val="zh-CN" w:eastAsia="zh-CN" w:bidi="zh-CN"/>
      </w:rPr>
    </w:lvl>
    <w:lvl w:ilvl="1" w:tentative="0">
      <w:start w:val="0"/>
      <w:numFmt w:val="bullet"/>
      <w:lvlText w:val="•"/>
      <w:lvlJc w:val="left"/>
      <w:pPr>
        <w:ind w:left="1782" w:hanging="183"/>
      </w:pPr>
      <w:rPr>
        <w:rFonts w:hint="default"/>
        <w:lang w:val="zh-CN" w:eastAsia="zh-CN" w:bidi="zh-CN"/>
      </w:rPr>
    </w:lvl>
    <w:lvl w:ilvl="2" w:tentative="0">
      <w:start w:val="0"/>
      <w:numFmt w:val="bullet"/>
      <w:lvlText w:val="•"/>
      <w:lvlJc w:val="left"/>
      <w:pPr>
        <w:ind w:left="2784" w:hanging="183"/>
      </w:pPr>
      <w:rPr>
        <w:rFonts w:hint="default"/>
        <w:lang w:val="zh-CN" w:eastAsia="zh-CN" w:bidi="zh-CN"/>
      </w:rPr>
    </w:lvl>
    <w:lvl w:ilvl="3" w:tentative="0">
      <w:start w:val="0"/>
      <w:numFmt w:val="bullet"/>
      <w:lvlText w:val="•"/>
      <w:lvlJc w:val="left"/>
      <w:pPr>
        <w:ind w:left="3786" w:hanging="183"/>
      </w:pPr>
      <w:rPr>
        <w:rFonts w:hint="default"/>
        <w:lang w:val="zh-CN" w:eastAsia="zh-CN" w:bidi="zh-CN"/>
      </w:rPr>
    </w:lvl>
    <w:lvl w:ilvl="4" w:tentative="0">
      <w:start w:val="0"/>
      <w:numFmt w:val="bullet"/>
      <w:lvlText w:val="•"/>
      <w:lvlJc w:val="left"/>
      <w:pPr>
        <w:ind w:left="4788" w:hanging="183"/>
      </w:pPr>
      <w:rPr>
        <w:rFonts w:hint="default"/>
        <w:lang w:val="zh-CN" w:eastAsia="zh-CN" w:bidi="zh-CN"/>
      </w:rPr>
    </w:lvl>
    <w:lvl w:ilvl="5" w:tentative="0">
      <w:start w:val="0"/>
      <w:numFmt w:val="bullet"/>
      <w:lvlText w:val="•"/>
      <w:lvlJc w:val="left"/>
      <w:pPr>
        <w:ind w:left="5790" w:hanging="183"/>
      </w:pPr>
      <w:rPr>
        <w:rFonts w:hint="default"/>
        <w:lang w:val="zh-CN" w:eastAsia="zh-CN" w:bidi="zh-CN"/>
      </w:rPr>
    </w:lvl>
    <w:lvl w:ilvl="6" w:tentative="0">
      <w:start w:val="0"/>
      <w:numFmt w:val="bullet"/>
      <w:lvlText w:val="•"/>
      <w:lvlJc w:val="left"/>
      <w:pPr>
        <w:ind w:left="6792" w:hanging="183"/>
      </w:pPr>
      <w:rPr>
        <w:rFonts w:hint="default"/>
        <w:lang w:val="zh-CN" w:eastAsia="zh-CN" w:bidi="zh-CN"/>
      </w:rPr>
    </w:lvl>
    <w:lvl w:ilvl="7" w:tentative="0">
      <w:start w:val="0"/>
      <w:numFmt w:val="bullet"/>
      <w:lvlText w:val="•"/>
      <w:lvlJc w:val="left"/>
      <w:pPr>
        <w:ind w:left="7794" w:hanging="183"/>
      </w:pPr>
      <w:rPr>
        <w:rFonts w:hint="default"/>
        <w:lang w:val="zh-CN" w:eastAsia="zh-CN" w:bidi="zh-CN"/>
      </w:rPr>
    </w:lvl>
    <w:lvl w:ilvl="8" w:tentative="0">
      <w:start w:val="0"/>
      <w:numFmt w:val="bullet"/>
      <w:lvlText w:val="•"/>
      <w:lvlJc w:val="left"/>
      <w:pPr>
        <w:ind w:left="8796" w:hanging="183"/>
      </w:pPr>
      <w:rPr>
        <w:rFonts w:hint="default"/>
        <w:lang w:val="zh-CN" w:eastAsia="zh-CN" w:bidi="zh-CN"/>
      </w:rPr>
    </w:lvl>
  </w:abstractNum>
  <w:abstractNum w:abstractNumId="22">
    <w:nsid w:val="B23A94A9"/>
    <w:multiLevelType w:val="multilevel"/>
    <w:tmpl w:val="B23A94A9"/>
    <w:lvl w:ilvl="0" w:tentative="0">
      <w:start w:val="1"/>
      <w:numFmt w:val="decimal"/>
      <w:lvlText w:val="%1."/>
      <w:lvlJc w:val="left"/>
      <w:pPr>
        <w:ind w:left="100"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985" w:hanging="163"/>
      </w:pPr>
      <w:rPr>
        <w:rFonts w:hint="default"/>
        <w:lang w:val="zh-CN" w:eastAsia="zh-CN" w:bidi="zh-CN"/>
      </w:rPr>
    </w:lvl>
    <w:lvl w:ilvl="2" w:tentative="0">
      <w:start w:val="0"/>
      <w:numFmt w:val="bullet"/>
      <w:lvlText w:val="•"/>
      <w:lvlJc w:val="left"/>
      <w:pPr>
        <w:ind w:left="1870" w:hanging="163"/>
      </w:pPr>
      <w:rPr>
        <w:rFonts w:hint="default"/>
        <w:lang w:val="zh-CN" w:eastAsia="zh-CN" w:bidi="zh-CN"/>
      </w:rPr>
    </w:lvl>
    <w:lvl w:ilvl="3" w:tentative="0">
      <w:start w:val="0"/>
      <w:numFmt w:val="bullet"/>
      <w:lvlText w:val="•"/>
      <w:lvlJc w:val="left"/>
      <w:pPr>
        <w:ind w:left="2755" w:hanging="163"/>
      </w:pPr>
      <w:rPr>
        <w:rFonts w:hint="default"/>
        <w:lang w:val="zh-CN" w:eastAsia="zh-CN" w:bidi="zh-CN"/>
      </w:rPr>
    </w:lvl>
    <w:lvl w:ilvl="4" w:tentative="0">
      <w:start w:val="0"/>
      <w:numFmt w:val="bullet"/>
      <w:lvlText w:val="•"/>
      <w:lvlJc w:val="left"/>
      <w:pPr>
        <w:ind w:left="3640" w:hanging="163"/>
      </w:pPr>
      <w:rPr>
        <w:rFonts w:hint="default"/>
        <w:lang w:val="zh-CN" w:eastAsia="zh-CN" w:bidi="zh-CN"/>
      </w:rPr>
    </w:lvl>
    <w:lvl w:ilvl="5" w:tentative="0">
      <w:start w:val="0"/>
      <w:numFmt w:val="bullet"/>
      <w:lvlText w:val="•"/>
      <w:lvlJc w:val="left"/>
      <w:pPr>
        <w:ind w:left="4525" w:hanging="163"/>
      </w:pPr>
      <w:rPr>
        <w:rFonts w:hint="default"/>
        <w:lang w:val="zh-CN" w:eastAsia="zh-CN" w:bidi="zh-CN"/>
      </w:rPr>
    </w:lvl>
    <w:lvl w:ilvl="6" w:tentative="0">
      <w:start w:val="0"/>
      <w:numFmt w:val="bullet"/>
      <w:lvlText w:val="•"/>
      <w:lvlJc w:val="left"/>
      <w:pPr>
        <w:ind w:left="5410" w:hanging="163"/>
      </w:pPr>
      <w:rPr>
        <w:rFonts w:hint="default"/>
        <w:lang w:val="zh-CN" w:eastAsia="zh-CN" w:bidi="zh-CN"/>
      </w:rPr>
    </w:lvl>
    <w:lvl w:ilvl="7" w:tentative="0">
      <w:start w:val="0"/>
      <w:numFmt w:val="bullet"/>
      <w:lvlText w:val="•"/>
      <w:lvlJc w:val="left"/>
      <w:pPr>
        <w:ind w:left="6295" w:hanging="163"/>
      </w:pPr>
      <w:rPr>
        <w:rFonts w:hint="default"/>
        <w:lang w:val="zh-CN" w:eastAsia="zh-CN" w:bidi="zh-CN"/>
      </w:rPr>
    </w:lvl>
    <w:lvl w:ilvl="8" w:tentative="0">
      <w:start w:val="0"/>
      <w:numFmt w:val="bullet"/>
      <w:lvlText w:val="•"/>
      <w:lvlJc w:val="left"/>
      <w:pPr>
        <w:ind w:left="7180" w:hanging="163"/>
      </w:pPr>
      <w:rPr>
        <w:rFonts w:hint="default"/>
        <w:lang w:val="zh-CN" w:eastAsia="zh-CN" w:bidi="zh-CN"/>
      </w:rPr>
    </w:lvl>
  </w:abstractNum>
  <w:abstractNum w:abstractNumId="23">
    <w:nsid w:val="B53F3350"/>
    <w:multiLevelType w:val="multilevel"/>
    <w:tmpl w:val="B53F3350"/>
    <w:lvl w:ilvl="0" w:tentative="0">
      <w:start w:val="12"/>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24">
    <w:nsid w:val="B5E306ED"/>
    <w:multiLevelType w:val="multilevel"/>
    <w:tmpl w:val="B5E306ED"/>
    <w:lvl w:ilvl="0" w:tentative="0">
      <w:start w:val="1"/>
      <w:numFmt w:val="decimal"/>
      <w:lvlText w:val="%1."/>
      <w:lvlJc w:val="left"/>
      <w:pPr>
        <w:ind w:left="894" w:hanging="314"/>
        <w:jc w:val="left"/>
      </w:pPr>
      <w:rPr>
        <w:rFonts w:hint="default" w:ascii="MS UI Gothic" w:hAnsi="MS UI Gothic" w:eastAsia="MS UI Gothic" w:cs="MS UI Gothic"/>
        <w:spacing w:val="-3"/>
        <w:w w:val="100"/>
        <w:sz w:val="17"/>
        <w:szCs w:val="17"/>
        <w:lang w:val="zh-CN" w:eastAsia="zh-CN" w:bidi="zh-CN"/>
      </w:rPr>
    </w:lvl>
    <w:lvl w:ilvl="1" w:tentative="0">
      <w:start w:val="0"/>
      <w:numFmt w:val="bullet"/>
      <w:lvlText w:val="•"/>
      <w:lvlJc w:val="left"/>
      <w:pPr>
        <w:ind w:left="1720" w:hanging="314"/>
      </w:pPr>
      <w:rPr>
        <w:rFonts w:hint="default"/>
        <w:lang w:val="zh-CN" w:eastAsia="zh-CN" w:bidi="zh-CN"/>
      </w:rPr>
    </w:lvl>
    <w:lvl w:ilvl="2" w:tentative="0">
      <w:start w:val="0"/>
      <w:numFmt w:val="bullet"/>
      <w:lvlText w:val="•"/>
      <w:lvlJc w:val="left"/>
      <w:pPr>
        <w:ind w:left="2541" w:hanging="314"/>
      </w:pPr>
      <w:rPr>
        <w:rFonts w:hint="default"/>
        <w:lang w:val="zh-CN" w:eastAsia="zh-CN" w:bidi="zh-CN"/>
      </w:rPr>
    </w:lvl>
    <w:lvl w:ilvl="3" w:tentative="0">
      <w:start w:val="0"/>
      <w:numFmt w:val="bullet"/>
      <w:lvlText w:val="•"/>
      <w:lvlJc w:val="left"/>
      <w:pPr>
        <w:ind w:left="3362" w:hanging="314"/>
      </w:pPr>
      <w:rPr>
        <w:rFonts w:hint="default"/>
        <w:lang w:val="zh-CN" w:eastAsia="zh-CN" w:bidi="zh-CN"/>
      </w:rPr>
    </w:lvl>
    <w:lvl w:ilvl="4" w:tentative="0">
      <w:start w:val="0"/>
      <w:numFmt w:val="bullet"/>
      <w:lvlText w:val="•"/>
      <w:lvlJc w:val="left"/>
      <w:pPr>
        <w:ind w:left="4182" w:hanging="314"/>
      </w:pPr>
      <w:rPr>
        <w:rFonts w:hint="default"/>
        <w:lang w:val="zh-CN" w:eastAsia="zh-CN" w:bidi="zh-CN"/>
      </w:rPr>
    </w:lvl>
    <w:lvl w:ilvl="5" w:tentative="0">
      <w:start w:val="0"/>
      <w:numFmt w:val="bullet"/>
      <w:lvlText w:val="•"/>
      <w:lvlJc w:val="left"/>
      <w:pPr>
        <w:ind w:left="5003" w:hanging="314"/>
      </w:pPr>
      <w:rPr>
        <w:rFonts w:hint="default"/>
        <w:lang w:val="zh-CN" w:eastAsia="zh-CN" w:bidi="zh-CN"/>
      </w:rPr>
    </w:lvl>
    <w:lvl w:ilvl="6" w:tentative="0">
      <w:start w:val="0"/>
      <w:numFmt w:val="bullet"/>
      <w:lvlText w:val="•"/>
      <w:lvlJc w:val="left"/>
      <w:pPr>
        <w:ind w:left="5824" w:hanging="314"/>
      </w:pPr>
      <w:rPr>
        <w:rFonts w:hint="default"/>
        <w:lang w:val="zh-CN" w:eastAsia="zh-CN" w:bidi="zh-CN"/>
      </w:rPr>
    </w:lvl>
    <w:lvl w:ilvl="7" w:tentative="0">
      <w:start w:val="0"/>
      <w:numFmt w:val="bullet"/>
      <w:lvlText w:val="•"/>
      <w:lvlJc w:val="left"/>
      <w:pPr>
        <w:ind w:left="6644" w:hanging="314"/>
      </w:pPr>
      <w:rPr>
        <w:rFonts w:hint="default"/>
        <w:lang w:val="zh-CN" w:eastAsia="zh-CN" w:bidi="zh-CN"/>
      </w:rPr>
    </w:lvl>
    <w:lvl w:ilvl="8" w:tentative="0">
      <w:start w:val="0"/>
      <w:numFmt w:val="bullet"/>
      <w:lvlText w:val="•"/>
      <w:lvlJc w:val="left"/>
      <w:pPr>
        <w:ind w:left="7465" w:hanging="314"/>
      </w:pPr>
      <w:rPr>
        <w:rFonts w:hint="default"/>
        <w:lang w:val="zh-CN" w:eastAsia="zh-CN" w:bidi="zh-CN"/>
      </w:rPr>
    </w:lvl>
  </w:abstractNum>
  <w:abstractNum w:abstractNumId="25">
    <w:nsid w:val="B88D21A8"/>
    <w:multiLevelType w:val="multilevel"/>
    <w:tmpl w:val="B88D21A8"/>
    <w:lvl w:ilvl="0" w:tentative="0">
      <w:start w:val="1"/>
      <w:numFmt w:val="decimal"/>
      <w:lvlText w:val="（%1）"/>
      <w:lvlJc w:val="left"/>
      <w:pPr>
        <w:ind w:left="126" w:hanging="506"/>
        <w:jc w:val="left"/>
      </w:pPr>
      <w:rPr>
        <w:rFonts w:hint="default" w:ascii="宋体" w:hAnsi="宋体" w:eastAsia="宋体" w:cs="宋体"/>
        <w:spacing w:val="-18"/>
        <w:w w:val="100"/>
        <w:sz w:val="17"/>
        <w:szCs w:val="17"/>
        <w:lang w:val="zh-CN" w:eastAsia="zh-CN" w:bidi="zh-CN"/>
      </w:rPr>
    </w:lvl>
    <w:lvl w:ilvl="1" w:tentative="0">
      <w:start w:val="0"/>
      <w:numFmt w:val="bullet"/>
      <w:lvlText w:val="•"/>
      <w:lvlJc w:val="left"/>
      <w:pPr>
        <w:ind w:left="1188" w:hanging="506"/>
      </w:pPr>
      <w:rPr>
        <w:rFonts w:hint="default"/>
        <w:lang w:val="zh-CN" w:eastAsia="zh-CN" w:bidi="zh-CN"/>
      </w:rPr>
    </w:lvl>
    <w:lvl w:ilvl="2" w:tentative="0">
      <w:start w:val="0"/>
      <w:numFmt w:val="bullet"/>
      <w:lvlText w:val="•"/>
      <w:lvlJc w:val="left"/>
      <w:pPr>
        <w:ind w:left="2256" w:hanging="506"/>
      </w:pPr>
      <w:rPr>
        <w:rFonts w:hint="default"/>
        <w:lang w:val="zh-CN" w:eastAsia="zh-CN" w:bidi="zh-CN"/>
      </w:rPr>
    </w:lvl>
    <w:lvl w:ilvl="3" w:tentative="0">
      <w:start w:val="0"/>
      <w:numFmt w:val="bullet"/>
      <w:lvlText w:val="•"/>
      <w:lvlJc w:val="left"/>
      <w:pPr>
        <w:ind w:left="3324" w:hanging="506"/>
      </w:pPr>
      <w:rPr>
        <w:rFonts w:hint="default"/>
        <w:lang w:val="zh-CN" w:eastAsia="zh-CN" w:bidi="zh-CN"/>
      </w:rPr>
    </w:lvl>
    <w:lvl w:ilvl="4" w:tentative="0">
      <w:start w:val="0"/>
      <w:numFmt w:val="bullet"/>
      <w:lvlText w:val="•"/>
      <w:lvlJc w:val="left"/>
      <w:pPr>
        <w:ind w:left="4392" w:hanging="506"/>
      </w:pPr>
      <w:rPr>
        <w:rFonts w:hint="default"/>
        <w:lang w:val="zh-CN" w:eastAsia="zh-CN" w:bidi="zh-CN"/>
      </w:rPr>
    </w:lvl>
    <w:lvl w:ilvl="5" w:tentative="0">
      <w:start w:val="0"/>
      <w:numFmt w:val="bullet"/>
      <w:lvlText w:val="•"/>
      <w:lvlJc w:val="left"/>
      <w:pPr>
        <w:ind w:left="5460" w:hanging="506"/>
      </w:pPr>
      <w:rPr>
        <w:rFonts w:hint="default"/>
        <w:lang w:val="zh-CN" w:eastAsia="zh-CN" w:bidi="zh-CN"/>
      </w:rPr>
    </w:lvl>
    <w:lvl w:ilvl="6" w:tentative="0">
      <w:start w:val="0"/>
      <w:numFmt w:val="bullet"/>
      <w:lvlText w:val="•"/>
      <w:lvlJc w:val="left"/>
      <w:pPr>
        <w:ind w:left="6528" w:hanging="506"/>
      </w:pPr>
      <w:rPr>
        <w:rFonts w:hint="default"/>
        <w:lang w:val="zh-CN" w:eastAsia="zh-CN" w:bidi="zh-CN"/>
      </w:rPr>
    </w:lvl>
    <w:lvl w:ilvl="7" w:tentative="0">
      <w:start w:val="0"/>
      <w:numFmt w:val="bullet"/>
      <w:lvlText w:val="•"/>
      <w:lvlJc w:val="left"/>
      <w:pPr>
        <w:ind w:left="7596" w:hanging="506"/>
      </w:pPr>
      <w:rPr>
        <w:rFonts w:hint="default"/>
        <w:lang w:val="zh-CN" w:eastAsia="zh-CN" w:bidi="zh-CN"/>
      </w:rPr>
    </w:lvl>
    <w:lvl w:ilvl="8" w:tentative="0">
      <w:start w:val="0"/>
      <w:numFmt w:val="bullet"/>
      <w:lvlText w:val="•"/>
      <w:lvlJc w:val="left"/>
      <w:pPr>
        <w:ind w:left="8664" w:hanging="506"/>
      </w:pPr>
      <w:rPr>
        <w:rFonts w:hint="default"/>
        <w:lang w:val="zh-CN" w:eastAsia="zh-CN" w:bidi="zh-CN"/>
      </w:rPr>
    </w:lvl>
  </w:abstractNum>
  <w:abstractNum w:abstractNumId="26">
    <w:nsid w:val="B8CEF35B"/>
    <w:multiLevelType w:val="multilevel"/>
    <w:tmpl w:val="B8CEF35B"/>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27">
    <w:nsid w:val="BB64CFA9"/>
    <w:multiLevelType w:val="multilevel"/>
    <w:tmpl w:val="BB64CFA9"/>
    <w:lvl w:ilvl="0" w:tentative="0">
      <w:start w:val="10"/>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28">
    <w:nsid w:val="BDA1395C"/>
    <w:multiLevelType w:val="multilevel"/>
    <w:tmpl w:val="BDA1395C"/>
    <w:lvl w:ilvl="0" w:tentative="0">
      <w:start w:val="1"/>
      <w:numFmt w:val="decimal"/>
      <w:lvlText w:val="（%1）"/>
      <w:lvlJc w:val="left"/>
      <w:pPr>
        <w:ind w:left="1015"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29">
    <w:nsid w:val="BE8A4F4C"/>
    <w:multiLevelType w:val="multilevel"/>
    <w:tmpl w:val="BE8A4F4C"/>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1.%2"/>
      <w:lvlJc w:val="left"/>
      <w:pPr>
        <w:ind w:left="126" w:hanging="304"/>
        <w:jc w:val="left"/>
      </w:pPr>
      <w:rPr>
        <w:rFonts w:hint="default" w:ascii="MS UI Gothic" w:hAnsi="MS UI Gothic" w:eastAsia="MS UI Gothic" w:cs="MS UI Gothic"/>
        <w:spacing w:val="-3"/>
        <w:w w:val="128"/>
        <w:sz w:val="17"/>
        <w:szCs w:val="17"/>
        <w:lang w:val="zh-CN" w:eastAsia="zh-CN" w:bidi="zh-CN"/>
      </w:rPr>
    </w:lvl>
    <w:lvl w:ilvl="2" w:tentative="0">
      <w:start w:val="1"/>
      <w:numFmt w:val="decimal"/>
      <w:lvlText w:val="%3."/>
      <w:lvlJc w:val="left"/>
      <w:pPr>
        <w:ind w:left="788" w:hanging="183"/>
        <w:jc w:val="left"/>
      </w:pPr>
      <w:rPr>
        <w:rFonts w:hint="default" w:ascii="MS UI Gothic" w:hAnsi="MS UI Gothic" w:eastAsia="MS UI Gothic" w:cs="MS UI Gothic"/>
        <w:spacing w:val="-3"/>
        <w:w w:val="128"/>
        <w:sz w:val="17"/>
        <w:szCs w:val="17"/>
        <w:lang w:val="zh-CN" w:eastAsia="zh-CN" w:bidi="zh-CN"/>
      </w:rPr>
    </w:lvl>
    <w:lvl w:ilvl="3" w:tentative="0">
      <w:start w:val="0"/>
      <w:numFmt w:val="bullet"/>
      <w:lvlText w:val="•"/>
      <w:lvlJc w:val="left"/>
      <w:pPr>
        <w:ind w:left="2032" w:hanging="183"/>
      </w:pPr>
      <w:rPr>
        <w:rFonts w:hint="default"/>
        <w:lang w:val="zh-CN" w:eastAsia="zh-CN" w:bidi="zh-CN"/>
      </w:rPr>
    </w:lvl>
    <w:lvl w:ilvl="4" w:tentative="0">
      <w:start w:val="0"/>
      <w:numFmt w:val="bullet"/>
      <w:lvlText w:val="•"/>
      <w:lvlJc w:val="left"/>
      <w:pPr>
        <w:ind w:left="3285" w:hanging="183"/>
      </w:pPr>
      <w:rPr>
        <w:rFonts w:hint="default"/>
        <w:lang w:val="zh-CN" w:eastAsia="zh-CN" w:bidi="zh-CN"/>
      </w:rPr>
    </w:lvl>
    <w:lvl w:ilvl="5" w:tentative="0">
      <w:start w:val="0"/>
      <w:numFmt w:val="bullet"/>
      <w:lvlText w:val="•"/>
      <w:lvlJc w:val="left"/>
      <w:pPr>
        <w:ind w:left="4537" w:hanging="183"/>
      </w:pPr>
      <w:rPr>
        <w:rFonts w:hint="default"/>
        <w:lang w:val="zh-CN" w:eastAsia="zh-CN" w:bidi="zh-CN"/>
      </w:rPr>
    </w:lvl>
    <w:lvl w:ilvl="6" w:tentative="0">
      <w:start w:val="0"/>
      <w:numFmt w:val="bullet"/>
      <w:lvlText w:val="•"/>
      <w:lvlJc w:val="left"/>
      <w:pPr>
        <w:ind w:left="5790" w:hanging="183"/>
      </w:pPr>
      <w:rPr>
        <w:rFonts w:hint="default"/>
        <w:lang w:val="zh-CN" w:eastAsia="zh-CN" w:bidi="zh-CN"/>
      </w:rPr>
    </w:lvl>
    <w:lvl w:ilvl="7" w:tentative="0">
      <w:start w:val="0"/>
      <w:numFmt w:val="bullet"/>
      <w:lvlText w:val="•"/>
      <w:lvlJc w:val="left"/>
      <w:pPr>
        <w:ind w:left="7042" w:hanging="183"/>
      </w:pPr>
      <w:rPr>
        <w:rFonts w:hint="default"/>
        <w:lang w:val="zh-CN" w:eastAsia="zh-CN" w:bidi="zh-CN"/>
      </w:rPr>
    </w:lvl>
    <w:lvl w:ilvl="8" w:tentative="0">
      <w:start w:val="0"/>
      <w:numFmt w:val="bullet"/>
      <w:lvlText w:val="•"/>
      <w:lvlJc w:val="left"/>
      <w:pPr>
        <w:ind w:left="8295" w:hanging="183"/>
      </w:pPr>
      <w:rPr>
        <w:rFonts w:hint="default"/>
        <w:lang w:val="zh-CN" w:eastAsia="zh-CN" w:bidi="zh-CN"/>
      </w:rPr>
    </w:lvl>
  </w:abstractNum>
  <w:abstractNum w:abstractNumId="30">
    <w:nsid w:val="BE923771"/>
    <w:multiLevelType w:val="multilevel"/>
    <w:tmpl w:val="BE923771"/>
    <w:lvl w:ilvl="0" w:tentative="0">
      <w:start w:val="1"/>
      <w:numFmt w:val="decimal"/>
      <w:lvlText w:val="（%1）"/>
      <w:lvlJc w:val="left"/>
      <w:pPr>
        <w:ind w:left="1111"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2088" w:hanging="506"/>
      </w:pPr>
      <w:rPr>
        <w:rFonts w:hint="default"/>
        <w:lang w:val="zh-CN" w:eastAsia="zh-CN" w:bidi="zh-CN"/>
      </w:rPr>
    </w:lvl>
    <w:lvl w:ilvl="2" w:tentative="0">
      <w:start w:val="0"/>
      <w:numFmt w:val="bullet"/>
      <w:lvlText w:val="•"/>
      <w:lvlJc w:val="left"/>
      <w:pPr>
        <w:ind w:left="3056" w:hanging="506"/>
      </w:pPr>
      <w:rPr>
        <w:rFonts w:hint="default"/>
        <w:lang w:val="zh-CN" w:eastAsia="zh-CN" w:bidi="zh-CN"/>
      </w:rPr>
    </w:lvl>
    <w:lvl w:ilvl="3" w:tentative="0">
      <w:start w:val="0"/>
      <w:numFmt w:val="bullet"/>
      <w:lvlText w:val="•"/>
      <w:lvlJc w:val="left"/>
      <w:pPr>
        <w:ind w:left="4024" w:hanging="506"/>
      </w:pPr>
      <w:rPr>
        <w:rFonts w:hint="default"/>
        <w:lang w:val="zh-CN" w:eastAsia="zh-CN" w:bidi="zh-CN"/>
      </w:rPr>
    </w:lvl>
    <w:lvl w:ilvl="4" w:tentative="0">
      <w:start w:val="0"/>
      <w:numFmt w:val="bullet"/>
      <w:lvlText w:val="•"/>
      <w:lvlJc w:val="left"/>
      <w:pPr>
        <w:ind w:left="4992" w:hanging="506"/>
      </w:pPr>
      <w:rPr>
        <w:rFonts w:hint="default"/>
        <w:lang w:val="zh-CN" w:eastAsia="zh-CN" w:bidi="zh-CN"/>
      </w:rPr>
    </w:lvl>
    <w:lvl w:ilvl="5" w:tentative="0">
      <w:start w:val="0"/>
      <w:numFmt w:val="bullet"/>
      <w:lvlText w:val="•"/>
      <w:lvlJc w:val="left"/>
      <w:pPr>
        <w:ind w:left="5960" w:hanging="506"/>
      </w:pPr>
      <w:rPr>
        <w:rFonts w:hint="default"/>
        <w:lang w:val="zh-CN" w:eastAsia="zh-CN" w:bidi="zh-CN"/>
      </w:rPr>
    </w:lvl>
    <w:lvl w:ilvl="6" w:tentative="0">
      <w:start w:val="0"/>
      <w:numFmt w:val="bullet"/>
      <w:lvlText w:val="•"/>
      <w:lvlJc w:val="left"/>
      <w:pPr>
        <w:ind w:left="6928" w:hanging="506"/>
      </w:pPr>
      <w:rPr>
        <w:rFonts w:hint="default"/>
        <w:lang w:val="zh-CN" w:eastAsia="zh-CN" w:bidi="zh-CN"/>
      </w:rPr>
    </w:lvl>
    <w:lvl w:ilvl="7" w:tentative="0">
      <w:start w:val="0"/>
      <w:numFmt w:val="bullet"/>
      <w:lvlText w:val="•"/>
      <w:lvlJc w:val="left"/>
      <w:pPr>
        <w:ind w:left="7896" w:hanging="506"/>
      </w:pPr>
      <w:rPr>
        <w:rFonts w:hint="default"/>
        <w:lang w:val="zh-CN" w:eastAsia="zh-CN" w:bidi="zh-CN"/>
      </w:rPr>
    </w:lvl>
    <w:lvl w:ilvl="8" w:tentative="0">
      <w:start w:val="0"/>
      <w:numFmt w:val="bullet"/>
      <w:lvlText w:val="•"/>
      <w:lvlJc w:val="left"/>
      <w:pPr>
        <w:ind w:left="8864" w:hanging="506"/>
      </w:pPr>
      <w:rPr>
        <w:rFonts w:hint="default"/>
        <w:lang w:val="zh-CN" w:eastAsia="zh-CN" w:bidi="zh-CN"/>
      </w:rPr>
    </w:lvl>
  </w:abstractNum>
  <w:abstractNum w:abstractNumId="31">
    <w:nsid w:val="BF205925"/>
    <w:multiLevelType w:val="multilevel"/>
    <w:tmpl w:val="BF205925"/>
    <w:lvl w:ilvl="0" w:tentative="0">
      <w:start w:val="1"/>
      <w:numFmt w:val="decimal"/>
      <w:lvlText w:val="%1."/>
      <w:lvlJc w:val="left"/>
      <w:pPr>
        <w:ind w:left="823" w:hanging="314"/>
        <w:jc w:val="left"/>
      </w:pPr>
      <w:rPr>
        <w:rFonts w:hint="default" w:ascii="MS UI Gothic" w:hAnsi="MS UI Gothic" w:eastAsia="MS UI Gothic" w:cs="MS UI Gothic"/>
        <w:spacing w:val="-3"/>
        <w:w w:val="100"/>
        <w:sz w:val="17"/>
        <w:szCs w:val="17"/>
        <w:lang w:val="zh-CN" w:eastAsia="zh-CN" w:bidi="zh-CN"/>
      </w:rPr>
    </w:lvl>
    <w:lvl w:ilvl="1" w:tentative="0">
      <w:start w:val="0"/>
      <w:numFmt w:val="bullet"/>
      <w:lvlText w:val="•"/>
      <w:lvlJc w:val="left"/>
      <w:pPr>
        <w:ind w:left="1818" w:hanging="314"/>
      </w:pPr>
      <w:rPr>
        <w:rFonts w:hint="default"/>
        <w:lang w:val="zh-CN" w:eastAsia="zh-CN" w:bidi="zh-CN"/>
      </w:rPr>
    </w:lvl>
    <w:lvl w:ilvl="2" w:tentative="0">
      <w:start w:val="0"/>
      <w:numFmt w:val="bullet"/>
      <w:lvlText w:val="•"/>
      <w:lvlJc w:val="left"/>
      <w:pPr>
        <w:ind w:left="2816" w:hanging="314"/>
      </w:pPr>
      <w:rPr>
        <w:rFonts w:hint="default"/>
        <w:lang w:val="zh-CN" w:eastAsia="zh-CN" w:bidi="zh-CN"/>
      </w:rPr>
    </w:lvl>
    <w:lvl w:ilvl="3" w:tentative="0">
      <w:start w:val="0"/>
      <w:numFmt w:val="bullet"/>
      <w:lvlText w:val="•"/>
      <w:lvlJc w:val="left"/>
      <w:pPr>
        <w:ind w:left="3814" w:hanging="314"/>
      </w:pPr>
      <w:rPr>
        <w:rFonts w:hint="default"/>
        <w:lang w:val="zh-CN" w:eastAsia="zh-CN" w:bidi="zh-CN"/>
      </w:rPr>
    </w:lvl>
    <w:lvl w:ilvl="4" w:tentative="0">
      <w:start w:val="0"/>
      <w:numFmt w:val="bullet"/>
      <w:lvlText w:val="•"/>
      <w:lvlJc w:val="left"/>
      <w:pPr>
        <w:ind w:left="4812" w:hanging="314"/>
      </w:pPr>
      <w:rPr>
        <w:rFonts w:hint="default"/>
        <w:lang w:val="zh-CN" w:eastAsia="zh-CN" w:bidi="zh-CN"/>
      </w:rPr>
    </w:lvl>
    <w:lvl w:ilvl="5" w:tentative="0">
      <w:start w:val="0"/>
      <w:numFmt w:val="bullet"/>
      <w:lvlText w:val="•"/>
      <w:lvlJc w:val="left"/>
      <w:pPr>
        <w:ind w:left="5810" w:hanging="314"/>
      </w:pPr>
      <w:rPr>
        <w:rFonts w:hint="default"/>
        <w:lang w:val="zh-CN" w:eastAsia="zh-CN" w:bidi="zh-CN"/>
      </w:rPr>
    </w:lvl>
    <w:lvl w:ilvl="6" w:tentative="0">
      <w:start w:val="0"/>
      <w:numFmt w:val="bullet"/>
      <w:lvlText w:val="•"/>
      <w:lvlJc w:val="left"/>
      <w:pPr>
        <w:ind w:left="6808" w:hanging="314"/>
      </w:pPr>
      <w:rPr>
        <w:rFonts w:hint="default"/>
        <w:lang w:val="zh-CN" w:eastAsia="zh-CN" w:bidi="zh-CN"/>
      </w:rPr>
    </w:lvl>
    <w:lvl w:ilvl="7" w:tentative="0">
      <w:start w:val="0"/>
      <w:numFmt w:val="bullet"/>
      <w:lvlText w:val="•"/>
      <w:lvlJc w:val="left"/>
      <w:pPr>
        <w:ind w:left="7806" w:hanging="314"/>
      </w:pPr>
      <w:rPr>
        <w:rFonts w:hint="default"/>
        <w:lang w:val="zh-CN" w:eastAsia="zh-CN" w:bidi="zh-CN"/>
      </w:rPr>
    </w:lvl>
    <w:lvl w:ilvl="8" w:tentative="0">
      <w:start w:val="0"/>
      <w:numFmt w:val="bullet"/>
      <w:lvlText w:val="•"/>
      <w:lvlJc w:val="left"/>
      <w:pPr>
        <w:ind w:left="8804" w:hanging="314"/>
      </w:pPr>
      <w:rPr>
        <w:rFonts w:hint="default"/>
        <w:lang w:val="zh-CN" w:eastAsia="zh-CN" w:bidi="zh-CN"/>
      </w:rPr>
    </w:lvl>
  </w:abstractNum>
  <w:abstractNum w:abstractNumId="32">
    <w:nsid w:val="C0915F4F"/>
    <w:multiLevelType w:val="multilevel"/>
    <w:tmpl w:val="C0915F4F"/>
    <w:lvl w:ilvl="0" w:tentative="0">
      <w:start w:val="1"/>
      <w:numFmt w:val="decimal"/>
      <w:lvlText w:val="%1."/>
      <w:lvlJc w:val="left"/>
      <w:pPr>
        <w:ind w:left="100"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985" w:hanging="163"/>
      </w:pPr>
      <w:rPr>
        <w:rFonts w:hint="default"/>
        <w:lang w:val="zh-CN" w:eastAsia="zh-CN" w:bidi="zh-CN"/>
      </w:rPr>
    </w:lvl>
    <w:lvl w:ilvl="2" w:tentative="0">
      <w:start w:val="0"/>
      <w:numFmt w:val="bullet"/>
      <w:lvlText w:val="•"/>
      <w:lvlJc w:val="left"/>
      <w:pPr>
        <w:ind w:left="1870" w:hanging="163"/>
      </w:pPr>
      <w:rPr>
        <w:rFonts w:hint="default"/>
        <w:lang w:val="zh-CN" w:eastAsia="zh-CN" w:bidi="zh-CN"/>
      </w:rPr>
    </w:lvl>
    <w:lvl w:ilvl="3" w:tentative="0">
      <w:start w:val="0"/>
      <w:numFmt w:val="bullet"/>
      <w:lvlText w:val="•"/>
      <w:lvlJc w:val="left"/>
      <w:pPr>
        <w:ind w:left="2755" w:hanging="163"/>
      </w:pPr>
      <w:rPr>
        <w:rFonts w:hint="default"/>
        <w:lang w:val="zh-CN" w:eastAsia="zh-CN" w:bidi="zh-CN"/>
      </w:rPr>
    </w:lvl>
    <w:lvl w:ilvl="4" w:tentative="0">
      <w:start w:val="0"/>
      <w:numFmt w:val="bullet"/>
      <w:lvlText w:val="•"/>
      <w:lvlJc w:val="left"/>
      <w:pPr>
        <w:ind w:left="3640" w:hanging="163"/>
      </w:pPr>
      <w:rPr>
        <w:rFonts w:hint="default"/>
        <w:lang w:val="zh-CN" w:eastAsia="zh-CN" w:bidi="zh-CN"/>
      </w:rPr>
    </w:lvl>
    <w:lvl w:ilvl="5" w:tentative="0">
      <w:start w:val="0"/>
      <w:numFmt w:val="bullet"/>
      <w:lvlText w:val="•"/>
      <w:lvlJc w:val="left"/>
      <w:pPr>
        <w:ind w:left="4525" w:hanging="163"/>
      </w:pPr>
      <w:rPr>
        <w:rFonts w:hint="default"/>
        <w:lang w:val="zh-CN" w:eastAsia="zh-CN" w:bidi="zh-CN"/>
      </w:rPr>
    </w:lvl>
    <w:lvl w:ilvl="6" w:tentative="0">
      <w:start w:val="0"/>
      <w:numFmt w:val="bullet"/>
      <w:lvlText w:val="•"/>
      <w:lvlJc w:val="left"/>
      <w:pPr>
        <w:ind w:left="5410" w:hanging="163"/>
      </w:pPr>
      <w:rPr>
        <w:rFonts w:hint="default"/>
        <w:lang w:val="zh-CN" w:eastAsia="zh-CN" w:bidi="zh-CN"/>
      </w:rPr>
    </w:lvl>
    <w:lvl w:ilvl="7" w:tentative="0">
      <w:start w:val="0"/>
      <w:numFmt w:val="bullet"/>
      <w:lvlText w:val="•"/>
      <w:lvlJc w:val="left"/>
      <w:pPr>
        <w:ind w:left="6295" w:hanging="163"/>
      </w:pPr>
      <w:rPr>
        <w:rFonts w:hint="default"/>
        <w:lang w:val="zh-CN" w:eastAsia="zh-CN" w:bidi="zh-CN"/>
      </w:rPr>
    </w:lvl>
    <w:lvl w:ilvl="8" w:tentative="0">
      <w:start w:val="0"/>
      <w:numFmt w:val="bullet"/>
      <w:lvlText w:val="•"/>
      <w:lvlJc w:val="left"/>
      <w:pPr>
        <w:ind w:left="7180" w:hanging="163"/>
      </w:pPr>
      <w:rPr>
        <w:rFonts w:hint="default"/>
        <w:lang w:val="zh-CN" w:eastAsia="zh-CN" w:bidi="zh-CN"/>
      </w:rPr>
    </w:lvl>
  </w:abstractNum>
  <w:abstractNum w:abstractNumId="33">
    <w:nsid w:val="C3CB2AE0"/>
    <w:multiLevelType w:val="singleLevel"/>
    <w:tmpl w:val="C3CB2AE0"/>
    <w:lvl w:ilvl="0" w:tentative="0">
      <w:start w:val="1"/>
      <w:numFmt w:val="chineseCounting"/>
      <w:suff w:val="nothing"/>
      <w:lvlText w:val="（%1）"/>
      <w:lvlJc w:val="left"/>
      <w:pPr>
        <w:ind w:left="0" w:firstLine="420"/>
      </w:pPr>
      <w:rPr>
        <w:rFonts w:hint="eastAsia"/>
      </w:rPr>
    </w:lvl>
  </w:abstractNum>
  <w:abstractNum w:abstractNumId="34">
    <w:nsid w:val="C4DF69E3"/>
    <w:multiLevelType w:val="singleLevel"/>
    <w:tmpl w:val="C4DF69E3"/>
    <w:lvl w:ilvl="0" w:tentative="0">
      <w:start w:val="1"/>
      <w:numFmt w:val="chineseCounting"/>
      <w:suff w:val="nothing"/>
      <w:lvlText w:val="（%1）"/>
      <w:lvlJc w:val="left"/>
      <w:pPr>
        <w:ind w:left="0" w:firstLine="420"/>
      </w:pPr>
      <w:rPr>
        <w:rFonts w:hint="eastAsia"/>
      </w:rPr>
    </w:lvl>
  </w:abstractNum>
  <w:abstractNum w:abstractNumId="35">
    <w:nsid w:val="C4E0D24A"/>
    <w:multiLevelType w:val="multilevel"/>
    <w:tmpl w:val="C4E0D24A"/>
    <w:lvl w:ilvl="0" w:tentative="0">
      <w:start w:val="2"/>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1"/>
      <w:numFmt w:val="decimal"/>
      <w:lvlText w:val="%1.%2"/>
      <w:lvlJc w:val="left"/>
      <w:pPr>
        <w:ind w:left="100" w:hanging="265"/>
        <w:jc w:val="left"/>
      </w:pPr>
      <w:rPr>
        <w:rFonts w:hint="default" w:ascii="MS UI Gothic" w:hAnsi="MS UI Gothic" w:eastAsia="MS UI Gothic" w:cs="MS UI Gothic"/>
        <w:spacing w:val="-6"/>
        <w:w w:val="125"/>
        <w:sz w:val="15"/>
        <w:szCs w:val="15"/>
        <w:lang w:val="zh-CN" w:eastAsia="zh-CN" w:bidi="zh-CN"/>
      </w:rPr>
    </w:lvl>
    <w:lvl w:ilvl="2" w:tentative="0">
      <w:start w:val="0"/>
      <w:numFmt w:val="bullet"/>
      <w:lvlText w:val="•"/>
      <w:lvlJc w:val="left"/>
      <w:pPr>
        <w:ind w:left="1225" w:hanging="265"/>
      </w:pPr>
      <w:rPr>
        <w:rFonts w:hint="default"/>
        <w:lang w:val="zh-CN" w:eastAsia="zh-CN" w:bidi="zh-CN"/>
      </w:rPr>
    </w:lvl>
    <w:lvl w:ilvl="3" w:tentative="0">
      <w:start w:val="0"/>
      <w:numFmt w:val="bullet"/>
      <w:lvlText w:val="•"/>
      <w:lvlJc w:val="left"/>
      <w:pPr>
        <w:ind w:left="2191" w:hanging="265"/>
      </w:pPr>
      <w:rPr>
        <w:rFonts w:hint="default"/>
        <w:lang w:val="zh-CN" w:eastAsia="zh-CN" w:bidi="zh-CN"/>
      </w:rPr>
    </w:lvl>
    <w:lvl w:ilvl="4" w:tentative="0">
      <w:start w:val="0"/>
      <w:numFmt w:val="bullet"/>
      <w:lvlText w:val="•"/>
      <w:lvlJc w:val="left"/>
      <w:pPr>
        <w:ind w:left="3157" w:hanging="265"/>
      </w:pPr>
      <w:rPr>
        <w:rFonts w:hint="default"/>
        <w:lang w:val="zh-CN" w:eastAsia="zh-CN" w:bidi="zh-CN"/>
      </w:rPr>
    </w:lvl>
    <w:lvl w:ilvl="5" w:tentative="0">
      <w:start w:val="0"/>
      <w:numFmt w:val="bullet"/>
      <w:lvlText w:val="•"/>
      <w:lvlJc w:val="left"/>
      <w:pPr>
        <w:ind w:left="4122" w:hanging="265"/>
      </w:pPr>
      <w:rPr>
        <w:rFonts w:hint="default"/>
        <w:lang w:val="zh-CN" w:eastAsia="zh-CN" w:bidi="zh-CN"/>
      </w:rPr>
    </w:lvl>
    <w:lvl w:ilvl="6" w:tentative="0">
      <w:start w:val="0"/>
      <w:numFmt w:val="bullet"/>
      <w:lvlText w:val="•"/>
      <w:lvlJc w:val="left"/>
      <w:pPr>
        <w:ind w:left="5088" w:hanging="265"/>
      </w:pPr>
      <w:rPr>
        <w:rFonts w:hint="default"/>
        <w:lang w:val="zh-CN" w:eastAsia="zh-CN" w:bidi="zh-CN"/>
      </w:rPr>
    </w:lvl>
    <w:lvl w:ilvl="7" w:tentative="0">
      <w:start w:val="0"/>
      <w:numFmt w:val="bullet"/>
      <w:lvlText w:val="•"/>
      <w:lvlJc w:val="left"/>
      <w:pPr>
        <w:ind w:left="6054" w:hanging="265"/>
      </w:pPr>
      <w:rPr>
        <w:rFonts w:hint="default"/>
        <w:lang w:val="zh-CN" w:eastAsia="zh-CN" w:bidi="zh-CN"/>
      </w:rPr>
    </w:lvl>
    <w:lvl w:ilvl="8" w:tentative="0">
      <w:start w:val="0"/>
      <w:numFmt w:val="bullet"/>
      <w:lvlText w:val="•"/>
      <w:lvlJc w:val="left"/>
      <w:pPr>
        <w:ind w:left="7019" w:hanging="265"/>
      </w:pPr>
      <w:rPr>
        <w:rFonts w:hint="default"/>
        <w:lang w:val="zh-CN" w:eastAsia="zh-CN" w:bidi="zh-CN"/>
      </w:rPr>
    </w:lvl>
  </w:abstractNum>
  <w:abstractNum w:abstractNumId="36">
    <w:nsid w:val="C8879AEF"/>
    <w:multiLevelType w:val="multilevel"/>
    <w:tmpl w:val="C8879AEF"/>
    <w:lvl w:ilvl="0" w:tentative="0">
      <w:start w:val="1"/>
      <w:numFmt w:val="decimal"/>
      <w:lvlText w:val="（%1）"/>
      <w:lvlJc w:val="left"/>
      <w:pPr>
        <w:ind w:left="126" w:hanging="506"/>
        <w:jc w:val="left"/>
      </w:pPr>
      <w:rPr>
        <w:rFonts w:hint="default" w:ascii="宋体" w:hAnsi="宋体" w:eastAsia="宋体" w:cs="宋体"/>
        <w:spacing w:val="-17"/>
        <w:w w:val="100"/>
        <w:sz w:val="17"/>
        <w:szCs w:val="17"/>
        <w:lang w:val="zh-CN" w:eastAsia="zh-CN" w:bidi="zh-CN"/>
      </w:rPr>
    </w:lvl>
    <w:lvl w:ilvl="1" w:tentative="0">
      <w:start w:val="0"/>
      <w:numFmt w:val="bullet"/>
      <w:lvlText w:val="•"/>
      <w:lvlJc w:val="left"/>
      <w:pPr>
        <w:ind w:left="1188" w:hanging="506"/>
      </w:pPr>
      <w:rPr>
        <w:rFonts w:hint="default"/>
        <w:lang w:val="zh-CN" w:eastAsia="zh-CN" w:bidi="zh-CN"/>
      </w:rPr>
    </w:lvl>
    <w:lvl w:ilvl="2" w:tentative="0">
      <w:start w:val="0"/>
      <w:numFmt w:val="bullet"/>
      <w:lvlText w:val="•"/>
      <w:lvlJc w:val="left"/>
      <w:pPr>
        <w:ind w:left="2256" w:hanging="506"/>
      </w:pPr>
      <w:rPr>
        <w:rFonts w:hint="default"/>
        <w:lang w:val="zh-CN" w:eastAsia="zh-CN" w:bidi="zh-CN"/>
      </w:rPr>
    </w:lvl>
    <w:lvl w:ilvl="3" w:tentative="0">
      <w:start w:val="0"/>
      <w:numFmt w:val="bullet"/>
      <w:lvlText w:val="•"/>
      <w:lvlJc w:val="left"/>
      <w:pPr>
        <w:ind w:left="3324" w:hanging="506"/>
      </w:pPr>
      <w:rPr>
        <w:rFonts w:hint="default"/>
        <w:lang w:val="zh-CN" w:eastAsia="zh-CN" w:bidi="zh-CN"/>
      </w:rPr>
    </w:lvl>
    <w:lvl w:ilvl="4" w:tentative="0">
      <w:start w:val="0"/>
      <w:numFmt w:val="bullet"/>
      <w:lvlText w:val="•"/>
      <w:lvlJc w:val="left"/>
      <w:pPr>
        <w:ind w:left="4392" w:hanging="506"/>
      </w:pPr>
      <w:rPr>
        <w:rFonts w:hint="default"/>
        <w:lang w:val="zh-CN" w:eastAsia="zh-CN" w:bidi="zh-CN"/>
      </w:rPr>
    </w:lvl>
    <w:lvl w:ilvl="5" w:tentative="0">
      <w:start w:val="0"/>
      <w:numFmt w:val="bullet"/>
      <w:lvlText w:val="•"/>
      <w:lvlJc w:val="left"/>
      <w:pPr>
        <w:ind w:left="5460" w:hanging="506"/>
      </w:pPr>
      <w:rPr>
        <w:rFonts w:hint="default"/>
        <w:lang w:val="zh-CN" w:eastAsia="zh-CN" w:bidi="zh-CN"/>
      </w:rPr>
    </w:lvl>
    <w:lvl w:ilvl="6" w:tentative="0">
      <w:start w:val="0"/>
      <w:numFmt w:val="bullet"/>
      <w:lvlText w:val="•"/>
      <w:lvlJc w:val="left"/>
      <w:pPr>
        <w:ind w:left="6528" w:hanging="506"/>
      </w:pPr>
      <w:rPr>
        <w:rFonts w:hint="default"/>
        <w:lang w:val="zh-CN" w:eastAsia="zh-CN" w:bidi="zh-CN"/>
      </w:rPr>
    </w:lvl>
    <w:lvl w:ilvl="7" w:tentative="0">
      <w:start w:val="0"/>
      <w:numFmt w:val="bullet"/>
      <w:lvlText w:val="•"/>
      <w:lvlJc w:val="left"/>
      <w:pPr>
        <w:ind w:left="7596" w:hanging="506"/>
      </w:pPr>
      <w:rPr>
        <w:rFonts w:hint="default"/>
        <w:lang w:val="zh-CN" w:eastAsia="zh-CN" w:bidi="zh-CN"/>
      </w:rPr>
    </w:lvl>
    <w:lvl w:ilvl="8" w:tentative="0">
      <w:start w:val="0"/>
      <w:numFmt w:val="bullet"/>
      <w:lvlText w:val="•"/>
      <w:lvlJc w:val="left"/>
      <w:pPr>
        <w:ind w:left="8664" w:hanging="506"/>
      </w:pPr>
      <w:rPr>
        <w:rFonts w:hint="default"/>
        <w:lang w:val="zh-CN" w:eastAsia="zh-CN" w:bidi="zh-CN"/>
      </w:rPr>
    </w:lvl>
  </w:abstractNum>
  <w:abstractNum w:abstractNumId="37">
    <w:nsid w:val="CF092B84"/>
    <w:multiLevelType w:val="multilevel"/>
    <w:tmpl w:val="CF092B84"/>
    <w:lvl w:ilvl="0" w:tentative="0">
      <w:start w:val="1"/>
      <w:numFmt w:val="decimal"/>
      <w:lvlText w:val="%1."/>
      <w:lvlJc w:val="left"/>
      <w:pPr>
        <w:ind w:left="126" w:hanging="183"/>
        <w:jc w:val="left"/>
      </w:pPr>
      <w:rPr>
        <w:rFonts w:hint="default" w:ascii="MS UI Gothic" w:hAnsi="MS UI Gothic" w:eastAsia="MS UI Gothic" w:cs="MS UI Gothic"/>
        <w:spacing w:val="-3"/>
        <w:w w:val="128"/>
        <w:sz w:val="17"/>
        <w:szCs w:val="17"/>
        <w:lang w:val="zh-CN" w:eastAsia="zh-CN" w:bidi="zh-CN"/>
      </w:rPr>
    </w:lvl>
    <w:lvl w:ilvl="1" w:tentative="0">
      <w:start w:val="0"/>
      <w:numFmt w:val="bullet"/>
      <w:lvlText w:val="•"/>
      <w:lvlJc w:val="left"/>
      <w:pPr>
        <w:ind w:left="1188" w:hanging="183"/>
      </w:pPr>
      <w:rPr>
        <w:rFonts w:hint="default"/>
        <w:lang w:val="zh-CN" w:eastAsia="zh-CN" w:bidi="zh-CN"/>
      </w:rPr>
    </w:lvl>
    <w:lvl w:ilvl="2" w:tentative="0">
      <w:start w:val="0"/>
      <w:numFmt w:val="bullet"/>
      <w:lvlText w:val="•"/>
      <w:lvlJc w:val="left"/>
      <w:pPr>
        <w:ind w:left="2256" w:hanging="183"/>
      </w:pPr>
      <w:rPr>
        <w:rFonts w:hint="default"/>
        <w:lang w:val="zh-CN" w:eastAsia="zh-CN" w:bidi="zh-CN"/>
      </w:rPr>
    </w:lvl>
    <w:lvl w:ilvl="3" w:tentative="0">
      <w:start w:val="0"/>
      <w:numFmt w:val="bullet"/>
      <w:lvlText w:val="•"/>
      <w:lvlJc w:val="left"/>
      <w:pPr>
        <w:ind w:left="3324" w:hanging="183"/>
      </w:pPr>
      <w:rPr>
        <w:rFonts w:hint="default"/>
        <w:lang w:val="zh-CN" w:eastAsia="zh-CN" w:bidi="zh-CN"/>
      </w:rPr>
    </w:lvl>
    <w:lvl w:ilvl="4" w:tentative="0">
      <w:start w:val="0"/>
      <w:numFmt w:val="bullet"/>
      <w:lvlText w:val="•"/>
      <w:lvlJc w:val="left"/>
      <w:pPr>
        <w:ind w:left="4392" w:hanging="183"/>
      </w:pPr>
      <w:rPr>
        <w:rFonts w:hint="default"/>
        <w:lang w:val="zh-CN" w:eastAsia="zh-CN" w:bidi="zh-CN"/>
      </w:rPr>
    </w:lvl>
    <w:lvl w:ilvl="5" w:tentative="0">
      <w:start w:val="0"/>
      <w:numFmt w:val="bullet"/>
      <w:lvlText w:val="•"/>
      <w:lvlJc w:val="left"/>
      <w:pPr>
        <w:ind w:left="5460" w:hanging="183"/>
      </w:pPr>
      <w:rPr>
        <w:rFonts w:hint="default"/>
        <w:lang w:val="zh-CN" w:eastAsia="zh-CN" w:bidi="zh-CN"/>
      </w:rPr>
    </w:lvl>
    <w:lvl w:ilvl="6" w:tentative="0">
      <w:start w:val="0"/>
      <w:numFmt w:val="bullet"/>
      <w:lvlText w:val="•"/>
      <w:lvlJc w:val="left"/>
      <w:pPr>
        <w:ind w:left="6528" w:hanging="183"/>
      </w:pPr>
      <w:rPr>
        <w:rFonts w:hint="default"/>
        <w:lang w:val="zh-CN" w:eastAsia="zh-CN" w:bidi="zh-CN"/>
      </w:rPr>
    </w:lvl>
    <w:lvl w:ilvl="7" w:tentative="0">
      <w:start w:val="0"/>
      <w:numFmt w:val="bullet"/>
      <w:lvlText w:val="•"/>
      <w:lvlJc w:val="left"/>
      <w:pPr>
        <w:ind w:left="7596" w:hanging="183"/>
      </w:pPr>
      <w:rPr>
        <w:rFonts w:hint="default"/>
        <w:lang w:val="zh-CN" w:eastAsia="zh-CN" w:bidi="zh-CN"/>
      </w:rPr>
    </w:lvl>
    <w:lvl w:ilvl="8" w:tentative="0">
      <w:start w:val="0"/>
      <w:numFmt w:val="bullet"/>
      <w:lvlText w:val="•"/>
      <w:lvlJc w:val="left"/>
      <w:pPr>
        <w:ind w:left="8664" w:hanging="183"/>
      </w:pPr>
      <w:rPr>
        <w:rFonts w:hint="default"/>
        <w:lang w:val="zh-CN" w:eastAsia="zh-CN" w:bidi="zh-CN"/>
      </w:rPr>
    </w:lvl>
  </w:abstractNum>
  <w:abstractNum w:abstractNumId="38">
    <w:nsid w:val="D7D140E4"/>
    <w:multiLevelType w:val="multilevel"/>
    <w:tmpl w:val="D7D140E4"/>
    <w:lvl w:ilvl="0" w:tentative="0">
      <w:start w:val="17"/>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39">
    <w:nsid w:val="D7F9FE59"/>
    <w:multiLevelType w:val="multilevel"/>
    <w:tmpl w:val="D7F9FE59"/>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1.%2"/>
      <w:lvlJc w:val="left"/>
      <w:pPr>
        <w:ind w:left="126" w:hanging="304"/>
        <w:jc w:val="left"/>
      </w:pPr>
      <w:rPr>
        <w:rFonts w:hint="default" w:ascii="MS UI Gothic" w:hAnsi="MS UI Gothic" w:eastAsia="MS UI Gothic" w:cs="MS UI Gothic"/>
        <w:spacing w:val="-3"/>
        <w:w w:val="128"/>
        <w:sz w:val="17"/>
        <w:szCs w:val="17"/>
        <w:lang w:val="zh-CN" w:eastAsia="zh-CN" w:bidi="zh-CN"/>
      </w:rPr>
    </w:lvl>
    <w:lvl w:ilvl="2" w:tentative="0">
      <w:start w:val="0"/>
      <w:numFmt w:val="bullet"/>
      <w:lvlText w:val="•"/>
      <w:lvlJc w:val="left"/>
      <w:pPr>
        <w:ind w:left="1502" w:hanging="304"/>
      </w:pPr>
      <w:rPr>
        <w:rFonts w:hint="default"/>
        <w:lang w:val="zh-CN" w:eastAsia="zh-CN" w:bidi="zh-CN"/>
      </w:rPr>
    </w:lvl>
    <w:lvl w:ilvl="3" w:tentative="0">
      <w:start w:val="0"/>
      <w:numFmt w:val="bullet"/>
      <w:lvlText w:val="•"/>
      <w:lvlJc w:val="left"/>
      <w:pPr>
        <w:ind w:left="2664" w:hanging="304"/>
      </w:pPr>
      <w:rPr>
        <w:rFonts w:hint="default"/>
        <w:lang w:val="zh-CN" w:eastAsia="zh-CN" w:bidi="zh-CN"/>
      </w:rPr>
    </w:lvl>
    <w:lvl w:ilvl="4" w:tentative="0">
      <w:start w:val="0"/>
      <w:numFmt w:val="bullet"/>
      <w:lvlText w:val="•"/>
      <w:lvlJc w:val="left"/>
      <w:pPr>
        <w:ind w:left="3826" w:hanging="304"/>
      </w:pPr>
      <w:rPr>
        <w:rFonts w:hint="default"/>
        <w:lang w:val="zh-CN" w:eastAsia="zh-CN" w:bidi="zh-CN"/>
      </w:rPr>
    </w:lvl>
    <w:lvl w:ilvl="5" w:tentative="0">
      <w:start w:val="0"/>
      <w:numFmt w:val="bullet"/>
      <w:lvlText w:val="•"/>
      <w:lvlJc w:val="left"/>
      <w:pPr>
        <w:ind w:left="4988" w:hanging="304"/>
      </w:pPr>
      <w:rPr>
        <w:rFonts w:hint="default"/>
        <w:lang w:val="zh-CN" w:eastAsia="zh-CN" w:bidi="zh-CN"/>
      </w:rPr>
    </w:lvl>
    <w:lvl w:ilvl="6" w:tentative="0">
      <w:start w:val="0"/>
      <w:numFmt w:val="bullet"/>
      <w:lvlText w:val="•"/>
      <w:lvlJc w:val="left"/>
      <w:pPr>
        <w:ind w:left="6151" w:hanging="304"/>
      </w:pPr>
      <w:rPr>
        <w:rFonts w:hint="default"/>
        <w:lang w:val="zh-CN" w:eastAsia="zh-CN" w:bidi="zh-CN"/>
      </w:rPr>
    </w:lvl>
    <w:lvl w:ilvl="7" w:tentative="0">
      <w:start w:val="0"/>
      <w:numFmt w:val="bullet"/>
      <w:lvlText w:val="•"/>
      <w:lvlJc w:val="left"/>
      <w:pPr>
        <w:ind w:left="7313" w:hanging="304"/>
      </w:pPr>
      <w:rPr>
        <w:rFonts w:hint="default"/>
        <w:lang w:val="zh-CN" w:eastAsia="zh-CN" w:bidi="zh-CN"/>
      </w:rPr>
    </w:lvl>
    <w:lvl w:ilvl="8" w:tentative="0">
      <w:start w:val="0"/>
      <w:numFmt w:val="bullet"/>
      <w:lvlText w:val="•"/>
      <w:lvlJc w:val="left"/>
      <w:pPr>
        <w:ind w:left="8475" w:hanging="304"/>
      </w:pPr>
      <w:rPr>
        <w:rFonts w:hint="default"/>
        <w:lang w:val="zh-CN" w:eastAsia="zh-CN" w:bidi="zh-CN"/>
      </w:rPr>
    </w:lvl>
  </w:abstractNum>
  <w:abstractNum w:abstractNumId="40">
    <w:nsid w:val="DAD3A854"/>
    <w:multiLevelType w:val="multilevel"/>
    <w:tmpl w:val="DAD3A854"/>
    <w:lvl w:ilvl="0" w:tentative="0">
      <w:start w:val="5"/>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1"/>
      <w:numFmt w:val="decimal"/>
      <w:lvlText w:val="%1.%2"/>
      <w:lvlJc w:val="left"/>
      <w:pPr>
        <w:ind w:left="100" w:hanging="265"/>
        <w:jc w:val="left"/>
      </w:pPr>
      <w:rPr>
        <w:rFonts w:hint="default" w:ascii="MS UI Gothic" w:hAnsi="MS UI Gothic" w:eastAsia="MS UI Gothic" w:cs="MS UI Gothic"/>
        <w:spacing w:val="-6"/>
        <w:w w:val="125"/>
        <w:sz w:val="15"/>
        <w:szCs w:val="15"/>
        <w:lang w:val="zh-CN" w:eastAsia="zh-CN" w:bidi="zh-CN"/>
      </w:rPr>
    </w:lvl>
    <w:lvl w:ilvl="2" w:tentative="0">
      <w:start w:val="0"/>
      <w:numFmt w:val="bullet"/>
      <w:lvlText w:val="•"/>
      <w:lvlJc w:val="left"/>
      <w:pPr>
        <w:ind w:left="1225" w:hanging="265"/>
      </w:pPr>
      <w:rPr>
        <w:rFonts w:hint="default"/>
        <w:lang w:val="zh-CN" w:eastAsia="zh-CN" w:bidi="zh-CN"/>
      </w:rPr>
    </w:lvl>
    <w:lvl w:ilvl="3" w:tentative="0">
      <w:start w:val="0"/>
      <w:numFmt w:val="bullet"/>
      <w:lvlText w:val="•"/>
      <w:lvlJc w:val="left"/>
      <w:pPr>
        <w:ind w:left="2191" w:hanging="265"/>
      </w:pPr>
      <w:rPr>
        <w:rFonts w:hint="default"/>
        <w:lang w:val="zh-CN" w:eastAsia="zh-CN" w:bidi="zh-CN"/>
      </w:rPr>
    </w:lvl>
    <w:lvl w:ilvl="4" w:tentative="0">
      <w:start w:val="0"/>
      <w:numFmt w:val="bullet"/>
      <w:lvlText w:val="•"/>
      <w:lvlJc w:val="left"/>
      <w:pPr>
        <w:ind w:left="3157" w:hanging="265"/>
      </w:pPr>
      <w:rPr>
        <w:rFonts w:hint="default"/>
        <w:lang w:val="zh-CN" w:eastAsia="zh-CN" w:bidi="zh-CN"/>
      </w:rPr>
    </w:lvl>
    <w:lvl w:ilvl="5" w:tentative="0">
      <w:start w:val="0"/>
      <w:numFmt w:val="bullet"/>
      <w:lvlText w:val="•"/>
      <w:lvlJc w:val="left"/>
      <w:pPr>
        <w:ind w:left="4122" w:hanging="265"/>
      </w:pPr>
      <w:rPr>
        <w:rFonts w:hint="default"/>
        <w:lang w:val="zh-CN" w:eastAsia="zh-CN" w:bidi="zh-CN"/>
      </w:rPr>
    </w:lvl>
    <w:lvl w:ilvl="6" w:tentative="0">
      <w:start w:val="0"/>
      <w:numFmt w:val="bullet"/>
      <w:lvlText w:val="•"/>
      <w:lvlJc w:val="left"/>
      <w:pPr>
        <w:ind w:left="5088" w:hanging="265"/>
      </w:pPr>
      <w:rPr>
        <w:rFonts w:hint="default"/>
        <w:lang w:val="zh-CN" w:eastAsia="zh-CN" w:bidi="zh-CN"/>
      </w:rPr>
    </w:lvl>
    <w:lvl w:ilvl="7" w:tentative="0">
      <w:start w:val="0"/>
      <w:numFmt w:val="bullet"/>
      <w:lvlText w:val="•"/>
      <w:lvlJc w:val="left"/>
      <w:pPr>
        <w:ind w:left="6054" w:hanging="265"/>
      </w:pPr>
      <w:rPr>
        <w:rFonts w:hint="default"/>
        <w:lang w:val="zh-CN" w:eastAsia="zh-CN" w:bidi="zh-CN"/>
      </w:rPr>
    </w:lvl>
    <w:lvl w:ilvl="8" w:tentative="0">
      <w:start w:val="0"/>
      <w:numFmt w:val="bullet"/>
      <w:lvlText w:val="•"/>
      <w:lvlJc w:val="left"/>
      <w:pPr>
        <w:ind w:left="7019" w:hanging="265"/>
      </w:pPr>
      <w:rPr>
        <w:rFonts w:hint="default"/>
        <w:lang w:val="zh-CN" w:eastAsia="zh-CN" w:bidi="zh-CN"/>
      </w:rPr>
    </w:lvl>
  </w:abstractNum>
  <w:abstractNum w:abstractNumId="41">
    <w:nsid w:val="DCBA6B53"/>
    <w:multiLevelType w:val="multilevel"/>
    <w:tmpl w:val="DCBA6B53"/>
    <w:lvl w:ilvl="0" w:tentative="0">
      <w:start w:val="1"/>
      <w:numFmt w:val="decimal"/>
      <w:lvlText w:val="（%1）"/>
      <w:lvlJc w:val="left"/>
      <w:pPr>
        <w:ind w:left="126" w:hanging="506"/>
        <w:jc w:val="left"/>
      </w:pPr>
      <w:rPr>
        <w:rFonts w:hint="default" w:ascii="宋体" w:hAnsi="宋体" w:eastAsia="宋体" w:cs="宋体"/>
        <w:spacing w:val="-35"/>
        <w:w w:val="100"/>
        <w:sz w:val="17"/>
        <w:szCs w:val="17"/>
        <w:lang w:val="zh-CN" w:eastAsia="zh-CN" w:bidi="zh-CN"/>
      </w:rPr>
    </w:lvl>
    <w:lvl w:ilvl="1" w:tentative="0">
      <w:start w:val="0"/>
      <w:numFmt w:val="bullet"/>
      <w:lvlText w:val="•"/>
      <w:lvlJc w:val="left"/>
      <w:pPr>
        <w:ind w:left="1188" w:hanging="506"/>
      </w:pPr>
      <w:rPr>
        <w:rFonts w:hint="default"/>
        <w:lang w:val="zh-CN" w:eastAsia="zh-CN" w:bidi="zh-CN"/>
      </w:rPr>
    </w:lvl>
    <w:lvl w:ilvl="2" w:tentative="0">
      <w:start w:val="0"/>
      <w:numFmt w:val="bullet"/>
      <w:lvlText w:val="•"/>
      <w:lvlJc w:val="left"/>
      <w:pPr>
        <w:ind w:left="2256" w:hanging="506"/>
      </w:pPr>
      <w:rPr>
        <w:rFonts w:hint="default"/>
        <w:lang w:val="zh-CN" w:eastAsia="zh-CN" w:bidi="zh-CN"/>
      </w:rPr>
    </w:lvl>
    <w:lvl w:ilvl="3" w:tentative="0">
      <w:start w:val="0"/>
      <w:numFmt w:val="bullet"/>
      <w:lvlText w:val="•"/>
      <w:lvlJc w:val="left"/>
      <w:pPr>
        <w:ind w:left="3324" w:hanging="506"/>
      </w:pPr>
      <w:rPr>
        <w:rFonts w:hint="default"/>
        <w:lang w:val="zh-CN" w:eastAsia="zh-CN" w:bidi="zh-CN"/>
      </w:rPr>
    </w:lvl>
    <w:lvl w:ilvl="4" w:tentative="0">
      <w:start w:val="0"/>
      <w:numFmt w:val="bullet"/>
      <w:lvlText w:val="•"/>
      <w:lvlJc w:val="left"/>
      <w:pPr>
        <w:ind w:left="4392" w:hanging="506"/>
      </w:pPr>
      <w:rPr>
        <w:rFonts w:hint="default"/>
        <w:lang w:val="zh-CN" w:eastAsia="zh-CN" w:bidi="zh-CN"/>
      </w:rPr>
    </w:lvl>
    <w:lvl w:ilvl="5" w:tentative="0">
      <w:start w:val="0"/>
      <w:numFmt w:val="bullet"/>
      <w:lvlText w:val="•"/>
      <w:lvlJc w:val="left"/>
      <w:pPr>
        <w:ind w:left="5460" w:hanging="506"/>
      </w:pPr>
      <w:rPr>
        <w:rFonts w:hint="default"/>
        <w:lang w:val="zh-CN" w:eastAsia="zh-CN" w:bidi="zh-CN"/>
      </w:rPr>
    </w:lvl>
    <w:lvl w:ilvl="6" w:tentative="0">
      <w:start w:val="0"/>
      <w:numFmt w:val="bullet"/>
      <w:lvlText w:val="•"/>
      <w:lvlJc w:val="left"/>
      <w:pPr>
        <w:ind w:left="6528" w:hanging="506"/>
      </w:pPr>
      <w:rPr>
        <w:rFonts w:hint="default"/>
        <w:lang w:val="zh-CN" w:eastAsia="zh-CN" w:bidi="zh-CN"/>
      </w:rPr>
    </w:lvl>
    <w:lvl w:ilvl="7" w:tentative="0">
      <w:start w:val="0"/>
      <w:numFmt w:val="bullet"/>
      <w:lvlText w:val="•"/>
      <w:lvlJc w:val="left"/>
      <w:pPr>
        <w:ind w:left="7596" w:hanging="506"/>
      </w:pPr>
      <w:rPr>
        <w:rFonts w:hint="default"/>
        <w:lang w:val="zh-CN" w:eastAsia="zh-CN" w:bidi="zh-CN"/>
      </w:rPr>
    </w:lvl>
    <w:lvl w:ilvl="8" w:tentative="0">
      <w:start w:val="0"/>
      <w:numFmt w:val="bullet"/>
      <w:lvlText w:val="•"/>
      <w:lvlJc w:val="left"/>
      <w:pPr>
        <w:ind w:left="8664" w:hanging="506"/>
      </w:pPr>
      <w:rPr>
        <w:rFonts w:hint="default"/>
        <w:lang w:val="zh-CN" w:eastAsia="zh-CN" w:bidi="zh-CN"/>
      </w:rPr>
    </w:lvl>
  </w:abstractNum>
  <w:abstractNum w:abstractNumId="42">
    <w:nsid w:val="E0850BAB"/>
    <w:multiLevelType w:val="multilevel"/>
    <w:tmpl w:val="E0850BAB"/>
    <w:lvl w:ilvl="0" w:tentative="0">
      <w:start w:val="1"/>
      <w:numFmt w:val="chineseCounting"/>
      <w:suff w:val="nothing"/>
      <w:lvlText w:val="%1、"/>
      <w:lvlJc w:val="center"/>
      <w:pPr>
        <w:tabs>
          <w:tab w:val="left" w:pos="0"/>
        </w:tabs>
        <w:ind w:left="0" w:firstLine="0"/>
      </w:pPr>
      <w:rPr>
        <w:rFonts w:hint="eastAsia"/>
      </w:rPr>
    </w:lvl>
    <w:lvl w:ilvl="1" w:tentative="0">
      <w:start w:val="1"/>
      <w:numFmt w:val="decimal"/>
      <w:isLgl/>
      <w:lvlText w:val="%1.%2."/>
      <w:lvlJc w:val="left"/>
      <w:pPr>
        <w:ind w:left="575" w:hanging="575"/>
      </w:pPr>
      <w:rPr>
        <w:rFonts w:hint="eastAsia"/>
      </w:rPr>
    </w:lvl>
    <w:lvl w:ilvl="2" w:tentative="0">
      <w:start w:val="1"/>
      <w:numFmt w:val="decimal"/>
      <w:isLgl/>
      <w:lvlText w:val="%1.%2.%3."/>
      <w:lvlJc w:val="left"/>
      <w:pPr>
        <w:ind w:left="720" w:hanging="720"/>
      </w:pPr>
      <w:rPr>
        <w:rFonts w:hint="eastAsia"/>
      </w:rPr>
    </w:lvl>
    <w:lvl w:ilvl="3" w:tentative="0">
      <w:start w:val="1"/>
      <w:numFmt w:val="decimal"/>
      <w:pStyle w:val="6"/>
      <w:isLgl/>
      <w:lvlText w:val="%1.%2.%3.%4."/>
      <w:lvlJc w:val="left"/>
      <w:pPr>
        <w:ind w:left="864" w:hanging="864"/>
      </w:pPr>
      <w:rPr>
        <w:rFonts w:hint="eastAsia"/>
      </w:rPr>
    </w:lvl>
    <w:lvl w:ilvl="4" w:tentative="0">
      <w:start w:val="1"/>
      <w:numFmt w:val="decimal"/>
      <w:pStyle w:val="7"/>
      <w:isLgl/>
      <w:lvlText w:val="%1.%2.%3.%4.%5."/>
      <w:lvlJc w:val="left"/>
      <w:pPr>
        <w:ind w:left="1008" w:hanging="1008"/>
      </w:pPr>
      <w:rPr>
        <w:rFonts w:hint="eastAsia"/>
      </w:rPr>
    </w:lvl>
    <w:lvl w:ilvl="5" w:tentative="0">
      <w:start w:val="1"/>
      <w:numFmt w:val="decimal"/>
      <w:pStyle w:val="8"/>
      <w:isLgl/>
      <w:lvlText w:val="%1.%2.%3.%4.%5.%6."/>
      <w:lvlJc w:val="left"/>
      <w:pPr>
        <w:ind w:left="1151" w:hanging="1151"/>
      </w:pPr>
      <w:rPr>
        <w:rFonts w:hint="eastAsia"/>
      </w:rPr>
    </w:lvl>
    <w:lvl w:ilvl="6" w:tentative="0">
      <w:start w:val="1"/>
      <w:numFmt w:val="decimal"/>
      <w:isLgl/>
      <w:lvlText w:val="%1.%2.%3.%4.%5.%6.%7."/>
      <w:lvlJc w:val="left"/>
      <w:pPr>
        <w:ind w:left="1296" w:hanging="1296"/>
      </w:pPr>
      <w:rPr>
        <w:rFonts w:hint="eastAsia"/>
      </w:rPr>
    </w:lvl>
    <w:lvl w:ilvl="7" w:tentative="0">
      <w:start w:val="1"/>
      <w:numFmt w:val="decimal"/>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abstractNum w:abstractNumId="43">
    <w:nsid w:val="E093A4B0"/>
    <w:multiLevelType w:val="multilevel"/>
    <w:tmpl w:val="E093A4B0"/>
    <w:lvl w:ilvl="0" w:tentative="0">
      <w:start w:val="1"/>
      <w:numFmt w:val="decimal"/>
      <w:lvlText w:val="%1."/>
      <w:lvlJc w:val="left"/>
      <w:pPr>
        <w:ind w:left="100"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985" w:hanging="163"/>
      </w:pPr>
      <w:rPr>
        <w:rFonts w:hint="default"/>
        <w:lang w:val="zh-CN" w:eastAsia="zh-CN" w:bidi="zh-CN"/>
      </w:rPr>
    </w:lvl>
    <w:lvl w:ilvl="2" w:tentative="0">
      <w:start w:val="0"/>
      <w:numFmt w:val="bullet"/>
      <w:lvlText w:val="•"/>
      <w:lvlJc w:val="left"/>
      <w:pPr>
        <w:ind w:left="1870" w:hanging="163"/>
      </w:pPr>
      <w:rPr>
        <w:rFonts w:hint="default"/>
        <w:lang w:val="zh-CN" w:eastAsia="zh-CN" w:bidi="zh-CN"/>
      </w:rPr>
    </w:lvl>
    <w:lvl w:ilvl="3" w:tentative="0">
      <w:start w:val="0"/>
      <w:numFmt w:val="bullet"/>
      <w:lvlText w:val="•"/>
      <w:lvlJc w:val="left"/>
      <w:pPr>
        <w:ind w:left="2755" w:hanging="163"/>
      </w:pPr>
      <w:rPr>
        <w:rFonts w:hint="default"/>
        <w:lang w:val="zh-CN" w:eastAsia="zh-CN" w:bidi="zh-CN"/>
      </w:rPr>
    </w:lvl>
    <w:lvl w:ilvl="4" w:tentative="0">
      <w:start w:val="0"/>
      <w:numFmt w:val="bullet"/>
      <w:lvlText w:val="•"/>
      <w:lvlJc w:val="left"/>
      <w:pPr>
        <w:ind w:left="3640" w:hanging="163"/>
      </w:pPr>
      <w:rPr>
        <w:rFonts w:hint="default"/>
        <w:lang w:val="zh-CN" w:eastAsia="zh-CN" w:bidi="zh-CN"/>
      </w:rPr>
    </w:lvl>
    <w:lvl w:ilvl="5" w:tentative="0">
      <w:start w:val="0"/>
      <w:numFmt w:val="bullet"/>
      <w:lvlText w:val="•"/>
      <w:lvlJc w:val="left"/>
      <w:pPr>
        <w:ind w:left="4525" w:hanging="163"/>
      </w:pPr>
      <w:rPr>
        <w:rFonts w:hint="default"/>
        <w:lang w:val="zh-CN" w:eastAsia="zh-CN" w:bidi="zh-CN"/>
      </w:rPr>
    </w:lvl>
    <w:lvl w:ilvl="6" w:tentative="0">
      <w:start w:val="0"/>
      <w:numFmt w:val="bullet"/>
      <w:lvlText w:val="•"/>
      <w:lvlJc w:val="left"/>
      <w:pPr>
        <w:ind w:left="5410" w:hanging="163"/>
      </w:pPr>
      <w:rPr>
        <w:rFonts w:hint="default"/>
        <w:lang w:val="zh-CN" w:eastAsia="zh-CN" w:bidi="zh-CN"/>
      </w:rPr>
    </w:lvl>
    <w:lvl w:ilvl="7" w:tentative="0">
      <w:start w:val="0"/>
      <w:numFmt w:val="bullet"/>
      <w:lvlText w:val="•"/>
      <w:lvlJc w:val="left"/>
      <w:pPr>
        <w:ind w:left="6295" w:hanging="163"/>
      </w:pPr>
      <w:rPr>
        <w:rFonts w:hint="default"/>
        <w:lang w:val="zh-CN" w:eastAsia="zh-CN" w:bidi="zh-CN"/>
      </w:rPr>
    </w:lvl>
    <w:lvl w:ilvl="8" w:tentative="0">
      <w:start w:val="0"/>
      <w:numFmt w:val="bullet"/>
      <w:lvlText w:val="•"/>
      <w:lvlJc w:val="left"/>
      <w:pPr>
        <w:ind w:left="7180" w:hanging="163"/>
      </w:pPr>
      <w:rPr>
        <w:rFonts w:hint="default"/>
        <w:lang w:val="zh-CN" w:eastAsia="zh-CN" w:bidi="zh-CN"/>
      </w:rPr>
    </w:lvl>
  </w:abstractNum>
  <w:abstractNum w:abstractNumId="44">
    <w:nsid w:val="E504947C"/>
    <w:multiLevelType w:val="multilevel"/>
    <w:tmpl w:val="E504947C"/>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1"/>
      <w:numFmt w:val="decimal"/>
      <w:lvlText w:val="%1.%2"/>
      <w:lvlJc w:val="left"/>
      <w:pPr>
        <w:ind w:left="365" w:hanging="265"/>
        <w:jc w:val="left"/>
      </w:pPr>
      <w:rPr>
        <w:rFonts w:hint="default" w:ascii="MS UI Gothic" w:hAnsi="MS UI Gothic" w:eastAsia="MS UI Gothic" w:cs="MS UI Gothic"/>
        <w:spacing w:val="-6"/>
        <w:w w:val="125"/>
        <w:sz w:val="15"/>
        <w:szCs w:val="15"/>
        <w:lang w:val="zh-CN" w:eastAsia="zh-CN" w:bidi="zh-CN"/>
      </w:rPr>
    </w:lvl>
    <w:lvl w:ilvl="2" w:tentative="0">
      <w:start w:val="0"/>
      <w:numFmt w:val="bullet"/>
      <w:lvlText w:val="•"/>
      <w:lvlJc w:val="left"/>
      <w:pPr>
        <w:ind w:left="1314" w:hanging="265"/>
      </w:pPr>
      <w:rPr>
        <w:rFonts w:hint="default"/>
        <w:lang w:val="zh-CN" w:eastAsia="zh-CN" w:bidi="zh-CN"/>
      </w:rPr>
    </w:lvl>
    <w:lvl w:ilvl="3" w:tentative="0">
      <w:start w:val="0"/>
      <w:numFmt w:val="bullet"/>
      <w:lvlText w:val="•"/>
      <w:lvlJc w:val="left"/>
      <w:pPr>
        <w:ind w:left="2269" w:hanging="265"/>
      </w:pPr>
      <w:rPr>
        <w:rFonts w:hint="default"/>
        <w:lang w:val="zh-CN" w:eastAsia="zh-CN" w:bidi="zh-CN"/>
      </w:rPr>
    </w:lvl>
    <w:lvl w:ilvl="4" w:tentative="0">
      <w:start w:val="0"/>
      <w:numFmt w:val="bullet"/>
      <w:lvlText w:val="•"/>
      <w:lvlJc w:val="left"/>
      <w:pPr>
        <w:ind w:left="3223" w:hanging="265"/>
      </w:pPr>
      <w:rPr>
        <w:rFonts w:hint="default"/>
        <w:lang w:val="zh-CN" w:eastAsia="zh-CN" w:bidi="zh-CN"/>
      </w:rPr>
    </w:lvl>
    <w:lvl w:ilvl="5" w:tentative="0">
      <w:start w:val="0"/>
      <w:numFmt w:val="bullet"/>
      <w:lvlText w:val="•"/>
      <w:lvlJc w:val="left"/>
      <w:pPr>
        <w:ind w:left="4178" w:hanging="265"/>
      </w:pPr>
      <w:rPr>
        <w:rFonts w:hint="default"/>
        <w:lang w:val="zh-CN" w:eastAsia="zh-CN" w:bidi="zh-CN"/>
      </w:rPr>
    </w:lvl>
    <w:lvl w:ilvl="6" w:tentative="0">
      <w:start w:val="0"/>
      <w:numFmt w:val="bullet"/>
      <w:lvlText w:val="•"/>
      <w:lvlJc w:val="left"/>
      <w:pPr>
        <w:ind w:left="5132" w:hanging="265"/>
      </w:pPr>
      <w:rPr>
        <w:rFonts w:hint="default"/>
        <w:lang w:val="zh-CN" w:eastAsia="zh-CN" w:bidi="zh-CN"/>
      </w:rPr>
    </w:lvl>
    <w:lvl w:ilvl="7" w:tentative="0">
      <w:start w:val="0"/>
      <w:numFmt w:val="bullet"/>
      <w:lvlText w:val="•"/>
      <w:lvlJc w:val="left"/>
      <w:pPr>
        <w:ind w:left="6087" w:hanging="265"/>
      </w:pPr>
      <w:rPr>
        <w:rFonts w:hint="default"/>
        <w:lang w:val="zh-CN" w:eastAsia="zh-CN" w:bidi="zh-CN"/>
      </w:rPr>
    </w:lvl>
    <w:lvl w:ilvl="8" w:tentative="0">
      <w:start w:val="0"/>
      <w:numFmt w:val="bullet"/>
      <w:lvlText w:val="•"/>
      <w:lvlJc w:val="left"/>
      <w:pPr>
        <w:ind w:left="7041" w:hanging="265"/>
      </w:pPr>
      <w:rPr>
        <w:rFonts w:hint="default"/>
        <w:lang w:val="zh-CN" w:eastAsia="zh-CN" w:bidi="zh-CN"/>
      </w:rPr>
    </w:lvl>
  </w:abstractNum>
  <w:abstractNum w:abstractNumId="45">
    <w:nsid w:val="E7B27C5B"/>
    <w:multiLevelType w:val="multilevel"/>
    <w:tmpl w:val="E7B27C5B"/>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1.%2"/>
      <w:lvlJc w:val="left"/>
      <w:pPr>
        <w:ind w:left="126" w:hanging="304"/>
        <w:jc w:val="left"/>
      </w:pPr>
      <w:rPr>
        <w:rFonts w:hint="default" w:ascii="MS UI Gothic" w:hAnsi="MS UI Gothic" w:eastAsia="MS UI Gothic" w:cs="MS UI Gothic"/>
        <w:spacing w:val="-3"/>
        <w:w w:val="128"/>
        <w:sz w:val="17"/>
        <w:szCs w:val="17"/>
        <w:lang w:val="zh-CN" w:eastAsia="zh-CN" w:bidi="zh-CN"/>
      </w:rPr>
    </w:lvl>
    <w:lvl w:ilvl="2" w:tentative="0">
      <w:start w:val="0"/>
      <w:numFmt w:val="bullet"/>
      <w:lvlText w:val="•"/>
      <w:lvlJc w:val="left"/>
      <w:pPr>
        <w:ind w:left="820" w:hanging="304"/>
      </w:pPr>
      <w:rPr>
        <w:rFonts w:hint="default"/>
        <w:lang w:val="zh-CN" w:eastAsia="zh-CN" w:bidi="zh-CN"/>
      </w:rPr>
    </w:lvl>
    <w:lvl w:ilvl="3" w:tentative="0">
      <w:start w:val="0"/>
      <w:numFmt w:val="bullet"/>
      <w:lvlText w:val="•"/>
      <w:lvlJc w:val="left"/>
      <w:pPr>
        <w:ind w:left="2067" w:hanging="304"/>
      </w:pPr>
      <w:rPr>
        <w:rFonts w:hint="default"/>
        <w:lang w:val="zh-CN" w:eastAsia="zh-CN" w:bidi="zh-CN"/>
      </w:rPr>
    </w:lvl>
    <w:lvl w:ilvl="4" w:tentative="0">
      <w:start w:val="0"/>
      <w:numFmt w:val="bullet"/>
      <w:lvlText w:val="•"/>
      <w:lvlJc w:val="left"/>
      <w:pPr>
        <w:ind w:left="3315" w:hanging="304"/>
      </w:pPr>
      <w:rPr>
        <w:rFonts w:hint="default"/>
        <w:lang w:val="zh-CN" w:eastAsia="zh-CN" w:bidi="zh-CN"/>
      </w:rPr>
    </w:lvl>
    <w:lvl w:ilvl="5" w:tentative="0">
      <w:start w:val="0"/>
      <w:numFmt w:val="bullet"/>
      <w:lvlText w:val="•"/>
      <w:lvlJc w:val="left"/>
      <w:pPr>
        <w:ind w:left="4562" w:hanging="304"/>
      </w:pPr>
      <w:rPr>
        <w:rFonts w:hint="default"/>
        <w:lang w:val="zh-CN" w:eastAsia="zh-CN" w:bidi="zh-CN"/>
      </w:rPr>
    </w:lvl>
    <w:lvl w:ilvl="6" w:tentative="0">
      <w:start w:val="0"/>
      <w:numFmt w:val="bullet"/>
      <w:lvlText w:val="•"/>
      <w:lvlJc w:val="left"/>
      <w:pPr>
        <w:ind w:left="5810" w:hanging="304"/>
      </w:pPr>
      <w:rPr>
        <w:rFonts w:hint="default"/>
        <w:lang w:val="zh-CN" w:eastAsia="zh-CN" w:bidi="zh-CN"/>
      </w:rPr>
    </w:lvl>
    <w:lvl w:ilvl="7" w:tentative="0">
      <w:start w:val="0"/>
      <w:numFmt w:val="bullet"/>
      <w:lvlText w:val="•"/>
      <w:lvlJc w:val="left"/>
      <w:pPr>
        <w:ind w:left="7057" w:hanging="304"/>
      </w:pPr>
      <w:rPr>
        <w:rFonts w:hint="default"/>
        <w:lang w:val="zh-CN" w:eastAsia="zh-CN" w:bidi="zh-CN"/>
      </w:rPr>
    </w:lvl>
    <w:lvl w:ilvl="8" w:tentative="0">
      <w:start w:val="0"/>
      <w:numFmt w:val="bullet"/>
      <w:lvlText w:val="•"/>
      <w:lvlJc w:val="left"/>
      <w:pPr>
        <w:ind w:left="8305" w:hanging="304"/>
      </w:pPr>
      <w:rPr>
        <w:rFonts w:hint="default"/>
        <w:lang w:val="zh-CN" w:eastAsia="zh-CN" w:bidi="zh-CN"/>
      </w:rPr>
    </w:lvl>
  </w:abstractNum>
  <w:abstractNum w:abstractNumId="46">
    <w:nsid w:val="F0E89278"/>
    <w:multiLevelType w:val="multilevel"/>
    <w:tmpl w:val="F0E89278"/>
    <w:lvl w:ilvl="0" w:tentative="0">
      <w:start w:val="3"/>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47">
    <w:nsid w:val="F4B5D9F5"/>
    <w:multiLevelType w:val="multilevel"/>
    <w:tmpl w:val="F4B5D9F5"/>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1.%2"/>
      <w:lvlJc w:val="left"/>
      <w:pPr>
        <w:ind w:left="813" w:hanging="304"/>
        <w:jc w:val="left"/>
      </w:pPr>
      <w:rPr>
        <w:rFonts w:hint="default" w:ascii="MS UI Gothic" w:hAnsi="MS UI Gothic" w:eastAsia="MS UI Gothic" w:cs="MS UI Gothic"/>
        <w:spacing w:val="-3"/>
        <w:w w:val="128"/>
        <w:sz w:val="17"/>
        <w:szCs w:val="17"/>
        <w:lang w:val="zh-CN" w:eastAsia="zh-CN" w:bidi="zh-CN"/>
      </w:rPr>
    </w:lvl>
    <w:lvl w:ilvl="2" w:tentative="0">
      <w:start w:val="0"/>
      <w:numFmt w:val="bullet"/>
      <w:lvlText w:val="•"/>
      <w:lvlJc w:val="left"/>
      <w:pPr>
        <w:ind w:left="1928" w:hanging="304"/>
      </w:pPr>
      <w:rPr>
        <w:rFonts w:hint="default"/>
        <w:lang w:val="zh-CN" w:eastAsia="zh-CN" w:bidi="zh-CN"/>
      </w:rPr>
    </w:lvl>
    <w:lvl w:ilvl="3" w:tentative="0">
      <w:start w:val="0"/>
      <w:numFmt w:val="bullet"/>
      <w:lvlText w:val="•"/>
      <w:lvlJc w:val="left"/>
      <w:pPr>
        <w:ind w:left="3037" w:hanging="304"/>
      </w:pPr>
      <w:rPr>
        <w:rFonts w:hint="default"/>
        <w:lang w:val="zh-CN" w:eastAsia="zh-CN" w:bidi="zh-CN"/>
      </w:rPr>
    </w:lvl>
    <w:lvl w:ilvl="4" w:tentative="0">
      <w:start w:val="0"/>
      <w:numFmt w:val="bullet"/>
      <w:lvlText w:val="•"/>
      <w:lvlJc w:val="left"/>
      <w:pPr>
        <w:ind w:left="4146" w:hanging="304"/>
      </w:pPr>
      <w:rPr>
        <w:rFonts w:hint="default"/>
        <w:lang w:val="zh-CN" w:eastAsia="zh-CN" w:bidi="zh-CN"/>
      </w:rPr>
    </w:lvl>
    <w:lvl w:ilvl="5" w:tentative="0">
      <w:start w:val="0"/>
      <w:numFmt w:val="bullet"/>
      <w:lvlText w:val="•"/>
      <w:lvlJc w:val="left"/>
      <w:pPr>
        <w:ind w:left="5255" w:hanging="304"/>
      </w:pPr>
      <w:rPr>
        <w:rFonts w:hint="default"/>
        <w:lang w:val="zh-CN" w:eastAsia="zh-CN" w:bidi="zh-CN"/>
      </w:rPr>
    </w:lvl>
    <w:lvl w:ilvl="6" w:tentative="0">
      <w:start w:val="0"/>
      <w:numFmt w:val="bullet"/>
      <w:lvlText w:val="•"/>
      <w:lvlJc w:val="left"/>
      <w:pPr>
        <w:ind w:left="6364" w:hanging="304"/>
      </w:pPr>
      <w:rPr>
        <w:rFonts w:hint="default"/>
        <w:lang w:val="zh-CN" w:eastAsia="zh-CN" w:bidi="zh-CN"/>
      </w:rPr>
    </w:lvl>
    <w:lvl w:ilvl="7" w:tentative="0">
      <w:start w:val="0"/>
      <w:numFmt w:val="bullet"/>
      <w:lvlText w:val="•"/>
      <w:lvlJc w:val="left"/>
      <w:pPr>
        <w:ind w:left="7473" w:hanging="304"/>
      </w:pPr>
      <w:rPr>
        <w:rFonts w:hint="default"/>
        <w:lang w:val="zh-CN" w:eastAsia="zh-CN" w:bidi="zh-CN"/>
      </w:rPr>
    </w:lvl>
    <w:lvl w:ilvl="8" w:tentative="0">
      <w:start w:val="0"/>
      <w:numFmt w:val="bullet"/>
      <w:lvlText w:val="•"/>
      <w:lvlJc w:val="left"/>
      <w:pPr>
        <w:ind w:left="8582" w:hanging="304"/>
      </w:pPr>
      <w:rPr>
        <w:rFonts w:hint="default"/>
        <w:lang w:val="zh-CN" w:eastAsia="zh-CN" w:bidi="zh-CN"/>
      </w:rPr>
    </w:lvl>
  </w:abstractNum>
  <w:abstractNum w:abstractNumId="48">
    <w:nsid w:val="F689643B"/>
    <w:multiLevelType w:val="multilevel"/>
    <w:tmpl w:val="F689643B"/>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49">
    <w:nsid w:val="F7735DC9"/>
    <w:multiLevelType w:val="multilevel"/>
    <w:tmpl w:val="F7735DC9"/>
    <w:lvl w:ilvl="0" w:tentative="0">
      <w:start w:val="6"/>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50">
    <w:nsid w:val="F89B1441"/>
    <w:multiLevelType w:val="singleLevel"/>
    <w:tmpl w:val="F89B1441"/>
    <w:lvl w:ilvl="0" w:tentative="0">
      <w:start w:val="1"/>
      <w:numFmt w:val="chineseCounting"/>
      <w:suff w:val="nothing"/>
      <w:lvlText w:val="（%1）"/>
      <w:lvlJc w:val="left"/>
      <w:pPr>
        <w:ind w:left="0" w:firstLine="420"/>
      </w:pPr>
      <w:rPr>
        <w:rFonts w:hint="eastAsia"/>
      </w:rPr>
    </w:lvl>
  </w:abstractNum>
  <w:abstractNum w:abstractNumId="51">
    <w:nsid w:val="FEC2EA36"/>
    <w:multiLevelType w:val="multilevel"/>
    <w:tmpl w:val="FEC2EA36"/>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52">
    <w:nsid w:val="0053208E"/>
    <w:multiLevelType w:val="multilevel"/>
    <w:tmpl w:val="0053208E"/>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2."/>
      <w:lvlJc w:val="left"/>
      <w:pPr>
        <w:ind w:left="692" w:hanging="183"/>
        <w:jc w:val="left"/>
      </w:pPr>
      <w:rPr>
        <w:rFonts w:hint="default" w:ascii="MS UI Gothic" w:hAnsi="MS UI Gothic" w:eastAsia="MS UI Gothic" w:cs="MS UI Gothic"/>
        <w:spacing w:val="-3"/>
        <w:w w:val="128"/>
        <w:sz w:val="17"/>
        <w:szCs w:val="17"/>
        <w:lang w:val="zh-CN" w:eastAsia="zh-CN" w:bidi="zh-CN"/>
      </w:rPr>
    </w:lvl>
    <w:lvl w:ilvl="2" w:tentative="0">
      <w:start w:val="0"/>
      <w:numFmt w:val="bullet"/>
      <w:lvlText w:val="•"/>
      <w:lvlJc w:val="left"/>
      <w:pPr>
        <w:ind w:left="1822" w:hanging="183"/>
      </w:pPr>
      <w:rPr>
        <w:rFonts w:hint="default"/>
        <w:lang w:val="zh-CN" w:eastAsia="zh-CN" w:bidi="zh-CN"/>
      </w:rPr>
    </w:lvl>
    <w:lvl w:ilvl="3" w:tentative="0">
      <w:start w:val="0"/>
      <w:numFmt w:val="bullet"/>
      <w:lvlText w:val="•"/>
      <w:lvlJc w:val="left"/>
      <w:pPr>
        <w:ind w:left="2944" w:hanging="183"/>
      </w:pPr>
      <w:rPr>
        <w:rFonts w:hint="default"/>
        <w:lang w:val="zh-CN" w:eastAsia="zh-CN" w:bidi="zh-CN"/>
      </w:rPr>
    </w:lvl>
    <w:lvl w:ilvl="4" w:tentative="0">
      <w:start w:val="0"/>
      <w:numFmt w:val="bullet"/>
      <w:lvlText w:val="•"/>
      <w:lvlJc w:val="left"/>
      <w:pPr>
        <w:ind w:left="4066" w:hanging="183"/>
      </w:pPr>
      <w:rPr>
        <w:rFonts w:hint="default"/>
        <w:lang w:val="zh-CN" w:eastAsia="zh-CN" w:bidi="zh-CN"/>
      </w:rPr>
    </w:lvl>
    <w:lvl w:ilvl="5" w:tentative="0">
      <w:start w:val="0"/>
      <w:numFmt w:val="bullet"/>
      <w:lvlText w:val="•"/>
      <w:lvlJc w:val="left"/>
      <w:pPr>
        <w:ind w:left="5188" w:hanging="183"/>
      </w:pPr>
      <w:rPr>
        <w:rFonts w:hint="default"/>
        <w:lang w:val="zh-CN" w:eastAsia="zh-CN" w:bidi="zh-CN"/>
      </w:rPr>
    </w:lvl>
    <w:lvl w:ilvl="6" w:tentative="0">
      <w:start w:val="0"/>
      <w:numFmt w:val="bullet"/>
      <w:lvlText w:val="•"/>
      <w:lvlJc w:val="left"/>
      <w:pPr>
        <w:ind w:left="6311" w:hanging="183"/>
      </w:pPr>
      <w:rPr>
        <w:rFonts w:hint="default"/>
        <w:lang w:val="zh-CN" w:eastAsia="zh-CN" w:bidi="zh-CN"/>
      </w:rPr>
    </w:lvl>
    <w:lvl w:ilvl="7" w:tentative="0">
      <w:start w:val="0"/>
      <w:numFmt w:val="bullet"/>
      <w:lvlText w:val="•"/>
      <w:lvlJc w:val="left"/>
      <w:pPr>
        <w:ind w:left="7433" w:hanging="183"/>
      </w:pPr>
      <w:rPr>
        <w:rFonts w:hint="default"/>
        <w:lang w:val="zh-CN" w:eastAsia="zh-CN" w:bidi="zh-CN"/>
      </w:rPr>
    </w:lvl>
    <w:lvl w:ilvl="8" w:tentative="0">
      <w:start w:val="0"/>
      <w:numFmt w:val="bullet"/>
      <w:lvlText w:val="•"/>
      <w:lvlJc w:val="left"/>
      <w:pPr>
        <w:ind w:left="8555" w:hanging="183"/>
      </w:pPr>
      <w:rPr>
        <w:rFonts w:hint="default"/>
        <w:lang w:val="zh-CN" w:eastAsia="zh-CN" w:bidi="zh-CN"/>
      </w:rPr>
    </w:lvl>
  </w:abstractNum>
  <w:abstractNum w:abstractNumId="53">
    <w:nsid w:val="0221B71C"/>
    <w:multiLevelType w:val="singleLevel"/>
    <w:tmpl w:val="0221B71C"/>
    <w:lvl w:ilvl="0" w:tentative="0">
      <w:start w:val="1"/>
      <w:numFmt w:val="bullet"/>
      <w:lvlText w:val=""/>
      <w:lvlJc w:val="left"/>
      <w:pPr>
        <w:ind w:left="420" w:hanging="420"/>
      </w:pPr>
      <w:rPr>
        <w:rFonts w:hint="default" w:ascii="Wingdings" w:hAnsi="Wingdings"/>
      </w:rPr>
    </w:lvl>
  </w:abstractNum>
  <w:abstractNum w:abstractNumId="54">
    <w:nsid w:val="0248C179"/>
    <w:multiLevelType w:val="multilevel"/>
    <w:tmpl w:val="0248C179"/>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1.%2"/>
      <w:lvlJc w:val="left"/>
      <w:pPr>
        <w:ind w:left="510" w:hanging="361"/>
        <w:jc w:val="left"/>
      </w:pPr>
      <w:rPr>
        <w:rFonts w:hint="default" w:ascii="MS UI Gothic" w:hAnsi="MS UI Gothic" w:eastAsia="MS UI Gothic" w:cs="MS UI Gothic"/>
        <w:spacing w:val="-3"/>
        <w:w w:val="128"/>
        <w:sz w:val="19"/>
        <w:szCs w:val="19"/>
        <w:lang w:val="zh-CN" w:eastAsia="zh-CN" w:bidi="zh-CN"/>
      </w:rPr>
    </w:lvl>
    <w:lvl w:ilvl="2" w:tentative="0">
      <w:start w:val="0"/>
      <w:numFmt w:val="bullet"/>
      <w:lvlText w:val="•"/>
      <w:lvlJc w:val="left"/>
      <w:pPr>
        <w:ind w:left="820" w:hanging="361"/>
      </w:pPr>
      <w:rPr>
        <w:rFonts w:hint="default"/>
        <w:lang w:val="zh-CN" w:eastAsia="zh-CN" w:bidi="zh-CN"/>
      </w:rPr>
    </w:lvl>
    <w:lvl w:ilvl="3" w:tentative="0">
      <w:start w:val="0"/>
      <w:numFmt w:val="bullet"/>
      <w:lvlText w:val="•"/>
      <w:lvlJc w:val="left"/>
      <w:pPr>
        <w:ind w:left="2067" w:hanging="361"/>
      </w:pPr>
      <w:rPr>
        <w:rFonts w:hint="default"/>
        <w:lang w:val="zh-CN" w:eastAsia="zh-CN" w:bidi="zh-CN"/>
      </w:rPr>
    </w:lvl>
    <w:lvl w:ilvl="4" w:tentative="0">
      <w:start w:val="0"/>
      <w:numFmt w:val="bullet"/>
      <w:lvlText w:val="•"/>
      <w:lvlJc w:val="left"/>
      <w:pPr>
        <w:ind w:left="3315" w:hanging="361"/>
      </w:pPr>
      <w:rPr>
        <w:rFonts w:hint="default"/>
        <w:lang w:val="zh-CN" w:eastAsia="zh-CN" w:bidi="zh-CN"/>
      </w:rPr>
    </w:lvl>
    <w:lvl w:ilvl="5" w:tentative="0">
      <w:start w:val="0"/>
      <w:numFmt w:val="bullet"/>
      <w:lvlText w:val="•"/>
      <w:lvlJc w:val="left"/>
      <w:pPr>
        <w:ind w:left="4562" w:hanging="361"/>
      </w:pPr>
      <w:rPr>
        <w:rFonts w:hint="default"/>
        <w:lang w:val="zh-CN" w:eastAsia="zh-CN" w:bidi="zh-CN"/>
      </w:rPr>
    </w:lvl>
    <w:lvl w:ilvl="6" w:tentative="0">
      <w:start w:val="0"/>
      <w:numFmt w:val="bullet"/>
      <w:lvlText w:val="•"/>
      <w:lvlJc w:val="left"/>
      <w:pPr>
        <w:ind w:left="5810" w:hanging="361"/>
      </w:pPr>
      <w:rPr>
        <w:rFonts w:hint="default"/>
        <w:lang w:val="zh-CN" w:eastAsia="zh-CN" w:bidi="zh-CN"/>
      </w:rPr>
    </w:lvl>
    <w:lvl w:ilvl="7" w:tentative="0">
      <w:start w:val="0"/>
      <w:numFmt w:val="bullet"/>
      <w:lvlText w:val="•"/>
      <w:lvlJc w:val="left"/>
      <w:pPr>
        <w:ind w:left="7057" w:hanging="361"/>
      </w:pPr>
      <w:rPr>
        <w:rFonts w:hint="default"/>
        <w:lang w:val="zh-CN" w:eastAsia="zh-CN" w:bidi="zh-CN"/>
      </w:rPr>
    </w:lvl>
    <w:lvl w:ilvl="8" w:tentative="0">
      <w:start w:val="0"/>
      <w:numFmt w:val="bullet"/>
      <w:lvlText w:val="•"/>
      <w:lvlJc w:val="left"/>
      <w:pPr>
        <w:ind w:left="8305" w:hanging="361"/>
      </w:pPr>
      <w:rPr>
        <w:rFonts w:hint="default"/>
        <w:lang w:val="zh-CN" w:eastAsia="zh-CN" w:bidi="zh-CN"/>
      </w:rPr>
    </w:lvl>
  </w:abstractNum>
  <w:abstractNum w:abstractNumId="55">
    <w:nsid w:val="03A63A41"/>
    <w:multiLevelType w:val="multilevel"/>
    <w:tmpl w:val="03A63A41"/>
    <w:lvl w:ilvl="0" w:tentative="0">
      <w:start w:val="23"/>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56">
    <w:nsid w:val="03D62ECE"/>
    <w:multiLevelType w:val="multilevel"/>
    <w:tmpl w:val="03D62ECE"/>
    <w:lvl w:ilvl="0" w:tentative="0">
      <w:start w:val="1"/>
      <w:numFmt w:val="decimal"/>
      <w:lvlText w:val="（%1）"/>
      <w:lvlJc w:val="left"/>
      <w:pPr>
        <w:ind w:left="1145" w:hanging="565"/>
        <w:jc w:val="left"/>
      </w:pPr>
      <w:rPr>
        <w:rFonts w:hint="default" w:ascii="宋体" w:hAnsi="宋体" w:eastAsia="宋体" w:cs="宋体"/>
        <w:spacing w:val="-3"/>
        <w:w w:val="101"/>
        <w:sz w:val="19"/>
        <w:szCs w:val="19"/>
        <w:lang w:val="zh-CN" w:eastAsia="zh-CN" w:bidi="zh-CN"/>
      </w:rPr>
    </w:lvl>
    <w:lvl w:ilvl="1" w:tentative="0">
      <w:start w:val="0"/>
      <w:numFmt w:val="bullet"/>
      <w:lvlText w:val="•"/>
      <w:lvlJc w:val="left"/>
      <w:pPr>
        <w:ind w:left="1936" w:hanging="565"/>
      </w:pPr>
      <w:rPr>
        <w:rFonts w:hint="default"/>
        <w:lang w:val="zh-CN" w:eastAsia="zh-CN" w:bidi="zh-CN"/>
      </w:rPr>
    </w:lvl>
    <w:lvl w:ilvl="2" w:tentative="0">
      <w:start w:val="0"/>
      <w:numFmt w:val="bullet"/>
      <w:lvlText w:val="•"/>
      <w:lvlJc w:val="left"/>
      <w:pPr>
        <w:ind w:left="2733" w:hanging="565"/>
      </w:pPr>
      <w:rPr>
        <w:rFonts w:hint="default"/>
        <w:lang w:val="zh-CN" w:eastAsia="zh-CN" w:bidi="zh-CN"/>
      </w:rPr>
    </w:lvl>
    <w:lvl w:ilvl="3" w:tentative="0">
      <w:start w:val="0"/>
      <w:numFmt w:val="bullet"/>
      <w:lvlText w:val="•"/>
      <w:lvlJc w:val="left"/>
      <w:pPr>
        <w:ind w:left="3530" w:hanging="565"/>
      </w:pPr>
      <w:rPr>
        <w:rFonts w:hint="default"/>
        <w:lang w:val="zh-CN" w:eastAsia="zh-CN" w:bidi="zh-CN"/>
      </w:rPr>
    </w:lvl>
    <w:lvl w:ilvl="4" w:tentative="0">
      <w:start w:val="0"/>
      <w:numFmt w:val="bullet"/>
      <w:lvlText w:val="•"/>
      <w:lvlJc w:val="left"/>
      <w:pPr>
        <w:ind w:left="4326" w:hanging="565"/>
      </w:pPr>
      <w:rPr>
        <w:rFonts w:hint="default"/>
        <w:lang w:val="zh-CN" w:eastAsia="zh-CN" w:bidi="zh-CN"/>
      </w:rPr>
    </w:lvl>
    <w:lvl w:ilvl="5" w:tentative="0">
      <w:start w:val="0"/>
      <w:numFmt w:val="bullet"/>
      <w:lvlText w:val="•"/>
      <w:lvlJc w:val="left"/>
      <w:pPr>
        <w:ind w:left="5123" w:hanging="565"/>
      </w:pPr>
      <w:rPr>
        <w:rFonts w:hint="default"/>
        <w:lang w:val="zh-CN" w:eastAsia="zh-CN" w:bidi="zh-CN"/>
      </w:rPr>
    </w:lvl>
    <w:lvl w:ilvl="6" w:tentative="0">
      <w:start w:val="0"/>
      <w:numFmt w:val="bullet"/>
      <w:lvlText w:val="•"/>
      <w:lvlJc w:val="left"/>
      <w:pPr>
        <w:ind w:left="5920" w:hanging="565"/>
      </w:pPr>
      <w:rPr>
        <w:rFonts w:hint="default"/>
        <w:lang w:val="zh-CN" w:eastAsia="zh-CN" w:bidi="zh-CN"/>
      </w:rPr>
    </w:lvl>
    <w:lvl w:ilvl="7" w:tentative="0">
      <w:start w:val="0"/>
      <w:numFmt w:val="bullet"/>
      <w:lvlText w:val="•"/>
      <w:lvlJc w:val="left"/>
      <w:pPr>
        <w:ind w:left="6716" w:hanging="565"/>
      </w:pPr>
      <w:rPr>
        <w:rFonts w:hint="default"/>
        <w:lang w:val="zh-CN" w:eastAsia="zh-CN" w:bidi="zh-CN"/>
      </w:rPr>
    </w:lvl>
    <w:lvl w:ilvl="8" w:tentative="0">
      <w:start w:val="0"/>
      <w:numFmt w:val="bullet"/>
      <w:lvlText w:val="•"/>
      <w:lvlJc w:val="left"/>
      <w:pPr>
        <w:ind w:left="7513" w:hanging="565"/>
      </w:pPr>
      <w:rPr>
        <w:rFonts w:hint="default"/>
        <w:lang w:val="zh-CN" w:eastAsia="zh-CN" w:bidi="zh-CN"/>
      </w:rPr>
    </w:lvl>
  </w:abstractNum>
  <w:abstractNum w:abstractNumId="57">
    <w:nsid w:val="0709FD3E"/>
    <w:multiLevelType w:val="multilevel"/>
    <w:tmpl w:val="0709FD3E"/>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58">
    <w:nsid w:val="0CEF100B"/>
    <w:multiLevelType w:val="multilevel"/>
    <w:tmpl w:val="0CEF100B"/>
    <w:lvl w:ilvl="0" w:tentative="0">
      <w:start w:val="10"/>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59">
    <w:nsid w:val="0E640482"/>
    <w:multiLevelType w:val="multilevel"/>
    <w:tmpl w:val="0E640482"/>
    <w:lvl w:ilvl="0" w:tentative="0">
      <w:start w:val="1"/>
      <w:numFmt w:val="decimal"/>
      <w:lvlText w:val="（%1）"/>
      <w:lvlJc w:val="left"/>
      <w:pPr>
        <w:ind w:left="1015"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60">
    <w:nsid w:val="0F9F9CCA"/>
    <w:multiLevelType w:val="multilevel"/>
    <w:tmpl w:val="0F9F9CCA"/>
    <w:lvl w:ilvl="0" w:tentative="0">
      <w:start w:val="13"/>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61">
    <w:nsid w:val="11F856A2"/>
    <w:multiLevelType w:val="singleLevel"/>
    <w:tmpl w:val="11F856A2"/>
    <w:lvl w:ilvl="0" w:tentative="0">
      <w:start w:val="1"/>
      <w:numFmt w:val="bullet"/>
      <w:lvlText w:val=""/>
      <w:lvlJc w:val="left"/>
      <w:pPr>
        <w:ind w:left="420" w:hanging="420"/>
      </w:pPr>
      <w:rPr>
        <w:rFonts w:hint="default" w:ascii="Wingdings" w:hAnsi="Wingdings"/>
      </w:rPr>
    </w:lvl>
  </w:abstractNum>
  <w:abstractNum w:abstractNumId="62">
    <w:nsid w:val="12EADF99"/>
    <w:multiLevelType w:val="multilevel"/>
    <w:tmpl w:val="12EADF99"/>
    <w:lvl w:ilvl="0" w:tentative="0">
      <w:start w:val="1"/>
      <w:numFmt w:val="decimal"/>
      <w:lvlText w:val="%1."/>
      <w:lvlJc w:val="left"/>
      <w:pPr>
        <w:ind w:left="100"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985" w:hanging="163"/>
      </w:pPr>
      <w:rPr>
        <w:rFonts w:hint="default"/>
        <w:lang w:val="zh-CN" w:eastAsia="zh-CN" w:bidi="zh-CN"/>
      </w:rPr>
    </w:lvl>
    <w:lvl w:ilvl="2" w:tentative="0">
      <w:start w:val="0"/>
      <w:numFmt w:val="bullet"/>
      <w:lvlText w:val="•"/>
      <w:lvlJc w:val="left"/>
      <w:pPr>
        <w:ind w:left="1870" w:hanging="163"/>
      </w:pPr>
      <w:rPr>
        <w:rFonts w:hint="default"/>
        <w:lang w:val="zh-CN" w:eastAsia="zh-CN" w:bidi="zh-CN"/>
      </w:rPr>
    </w:lvl>
    <w:lvl w:ilvl="3" w:tentative="0">
      <w:start w:val="0"/>
      <w:numFmt w:val="bullet"/>
      <w:lvlText w:val="•"/>
      <w:lvlJc w:val="left"/>
      <w:pPr>
        <w:ind w:left="2755" w:hanging="163"/>
      </w:pPr>
      <w:rPr>
        <w:rFonts w:hint="default"/>
        <w:lang w:val="zh-CN" w:eastAsia="zh-CN" w:bidi="zh-CN"/>
      </w:rPr>
    </w:lvl>
    <w:lvl w:ilvl="4" w:tentative="0">
      <w:start w:val="0"/>
      <w:numFmt w:val="bullet"/>
      <w:lvlText w:val="•"/>
      <w:lvlJc w:val="left"/>
      <w:pPr>
        <w:ind w:left="3640" w:hanging="163"/>
      </w:pPr>
      <w:rPr>
        <w:rFonts w:hint="default"/>
        <w:lang w:val="zh-CN" w:eastAsia="zh-CN" w:bidi="zh-CN"/>
      </w:rPr>
    </w:lvl>
    <w:lvl w:ilvl="5" w:tentative="0">
      <w:start w:val="0"/>
      <w:numFmt w:val="bullet"/>
      <w:lvlText w:val="•"/>
      <w:lvlJc w:val="left"/>
      <w:pPr>
        <w:ind w:left="4525" w:hanging="163"/>
      </w:pPr>
      <w:rPr>
        <w:rFonts w:hint="default"/>
        <w:lang w:val="zh-CN" w:eastAsia="zh-CN" w:bidi="zh-CN"/>
      </w:rPr>
    </w:lvl>
    <w:lvl w:ilvl="6" w:tentative="0">
      <w:start w:val="0"/>
      <w:numFmt w:val="bullet"/>
      <w:lvlText w:val="•"/>
      <w:lvlJc w:val="left"/>
      <w:pPr>
        <w:ind w:left="5410" w:hanging="163"/>
      </w:pPr>
      <w:rPr>
        <w:rFonts w:hint="default"/>
        <w:lang w:val="zh-CN" w:eastAsia="zh-CN" w:bidi="zh-CN"/>
      </w:rPr>
    </w:lvl>
    <w:lvl w:ilvl="7" w:tentative="0">
      <w:start w:val="0"/>
      <w:numFmt w:val="bullet"/>
      <w:lvlText w:val="•"/>
      <w:lvlJc w:val="left"/>
      <w:pPr>
        <w:ind w:left="6295" w:hanging="163"/>
      </w:pPr>
      <w:rPr>
        <w:rFonts w:hint="default"/>
        <w:lang w:val="zh-CN" w:eastAsia="zh-CN" w:bidi="zh-CN"/>
      </w:rPr>
    </w:lvl>
    <w:lvl w:ilvl="8" w:tentative="0">
      <w:start w:val="0"/>
      <w:numFmt w:val="bullet"/>
      <w:lvlText w:val="•"/>
      <w:lvlJc w:val="left"/>
      <w:pPr>
        <w:ind w:left="7180" w:hanging="163"/>
      </w:pPr>
      <w:rPr>
        <w:rFonts w:hint="default"/>
        <w:lang w:val="zh-CN" w:eastAsia="zh-CN" w:bidi="zh-CN"/>
      </w:rPr>
    </w:lvl>
  </w:abstractNum>
  <w:abstractNum w:abstractNumId="63">
    <w:nsid w:val="1450273B"/>
    <w:multiLevelType w:val="multilevel"/>
    <w:tmpl w:val="1450273B"/>
    <w:lvl w:ilvl="0" w:tentative="0">
      <w:start w:val="1"/>
      <w:numFmt w:val="decimal"/>
      <w:lvlText w:val="（%1）"/>
      <w:lvlJc w:val="left"/>
      <w:pPr>
        <w:ind w:left="631"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656" w:hanging="506"/>
      </w:pPr>
      <w:rPr>
        <w:rFonts w:hint="default"/>
        <w:lang w:val="zh-CN" w:eastAsia="zh-CN" w:bidi="zh-CN"/>
      </w:rPr>
    </w:lvl>
    <w:lvl w:ilvl="2" w:tentative="0">
      <w:start w:val="0"/>
      <w:numFmt w:val="bullet"/>
      <w:lvlText w:val="•"/>
      <w:lvlJc w:val="left"/>
      <w:pPr>
        <w:ind w:left="2672" w:hanging="506"/>
      </w:pPr>
      <w:rPr>
        <w:rFonts w:hint="default"/>
        <w:lang w:val="zh-CN" w:eastAsia="zh-CN" w:bidi="zh-CN"/>
      </w:rPr>
    </w:lvl>
    <w:lvl w:ilvl="3" w:tentative="0">
      <w:start w:val="0"/>
      <w:numFmt w:val="bullet"/>
      <w:lvlText w:val="•"/>
      <w:lvlJc w:val="left"/>
      <w:pPr>
        <w:ind w:left="3688" w:hanging="506"/>
      </w:pPr>
      <w:rPr>
        <w:rFonts w:hint="default"/>
        <w:lang w:val="zh-CN" w:eastAsia="zh-CN" w:bidi="zh-CN"/>
      </w:rPr>
    </w:lvl>
    <w:lvl w:ilvl="4" w:tentative="0">
      <w:start w:val="0"/>
      <w:numFmt w:val="bullet"/>
      <w:lvlText w:val="•"/>
      <w:lvlJc w:val="left"/>
      <w:pPr>
        <w:ind w:left="4704" w:hanging="506"/>
      </w:pPr>
      <w:rPr>
        <w:rFonts w:hint="default"/>
        <w:lang w:val="zh-CN" w:eastAsia="zh-CN" w:bidi="zh-CN"/>
      </w:rPr>
    </w:lvl>
    <w:lvl w:ilvl="5" w:tentative="0">
      <w:start w:val="0"/>
      <w:numFmt w:val="bullet"/>
      <w:lvlText w:val="•"/>
      <w:lvlJc w:val="left"/>
      <w:pPr>
        <w:ind w:left="5720" w:hanging="506"/>
      </w:pPr>
      <w:rPr>
        <w:rFonts w:hint="default"/>
        <w:lang w:val="zh-CN" w:eastAsia="zh-CN" w:bidi="zh-CN"/>
      </w:rPr>
    </w:lvl>
    <w:lvl w:ilvl="6" w:tentative="0">
      <w:start w:val="0"/>
      <w:numFmt w:val="bullet"/>
      <w:lvlText w:val="•"/>
      <w:lvlJc w:val="left"/>
      <w:pPr>
        <w:ind w:left="6736" w:hanging="506"/>
      </w:pPr>
      <w:rPr>
        <w:rFonts w:hint="default"/>
        <w:lang w:val="zh-CN" w:eastAsia="zh-CN" w:bidi="zh-CN"/>
      </w:rPr>
    </w:lvl>
    <w:lvl w:ilvl="7" w:tentative="0">
      <w:start w:val="0"/>
      <w:numFmt w:val="bullet"/>
      <w:lvlText w:val="•"/>
      <w:lvlJc w:val="left"/>
      <w:pPr>
        <w:ind w:left="7752" w:hanging="506"/>
      </w:pPr>
      <w:rPr>
        <w:rFonts w:hint="default"/>
        <w:lang w:val="zh-CN" w:eastAsia="zh-CN" w:bidi="zh-CN"/>
      </w:rPr>
    </w:lvl>
    <w:lvl w:ilvl="8" w:tentative="0">
      <w:start w:val="0"/>
      <w:numFmt w:val="bullet"/>
      <w:lvlText w:val="•"/>
      <w:lvlJc w:val="left"/>
      <w:pPr>
        <w:ind w:left="8768" w:hanging="506"/>
      </w:pPr>
      <w:rPr>
        <w:rFonts w:hint="default"/>
        <w:lang w:val="zh-CN" w:eastAsia="zh-CN" w:bidi="zh-CN"/>
      </w:rPr>
    </w:lvl>
  </w:abstractNum>
  <w:abstractNum w:abstractNumId="64">
    <w:nsid w:val="16684E83"/>
    <w:multiLevelType w:val="singleLevel"/>
    <w:tmpl w:val="16684E83"/>
    <w:lvl w:ilvl="0" w:tentative="0">
      <w:start w:val="1"/>
      <w:numFmt w:val="decimal"/>
      <w:suff w:val="nothing"/>
      <w:lvlText w:val="%1．"/>
      <w:lvlJc w:val="left"/>
      <w:pPr>
        <w:ind w:left="0" w:firstLine="400"/>
      </w:pPr>
      <w:rPr>
        <w:rFonts w:hint="default"/>
      </w:rPr>
    </w:lvl>
  </w:abstractNum>
  <w:abstractNum w:abstractNumId="65">
    <w:nsid w:val="18F74015"/>
    <w:multiLevelType w:val="multilevel"/>
    <w:tmpl w:val="18F74015"/>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66">
    <w:nsid w:val="1ACDE60F"/>
    <w:multiLevelType w:val="multilevel"/>
    <w:tmpl w:val="1ACDE60F"/>
    <w:lvl w:ilvl="0" w:tentative="0">
      <w:start w:val="7"/>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67">
    <w:nsid w:val="1BCBBCF0"/>
    <w:multiLevelType w:val="multilevel"/>
    <w:tmpl w:val="1BCBBCF0"/>
    <w:lvl w:ilvl="0" w:tentative="0">
      <w:start w:val="1"/>
      <w:numFmt w:val="decimal"/>
      <w:lvlText w:val="（%1）"/>
      <w:lvlJc w:val="left"/>
      <w:pPr>
        <w:ind w:left="631"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656" w:hanging="506"/>
      </w:pPr>
      <w:rPr>
        <w:rFonts w:hint="default"/>
        <w:lang w:val="zh-CN" w:eastAsia="zh-CN" w:bidi="zh-CN"/>
      </w:rPr>
    </w:lvl>
    <w:lvl w:ilvl="2" w:tentative="0">
      <w:start w:val="0"/>
      <w:numFmt w:val="bullet"/>
      <w:lvlText w:val="•"/>
      <w:lvlJc w:val="left"/>
      <w:pPr>
        <w:ind w:left="2672" w:hanging="506"/>
      </w:pPr>
      <w:rPr>
        <w:rFonts w:hint="default"/>
        <w:lang w:val="zh-CN" w:eastAsia="zh-CN" w:bidi="zh-CN"/>
      </w:rPr>
    </w:lvl>
    <w:lvl w:ilvl="3" w:tentative="0">
      <w:start w:val="0"/>
      <w:numFmt w:val="bullet"/>
      <w:lvlText w:val="•"/>
      <w:lvlJc w:val="left"/>
      <w:pPr>
        <w:ind w:left="3688" w:hanging="506"/>
      </w:pPr>
      <w:rPr>
        <w:rFonts w:hint="default"/>
        <w:lang w:val="zh-CN" w:eastAsia="zh-CN" w:bidi="zh-CN"/>
      </w:rPr>
    </w:lvl>
    <w:lvl w:ilvl="4" w:tentative="0">
      <w:start w:val="0"/>
      <w:numFmt w:val="bullet"/>
      <w:lvlText w:val="•"/>
      <w:lvlJc w:val="left"/>
      <w:pPr>
        <w:ind w:left="4704" w:hanging="506"/>
      </w:pPr>
      <w:rPr>
        <w:rFonts w:hint="default"/>
        <w:lang w:val="zh-CN" w:eastAsia="zh-CN" w:bidi="zh-CN"/>
      </w:rPr>
    </w:lvl>
    <w:lvl w:ilvl="5" w:tentative="0">
      <w:start w:val="0"/>
      <w:numFmt w:val="bullet"/>
      <w:lvlText w:val="•"/>
      <w:lvlJc w:val="left"/>
      <w:pPr>
        <w:ind w:left="5720" w:hanging="506"/>
      </w:pPr>
      <w:rPr>
        <w:rFonts w:hint="default"/>
        <w:lang w:val="zh-CN" w:eastAsia="zh-CN" w:bidi="zh-CN"/>
      </w:rPr>
    </w:lvl>
    <w:lvl w:ilvl="6" w:tentative="0">
      <w:start w:val="0"/>
      <w:numFmt w:val="bullet"/>
      <w:lvlText w:val="•"/>
      <w:lvlJc w:val="left"/>
      <w:pPr>
        <w:ind w:left="6736" w:hanging="506"/>
      </w:pPr>
      <w:rPr>
        <w:rFonts w:hint="default"/>
        <w:lang w:val="zh-CN" w:eastAsia="zh-CN" w:bidi="zh-CN"/>
      </w:rPr>
    </w:lvl>
    <w:lvl w:ilvl="7" w:tentative="0">
      <w:start w:val="0"/>
      <w:numFmt w:val="bullet"/>
      <w:lvlText w:val="•"/>
      <w:lvlJc w:val="left"/>
      <w:pPr>
        <w:ind w:left="7752" w:hanging="506"/>
      </w:pPr>
      <w:rPr>
        <w:rFonts w:hint="default"/>
        <w:lang w:val="zh-CN" w:eastAsia="zh-CN" w:bidi="zh-CN"/>
      </w:rPr>
    </w:lvl>
    <w:lvl w:ilvl="8" w:tentative="0">
      <w:start w:val="0"/>
      <w:numFmt w:val="bullet"/>
      <w:lvlText w:val="•"/>
      <w:lvlJc w:val="left"/>
      <w:pPr>
        <w:ind w:left="8768" w:hanging="506"/>
      </w:pPr>
      <w:rPr>
        <w:rFonts w:hint="default"/>
        <w:lang w:val="zh-CN" w:eastAsia="zh-CN" w:bidi="zh-CN"/>
      </w:rPr>
    </w:lvl>
  </w:abstractNum>
  <w:abstractNum w:abstractNumId="68">
    <w:nsid w:val="1C257C7B"/>
    <w:multiLevelType w:val="multilevel"/>
    <w:tmpl w:val="1C257C7B"/>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69">
    <w:nsid w:val="1EE25684"/>
    <w:multiLevelType w:val="singleLevel"/>
    <w:tmpl w:val="1EE25684"/>
    <w:lvl w:ilvl="0" w:tentative="0">
      <w:start w:val="1"/>
      <w:numFmt w:val="bullet"/>
      <w:lvlText w:val=""/>
      <w:lvlJc w:val="left"/>
      <w:pPr>
        <w:ind w:left="420" w:hanging="420"/>
      </w:pPr>
      <w:rPr>
        <w:rFonts w:hint="default" w:ascii="Wingdings" w:hAnsi="Wingdings"/>
      </w:rPr>
    </w:lvl>
  </w:abstractNum>
  <w:abstractNum w:abstractNumId="70">
    <w:nsid w:val="23E97754"/>
    <w:multiLevelType w:val="multilevel"/>
    <w:tmpl w:val="23E97754"/>
    <w:lvl w:ilvl="0" w:tentative="0">
      <w:start w:val="9"/>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71">
    <w:nsid w:val="243FCF68"/>
    <w:multiLevelType w:val="multilevel"/>
    <w:tmpl w:val="243FCF68"/>
    <w:lvl w:ilvl="0" w:tentative="0">
      <w:start w:val="46"/>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72">
    <w:nsid w:val="2470EC97"/>
    <w:multiLevelType w:val="multilevel"/>
    <w:tmpl w:val="2470EC97"/>
    <w:lvl w:ilvl="0" w:tentative="0">
      <w:start w:val="1"/>
      <w:numFmt w:val="decimal"/>
      <w:lvlText w:val="（%1）"/>
      <w:lvlJc w:val="left"/>
      <w:pPr>
        <w:ind w:left="126" w:hanging="506"/>
        <w:jc w:val="left"/>
      </w:pPr>
      <w:rPr>
        <w:rFonts w:hint="default" w:ascii="宋体" w:hAnsi="宋体" w:eastAsia="宋体" w:cs="宋体"/>
        <w:spacing w:val="-17"/>
        <w:w w:val="100"/>
        <w:sz w:val="17"/>
        <w:szCs w:val="17"/>
        <w:lang w:val="zh-CN" w:eastAsia="zh-CN" w:bidi="zh-CN"/>
      </w:rPr>
    </w:lvl>
    <w:lvl w:ilvl="1" w:tentative="0">
      <w:start w:val="0"/>
      <w:numFmt w:val="bullet"/>
      <w:lvlText w:val="•"/>
      <w:lvlJc w:val="left"/>
      <w:pPr>
        <w:ind w:left="1188" w:hanging="506"/>
      </w:pPr>
      <w:rPr>
        <w:rFonts w:hint="default"/>
        <w:lang w:val="zh-CN" w:eastAsia="zh-CN" w:bidi="zh-CN"/>
      </w:rPr>
    </w:lvl>
    <w:lvl w:ilvl="2" w:tentative="0">
      <w:start w:val="0"/>
      <w:numFmt w:val="bullet"/>
      <w:lvlText w:val="•"/>
      <w:lvlJc w:val="left"/>
      <w:pPr>
        <w:ind w:left="2256" w:hanging="506"/>
      </w:pPr>
      <w:rPr>
        <w:rFonts w:hint="default"/>
        <w:lang w:val="zh-CN" w:eastAsia="zh-CN" w:bidi="zh-CN"/>
      </w:rPr>
    </w:lvl>
    <w:lvl w:ilvl="3" w:tentative="0">
      <w:start w:val="0"/>
      <w:numFmt w:val="bullet"/>
      <w:lvlText w:val="•"/>
      <w:lvlJc w:val="left"/>
      <w:pPr>
        <w:ind w:left="3324" w:hanging="506"/>
      </w:pPr>
      <w:rPr>
        <w:rFonts w:hint="default"/>
        <w:lang w:val="zh-CN" w:eastAsia="zh-CN" w:bidi="zh-CN"/>
      </w:rPr>
    </w:lvl>
    <w:lvl w:ilvl="4" w:tentative="0">
      <w:start w:val="0"/>
      <w:numFmt w:val="bullet"/>
      <w:lvlText w:val="•"/>
      <w:lvlJc w:val="left"/>
      <w:pPr>
        <w:ind w:left="4392" w:hanging="506"/>
      </w:pPr>
      <w:rPr>
        <w:rFonts w:hint="default"/>
        <w:lang w:val="zh-CN" w:eastAsia="zh-CN" w:bidi="zh-CN"/>
      </w:rPr>
    </w:lvl>
    <w:lvl w:ilvl="5" w:tentative="0">
      <w:start w:val="0"/>
      <w:numFmt w:val="bullet"/>
      <w:lvlText w:val="•"/>
      <w:lvlJc w:val="left"/>
      <w:pPr>
        <w:ind w:left="5460" w:hanging="506"/>
      </w:pPr>
      <w:rPr>
        <w:rFonts w:hint="default"/>
        <w:lang w:val="zh-CN" w:eastAsia="zh-CN" w:bidi="zh-CN"/>
      </w:rPr>
    </w:lvl>
    <w:lvl w:ilvl="6" w:tentative="0">
      <w:start w:val="0"/>
      <w:numFmt w:val="bullet"/>
      <w:lvlText w:val="•"/>
      <w:lvlJc w:val="left"/>
      <w:pPr>
        <w:ind w:left="6528" w:hanging="506"/>
      </w:pPr>
      <w:rPr>
        <w:rFonts w:hint="default"/>
        <w:lang w:val="zh-CN" w:eastAsia="zh-CN" w:bidi="zh-CN"/>
      </w:rPr>
    </w:lvl>
    <w:lvl w:ilvl="7" w:tentative="0">
      <w:start w:val="0"/>
      <w:numFmt w:val="bullet"/>
      <w:lvlText w:val="•"/>
      <w:lvlJc w:val="left"/>
      <w:pPr>
        <w:ind w:left="7596" w:hanging="506"/>
      </w:pPr>
      <w:rPr>
        <w:rFonts w:hint="default"/>
        <w:lang w:val="zh-CN" w:eastAsia="zh-CN" w:bidi="zh-CN"/>
      </w:rPr>
    </w:lvl>
    <w:lvl w:ilvl="8" w:tentative="0">
      <w:start w:val="0"/>
      <w:numFmt w:val="bullet"/>
      <w:lvlText w:val="•"/>
      <w:lvlJc w:val="left"/>
      <w:pPr>
        <w:ind w:left="8664" w:hanging="506"/>
      </w:pPr>
      <w:rPr>
        <w:rFonts w:hint="default"/>
        <w:lang w:val="zh-CN" w:eastAsia="zh-CN" w:bidi="zh-CN"/>
      </w:rPr>
    </w:lvl>
  </w:abstractNum>
  <w:abstractNum w:abstractNumId="73">
    <w:nsid w:val="25B654F3"/>
    <w:multiLevelType w:val="multilevel"/>
    <w:tmpl w:val="25B654F3"/>
    <w:lvl w:ilvl="0" w:tentative="0">
      <w:start w:val="7"/>
      <w:numFmt w:val="decimal"/>
      <w:lvlText w:val="%1."/>
      <w:lvlJc w:val="left"/>
      <w:pPr>
        <w:ind w:left="100" w:hanging="183"/>
        <w:jc w:val="left"/>
      </w:pPr>
      <w:rPr>
        <w:rFonts w:hint="default" w:ascii="MS UI Gothic" w:hAnsi="MS UI Gothic" w:eastAsia="MS UI Gothic" w:cs="MS UI Gothic"/>
        <w:spacing w:val="-3"/>
        <w:w w:val="128"/>
        <w:sz w:val="17"/>
        <w:szCs w:val="17"/>
        <w:lang w:val="zh-CN" w:eastAsia="zh-CN" w:bidi="zh-CN"/>
      </w:rPr>
    </w:lvl>
    <w:lvl w:ilvl="1" w:tentative="0">
      <w:start w:val="0"/>
      <w:numFmt w:val="bullet"/>
      <w:lvlText w:val="•"/>
      <w:lvlJc w:val="left"/>
      <w:pPr>
        <w:ind w:left="1000" w:hanging="183"/>
      </w:pPr>
      <w:rPr>
        <w:rFonts w:hint="default"/>
        <w:lang w:val="zh-CN" w:eastAsia="zh-CN" w:bidi="zh-CN"/>
      </w:rPr>
    </w:lvl>
    <w:lvl w:ilvl="2" w:tentative="0">
      <w:start w:val="0"/>
      <w:numFmt w:val="bullet"/>
      <w:lvlText w:val="•"/>
      <w:lvlJc w:val="left"/>
      <w:pPr>
        <w:ind w:left="1901" w:hanging="183"/>
      </w:pPr>
      <w:rPr>
        <w:rFonts w:hint="default"/>
        <w:lang w:val="zh-CN" w:eastAsia="zh-CN" w:bidi="zh-CN"/>
      </w:rPr>
    </w:lvl>
    <w:lvl w:ilvl="3" w:tentative="0">
      <w:start w:val="0"/>
      <w:numFmt w:val="bullet"/>
      <w:lvlText w:val="•"/>
      <w:lvlJc w:val="left"/>
      <w:pPr>
        <w:ind w:left="2802" w:hanging="183"/>
      </w:pPr>
      <w:rPr>
        <w:rFonts w:hint="default"/>
        <w:lang w:val="zh-CN" w:eastAsia="zh-CN" w:bidi="zh-CN"/>
      </w:rPr>
    </w:lvl>
    <w:lvl w:ilvl="4" w:tentative="0">
      <w:start w:val="0"/>
      <w:numFmt w:val="bullet"/>
      <w:lvlText w:val="•"/>
      <w:lvlJc w:val="left"/>
      <w:pPr>
        <w:ind w:left="3702" w:hanging="183"/>
      </w:pPr>
      <w:rPr>
        <w:rFonts w:hint="default"/>
        <w:lang w:val="zh-CN" w:eastAsia="zh-CN" w:bidi="zh-CN"/>
      </w:rPr>
    </w:lvl>
    <w:lvl w:ilvl="5" w:tentative="0">
      <w:start w:val="0"/>
      <w:numFmt w:val="bullet"/>
      <w:lvlText w:val="•"/>
      <w:lvlJc w:val="left"/>
      <w:pPr>
        <w:ind w:left="4603" w:hanging="183"/>
      </w:pPr>
      <w:rPr>
        <w:rFonts w:hint="default"/>
        <w:lang w:val="zh-CN" w:eastAsia="zh-CN" w:bidi="zh-CN"/>
      </w:rPr>
    </w:lvl>
    <w:lvl w:ilvl="6" w:tentative="0">
      <w:start w:val="0"/>
      <w:numFmt w:val="bullet"/>
      <w:lvlText w:val="•"/>
      <w:lvlJc w:val="left"/>
      <w:pPr>
        <w:ind w:left="5504" w:hanging="183"/>
      </w:pPr>
      <w:rPr>
        <w:rFonts w:hint="default"/>
        <w:lang w:val="zh-CN" w:eastAsia="zh-CN" w:bidi="zh-CN"/>
      </w:rPr>
    </w:lvl>
    <w:lvl w:ilvl="7" w:tentative="0">
      <w:start w:val="0"/>
      <w:numFmt w:val="bullet"/>
      <w:lvlText w:val="•"/>
      <w:lvlJc w:val="left"/>
      <w:pPr>
        <w:ind w:left="6404" w:hanging="183"/>
      </w:pPr>
      <w:rPr>
        <w:rFonts w:hint="default"/>
        <w:lang w:val="zh-CN" w:eastAsia="zh-CN" w:bidi="zh-CN"/>
      </w:rPr>
    </w:lvl>
    <w:lvl w:ilvl="8" w:tentative="0">
      <w:start w:val="0"/>
      <w:numFmt w:val="bullet"/>
      <w:lvlText w:val="•"/>
      <w:lvlJc w:val="left"/>
      <w:pPr>
        <w:ind w:left="7305" w:hanging="183"/>
      </w:pPr>
      <w:rPr>
        <w:rFonts w:hint="default"/>
        <w:lang w:val="zh-CN" w:eastAsia="zh-CN" w:bidi="zh-CN"/>
      </w:rPr>
    </w:lvl>
  </w:abstractNum>
  <w:abstractNum w:abstractNumId="74">
    <w:nsid w:val="27341092"/>
    <w:multiLevelType w:val="singleLevel"/>
    <w:tmpl w:val="27341092"/>
    <w:lvl w:ilvl="0" w:tentative="0">
      <w:start w:val="1"/>
      <w:numFmt w:val="chineseCounting"/>
      <w:suff w:val="nothing"/>
      <w:lvlText w:val="%1、"/>
      <w:lvlJc w:val="left"/>
      <w:pPr>
        <w:ind w:left="0" w:firstLine="420"/>
      </w:pPr>
      <w:rPr>
        <w:rFonts w:hint="eastAsia"/>
      </w:rPr>
    </w:lvl>
  </w:abstractNum>
  <w:abstractNum w:abstractNumId="75">
    <w:nsid w:val="2931781D"/>
    <w:multiLevelType w:val="singleLevel"/>
    <w:tmpl w:val="2931781D"/>
    <w:lvl w:ilvl="0" w:tentative="0">
      <w:start w:val="1"/>
      <w:numFmt w:val="decimal"/>
      <w:suff w:val="nothing"/>
      <w:lvlText w:val="%1．"/>
      <w:lvlJc w:val="left"/>
      <w:pPr>
        <w:ind w:left="0" w:firstLine="400"/>
      </w:pPr>
      <w:rPr>
        <w:rFonts w:hint="default"/>
      </w:rPr>
    </w:lvl>
  </w:abstractNum>
  <w:abstractNum w:abstractNumId="76">
    <w:nsid w:val="2A8F537B"/>
    <w:multiLevelType w:val="multilevel"/>
    <w:tmpl w:val="2A8F537B"/>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1.%2"/>
      <w:lvlJc w:val="left"/>
      <w:pPr>
        <w:ind w:left="126" w:hanging="304"/>
        <w:jc w:val="left"/>
      </w:pPr>
      <w:rPr>
        <w:rFonts w:hint="default" w:ascii="MS UI Gothic" w:hAnsi="MS UI Gothic" w:eastAsia="MS UI Gothic" w:cs="MS UI Gothic"/>
        <w:spacing w:val="-3"/>
        <w:w w:val="128"/>
        <w:sz w:val="17"/>
        <w:szCs w:val="17"/>
        <w:lang w:val="zh-CN" w:eastAsia="zh-CN" w:bidi="zh-CN"/>
      </w:rPr>
    </w:lvl>
    <w:lvl w:ilvl="2" w:tentative="0">
      <w:start w:val="0"/>
      <w:numFmt w:val="bullet"/>
      <w:lvlText w:val="•"/>
      <w:lvlJc w:val="left"/>
      <w:pPr>
        <w:ind w:left="820" w:hanging="304"/>
      </w:pPr>
      <w:rPr>
        <w:rFonts w:hint="default"/>
        <w:lang w:val="zh-CN" w:eastAsia="zh-CN" w:bidi="zh-CN"/>
      </w:rPr>
    </w:lvl>
    <w:lvl w:ilvl="3" w:tentative="0">
      <w:start w:val="0"/>
      <w:numFmt w:val="bullet"/>
      <w:lvlText w:val="•"/>
      <w:lvlJc w:val="left"/>
      <w:pPr>
        <w:ind w:left="2067" w:hanging="304"/>
      </w:pPr>
      <w:rPr>
        <w:rFonts w:hint="default"/>
        <w:lang w:val="zh-CN" w:eastAsia="zh-CN" w:bidi="zh-CN"/>
      </w:rPr>
    </w:lvl>
    <w:lvl w:ilvl="4" w:tentative="0">
      <w:start w:val="0"/>
      <w:numFmt w:val="bullet"/>
      <w:lvlText w:val="•"/>
      <w:lvlJc w:val="left"/>
      <w:pPr>
        <w:ind w:left="3315" w:hanging="304"/>
      </w:pPr>
      <w:rPr>
        <w:rFonts w:hint="default"/>
        <w:lang w:val="zh-CN" w:eastAsia="zh-CN" w:bidi="zh-CN"/>
      </w:rPr>
    </w:lvl>
    <w:lvl w:ilvl="5" w:tentative="0">
      <w:start w:val="0"/>
      <w:numFmt w:val="bullet"/>
      <w:lvlText w:val="•"/>
      <w:lvlJc w:val="left"/>
      <w:pPr>
        <w:ind w:left="4562" w:hanging="304"/>
      </w:pPr>
      <w:rPr>
        <w:rFonts w:hint="default"/>
        <w:lang w:val="zh-CN" w:eastAsia="zh-CN" w:bidi="zh-CN"/>
      </w:rPr>
    </w:lvl>
    <w:lvl w:ilvl="6" w:tentative="0">
      <w:start w:val="0"/>
      <w:numFmt w:val="bullet"/>
      <w:lvlText w:val="•"/>
      <w:lvlJc w:val="left"/>
      <w:pPr>
        <w:ind w:left="5810" w:hanging="304"/>
      </w:pPr>
      <w:rPr>
        <w:rFonts w:hint="default"/>
        <w:lang w:val="zh-CN" w:eastAsia="zh-CN" w:bidi="zh-CN"/>
      </w:rPr>
    </w:lvl>
    <w:lvl w:ilvl="7" w:tentative="0">
      <w:start w:val="0"/>
      <w:numFmt w:val="bullet"/>
      <w:lvlText w:val="•"/>
      <w:lvlJc w:val="left"/>
      <w:pPr>
        <w:ind w:left="7057" w:hanging="304"/>
      </w:pPr>
      <w:rPr>
        <w:rFonts w:hint="default"/>
        <w:lang w:val="zh-CN" w:eastAsia="zh-CN" w:bidi="zh-CN"/>
      </w:rPr>
    </w:lvl>
    <w:lvl w:ilvl="8" w:tentative="0">
      <w:start w:val="0"/>
      <w:numFmt w:val="bullet"/>
      <w:lvlText w:val="•"/>
      <w:lvlJc w:val="left"/>
      <w:pPr>
        <w:ind w:left="8305" w:hanging="304"/>
      </w:pPr>
      <w:rPr>
        <w:rFonts w:hint="default"/>
        <w:lang w:val="zh-CN" w:eastAsia="zh-CN" w:bidi="zh-CN"/>
      </w:rPr>
    </w:lvl>
  </w:abstractNum>
  <w:abstractNum w:abstractNumId="77">
    <w:nsid w:val="2AF90148"/>
    <w:multiLevelType w:val="singleLevel"/>
    <w:tmpl w:val="2AF90148"/>
    <w:lvl w:ilvl="0" w:tentative="0">
      <w:start w:val="1"/>
      <w:numFmt w:val="bullet"/>
      <w:lvlText w:val=""/>
      <w:lvlJc w:val="left"/>
      <w:pPr>
        <w:ind w:left="420" w:hanging="420"/>
      </w:pPr>
      <w:rPr>
        <w:rFonts w:hint="default" w:ascii="Wingdings" w:hAnsi="Wingdings"/>
      </w:rPr>
    </w:lvl>
  </w:abstractNum>
  <w:abstractNum w:abstractNumId="78">
    <w:nsid w:val="2BAA5774"/>
    <w:multiLevelType w:val="singleLevel"/>
    <w:tmpl w:val="2BAA5774"/>
    <w:lvl w:ilvl="0" w:tentative="0">
      <w:start w:val="1"/>
      <w:numFmt w:val="bullet"/>
      <w:lvlText w:val=""/>
      <w:lvlJc w:val="left"/>
      <w:pPr>
        <w:ind w:left="420" w:hanging="420"/>
      </w:pPr>
      <w:rPr>
        <w:rFonts w:hint="default" w:ascii="Wingdings" w:hAnsi="Wingdings"/>
      </w:rPr>
    </w:lvl>
  </w:abstractNum>
  <w:abstractNum w:abstractNumId="79">
    <w:nsid w:val="2CC6AB52"/>
    <w:multiLevelType w:val="singleLevel"/>
    <w:tmpl w:val="2CC6AB52"/>
    <w:lvl w:ilvl="0" w:tentative="0">
      <w:start w:val="1"/>
      <w:numFmt w:val="decimal"/>
      <w:suff w:val="nothing"/>
      <w:lvlText w:val="%1．"/>
      <w:lvlJc w:val="left"/>
      <w:pPr>
        <w:ind w:left="0" w:firstLine="400"/>
      </w:pPr>
      <w:rPr>
        <w:rFonts w:hint="default"/>
      </w:rPr>
    </w:lvl>
  </w:abstractNum>
  <w:abstractNum w:abstractNumId="80">
    <w:nsid w:val="2F2D79CE"/>
    <w:multiLevelType w:val="multilevel"/>
    <w:tmpl w:val="2F2D79CE"/>
    <w:lvl w:ilvl="0" w:tentative="0">
      <w:start w:val="1"/>
      <w:numFmt w:val="decimal"/>
      <w:lvlText w:val="（%1）"/>
      <w:lvlJc w:val="left"/>
      <w:pPr>
        <w:ind w:left="1015" w:hanging="506"/>
        <w:jc w:val="left"/>
      </w:pPr>
      <w:rPr>
        <w:rFonts w:hint="default" w:ascii="宋体" w:hAnsi="宋体" w:eastAsia="宋体" w:cs="宋体"/>
        <w:spacing w:val="-18"/>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81">
    <w:nsid w:val="2FBC9415"/>
    <w:multiLevelType w:val="singleLevel"/>
    <w:tmpl w:val="2FBC9415"/>
    <w:lvl w:ilvl="0" w:tentative="0">
      <w:start w:val="1"/>
      <w:numFmt w:val="decimal"/>
      <w:suff w:val="nothing"/>
      <w:lvlText w:val="%1．"/>
      <w:lvlJc w:val="left"/>
      <w:pPr>
        <w:ind w:left="0" w:firstLine="400"/>
      </w:pPr>
      <w:rPr>
        <w:rFonts w:hint="default"/>
      </w:rPr>
    </w:lvl>
  </w:abstractNum>
  <w:abstractNum w:abstractNumId="82">
    <w:nsid w:val="30A0AC00"/>
    <w:multiLevelType w:val="multilevel"/>
    <w:tmpl w:val="30A0AC00"/>
    <w:lvl w:ilvl="0" w:tentative="0">
      <w:start w:val="2"/>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83">
    <w:nsid w:val="30FC5B15"/>
    <w:multiLevelType w:val="multilevel"/>
    <w:tmpl w:val="30FC5B15"/>
    <w:lvl w:ilvl="0" w:tentative="0">
      <w:start w:val="2"/>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84">
    <w:nsid w:val="322D85CA"/>
    <w:multiLevelType w:val="multilevel"/>
    <w:tmpl w:val="322D85CA"/>
    <w:lvl w:ilvl="0" w:tentative="0">
      <w:start w:val="4"/>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85">
    <w:nsid w:val="32A7AF2D"/>
    <w:multiLevelType w:val="multilevel"/>
    <w:tmpl w:val="32A7AF2D"/>
    <w:lvl w:ilvl="0" w:tentative="0">
      <w:start w:val="2"/>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86">
    <w:nsid w:val="32D7D9A2"/>
    <w:multiLevelType w:val="singleLevel"/>
    <w:tmpl w:val="32D7D9A2"/>
    <w:lvl w:ilvl="0" w:tentative="0">
      <w:start w:val="1"/>
      <w:numFmt w:val="bullet"/>
      <w:lvlText w:val=""/>
      <w:lvlJc w:val="left"/>
      <w:pPr>
        <w:ind w:left="420" w:hanging="420"/>
      </w:pPr>
      <w:rPr>
        <w:rFonts w:hint="default" w:ascii="Wingdings" w:hAnsi="Wingdings"/>
      </w:rPr>
    </w:lvl>
  </w:abstractNum>
  <w:abstractNum w:abstractNumId="87">
    <w:nsid w:val="35E83B33"/>
    <w:multiLevelType w:val="multilevel"/>
    <w:tmpl w:val="35E83B33"/>
    <w:lvl w:ilvl="0" w:tentative="0">
      <w:start w:val="17"/>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88">
    <w:nsid w:val="39A0D9AC"/>
    <w:multiLevelType w:val="multilevel"/>
    <w:tmpl w:val="39A0D9AC"/>
    <w:lvl w:ilvl="0" w:tentative="0">
      <w:start w:val="1"/>
      <w:numFmt w:val="decimal"/>
      <w:lvlText w:val="（%1）"/>
      <w:lvlJc w:val="left"/>
      <w:pPr>
        <w:ind w:left="1171" w:hanging="506"/>
        <w:jc w:val="righ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2142" w:hanging="506"/>
      </w:pPr>
      <w:rPr>
        <w:rFonts w:hint="default"/>
        <w:lang w:val="zh-CN" w:eastAsia="zh-CN" w:bidi="zh-CN"/>
      </w:rPr>
    </w:lvl>
    <w:lvl w:ilvl="2" w:tentative="0">
      <w:start w:val="0"/>
      <w:numFmt w:val="bullet"/>
      <w:lvlText w:val="•"/>
      <w:lvlJc w:val="left"/>
      <w:pPr>
        <w:ind w:left="3104" w:hanging="506"/>
      </w:pPr>
      <w:rPr>
        <w:rFonts w:hint="default"/>
        <w:lang w:val="zh-CN" w:eastAsia="zh-CN" w:bidi="zh-CN"/>
      </w:rPr>
    </w:lvl>
    <w:lvl w:ilvl="3" w:tentative="0">
      <w:start w:val="0"/>
      <w:numFmt w:val="bullet"/>
      <w:lvlText w:val="•"/>
      <w:lvlJc w:val="left"/>
      <w:pPr>
        <w:ind w:left="4066" w:hanging="506"/>
      </w:pPr>
      <w:rPr>
        <w:rFonts w:hint="default"/>
        <w:lang w:val="zh-CN" w:eastAsia="zh-CN" w:bidi="zh-CN"/>
      </w:rPr>
    </w:lvl>
    <w:lvl w:ilvl="4" w:tentative="0">
      <w:start w:val="0"/>
      <w:numFmt w:val="bullet"/>
      <w:lvlText w:val="•"/>
      <w:lvlJc w:val="left"/>
      <w:pPr>
        <w:ind w:left="5028" w:hanging="506"/>
      </w:pPr>
      <w:rPr>
        <w:rFonts w:hint="default"/>
        <w:lang w:val="zh-CN" w:eastAsia="zh-CN" w:bidi="zh-CN"/>
      </w:rPr>
    </w:lvl>
    <w:lvl w:ilvl="5" w:tentative="0">
      <w:start w:val="0"/>
      <w:numFmt w:val="bullet"/>
      <w:lvlText w:val="•"/>
      <w:lvlJc w:val="left"/>
      <w:pPr>
        <w:ind w:left="5990" w:hanging="506"/>
      </w:pPr>
      <w:rPr>
        <w:rFonts w:hint="default"/>
        <w:lang w:val="zh-CN" w:eastAsia="zh-CN" w:bidi="zh-CN"/>
      </w:rPr>
    </w:lvl>
    <w:lvl w:ilvl="6" w:tentative="0">
      <w:start w:val="0"/>
      <w:numFmt w:val="bullet"/>
      <w:lvlText w:val="•"/>
      <w:lvlJc w:val="left"/>
      <w:pPr>
        <w:ind w:left="6952" w:hanging="506"/>
      </w:pPr>
      <w:rPr>
        <w:rFonts w:hint="default"/>
        <w:lang w:val="zh-CN" w:eastAsia="zh-CN" w:bidi="zh-CN"/>
      </w:rPr>
    </w:lvl>
    <w:lvl w:ilvl="7" w:tentative="0">
      <w:start w:val="0"/>
      <w:numFmt w:val="bullet"/>
      <w:lvlText w:val="•"/>
      <w:lvlJc w:val="left"/>
      <w:pPr>
        <w:ind w:left="7914" w:hanging="506"/>
      </w:pPr>
      <w:rPr>
        <w:rFonts w:hint="default"/>
        <w:lang w:val="zh-CN" w:eastAsia="zh-CN" w:bidi="zh-CN"/>
      </w:rPr>
    </w:lvl>
    <w:lvl w:ilvl="8" w:tentative="0">
      <w:start w:val="0"/>
      <w:numFmt w:val="bullet"/>
      <w:lvlText w:val="•"/>
      <w:lvlJc w:val="left"/>
      <w:pPr>
        <w:ind w:left="8876" w:hanging="506"/>
      </w:pPr>
      <w:rPr>
        <w:rFonts w:hint="default"/>
        <w:lang w:val="zh-CN" w:eastAsia="zh-CN" w:bidi="zh-CN"/>
      </w:rPr>
    </w:lvl>
  </w:abstractNum>
  <w:abstractNum w:abstractNumId="89">
    <w:nsid w:val="3B8127DF"/>
    <w:multiLevelType w:val="multilevel"/>
    <w:tmpl w:val="3B8127DF"/>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90">
    <w:nsid w:val="40B249F9"/>
    <w:multiLevelType w:val="multilevel"/>
    <w:tmpl w:val="40B249F9"/>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91">
    <w:nsid w:val="46A08BB8"/>
    <w:multiLevelType w:val="multilevel"/>
    <w:tmpl w:val="46A08BB8"/>
    <w:lvl w:ilvl="0" w:tentative="0">
      <w:start w:val="1"/>
      <w:numFmt w:val="decimal"/>
      <w:lvlText w:val="%1."/>
      <w:lvlJc w:val="left"/>
      <w:pPr>
        <w:ind w:left="332" w:hanging="206"/>
        <w:jc w:val="left"/>
      </w:pPr>
      <w:rPr>
        <w:rFonts w:hint="default" w:ascii="微软雅黑" w:hAnsi="微软雅黑" w:eastAsia="微软雅黑" w:cs="微软雅黑"/>
        <w:b/>
        <w:bCs/>
        <w:spacing w:val="-7"/>
        <w:w w:val="114"/>
        <w:sz w:val="17"/>
        <w:szCs w:val="17"/>
        <w:lang w:val="zh-CN" w:eastAsia="zh-CN" w:bidi="zh-CN"/>
      </w:rPr>
    </w:lvl>
    <w:lvl w:ilvl="1" w:tentative="0">
      <w:start w:val="1"/>
      <w:numFmt w:val="decimal"/>
      <w:lvlText w:val="%1.%2"/>
      <w:lvlJc w:val="left"/>
      <w:pPr>
        <w:ind w:left="126" w:hanging="304"/>
        <w:jc w:val="left"/>
      </w:pPr>
      <w:rPr>
        <w:rFonts w:hint="default" w:ascii="MS UI Gothic" w:hAnsi="MS UI Gothic" w:eastAsia="MS UI Gothic" w:cs="MS UI Gothic"/>
        <w:spacing w:val="-3"/>
        <w:w w:val="128"/>
        <w:sz w:val="17"/>
        <w:szCs w:val="17"/>
        <w:lang w:val="zh-CN" w:eastAsia="zh-CN" w:bidi="zh-CN"/>
      </w:rPr>
    </w:lvl>
    <w:lvl w:ilvl="2" w:tentative="0">
      <w:start w:val="0"/>
      <w:numFmt w:val="bullet"/>
      <w:lvlText w:val="•"/>
      <w:lvlJc w:val="left"/>
      <w:pPr>
        <w:ind w:left="820" w:hanging="304"/>
      </w:pPr>
      <w:rPr>
        <w:rFonts w:hint="default"/>
        <w:lang w:val="zh-CN" w:eastAsia="zh-CN" w:bidi="zh-CN"/>
      </w:rPr>
    </w:lvl>
    <w:lvl w:ilvl="3" w:tentative="0">
      <w:start w:val="0"/>
      <w:numFmt w:val="bullet"/>
      <w:lvlText w:val="•"/>
      <w:lvlJc w:val="left"/>
      <w:pPr>
        <w:ind w:left="2067" w:hanging="304"/>
      </w:pPr>
      <w:rPr>
        <w:rFonts w:hint="default"/>
        <w:lang w:val="zh-CN" w:eastAsia="zh-CN" w:bidi="zh-CN"/>
      </w:rPr>
    </w:lvl>
    <w:lvl w:ilvl="4" w:tentative="0">
      <w:start w:val="0"/>
      <w:numFmt w:val="bullet"/>
      <w:lvlText w:val="•"/>
      <w:lvlJc w:val="left"/>
      <w:pPr>
        <w:ind w:left="3315" w:hanging="304"/>
      </w:pPr>
      <w:rPr>
        <w:rFonts w:hint="default"/>
        <w:lang w:val="zh-CN" w:eastAsia="zh-CN" w:bidi="zh-CN"/>
      </w:rPr>
    </w:lvl>
    <w:lvl w:ilvl="5" w:tentative="0">
      <w:start w:val="0"/>
      <w:numFmt w:val="bullet"/>
      <w:lvlText w:val="•"/>
      <w:lvlJc w:val="left"/>
      <w:pPr>
        <w:ind w:left="4562" w:hanging="304"/>
      </w:pPr>
      <w:rPr>
        <w:rFonts w:hint="default"/>
        <w:lang w:val="zh-CN" w:eastAsia="zh-CN" w:bidi="zh-CN"/>
      </w:rPr>
    </w:lvl>
    <w:lvl w:ilvl="6" w:tentative="0">
      <w:start w:val="0"/>
      <w:numFmt w:val="bullet"/>
      <w:lvlText w:val="•"/>
      <w:lvlJc w:val="left"/>
      <w:pPr>
        <w:ind w:left="5810" w:hanging="304"/>
      </w:pPr>
      <w:rPr>
        <w:rFonts w:hint="default"/>
        <w:lang w:val="zh-CN" w:eastAsia="zh-CN" w:bidi="zh-CN"/>
      </w:rPr>
    </w:lvl>
    <w:lvl w:ilvl="7" w:tentative="0">
      <w:start w:val="0"/>
      <w:numFmt w:val="bullet"/>
      <w:lvlText w:val="•"/>
      <w:lvlJc w:val="left"/>
      <w:pPr>
        <w:ind w:left="7057" w:hanging="304"/>
      </w:pPr>
      <w:rPr>
        <w:rFonts w:hint="default"/>
        <w:lang w:val="zh-CN" w:eastAsia="zh-CN" w:bidi="zh-CN"/>
      </w:rPr>
    </w:lvl>
    <w:lvl w:ilvl="8" w:tentative="0">
      <w:start w:val="0"/>
      <w:numFmt w:val="bullet"/>
      <w:lvlText w:val="•"/>
      <w:lvlJc w:val="left"/>
      <w:pPr>
        <w:ind w:left="8305" w:hanging="304"/>
      </w:pPr>
      <w:rPr>
        <w:rFonts w:hint="default"/>
        <w:lang w:val="zh-CN" w:eastAsia="zh-CN" w:bidi="zh-CN"/>
      </w:rPr>
    </w:lvl>
  </w:abstractNum>
  <w:abstractNum w:abstractNumId="92">
    <w:nsid w:val="4C1BAE26"/>
    <w:multiLevelType w:val="multilevel"/>
    <w:tmpl w:val="4C1BAE26"/>
    <w:lvl w:ilvl="0" w:tentative="0">
      <w:start w:val="1"/>
      <w:numFmt w:val="decimal"/>
      <w:lvlText w:val="（%1）"/>
      <w:lvlJc w:val="left"/>
      <w:pPr>
        <w:ind w:left="1015" w:hanging="506"/>
        <w:jc w:val="left"/>
      </w:pPr>
      <w:rPr>
        <w:rFonts w:hint="default" w:ascii="宋体" w:hAnsi="宋体" w:eastAsia="宋体" w:cs="宋体"/>
        <w:spacing w:val="-4"/>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93">
    <w:nsid w:val="4C3D7A74"/>
    <w:multiLevelType w:val="multilevel"/>
    <w:tmpl w:val="4C3D7A74"/>
    <w:lvl w:ilvl="0" w:tentative="0">
      <w:start w:val="1"/>
      <w:numFmt w:val="decimal"/>
      <w:lvlText w:val="%1."/>
      <w:lvlJc w:val="left"/>
      <w:pPr>
        <w:ind w:left="100"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985" w:hanging="163"/>
      </w:pPr>
      <w:rPr>
        <w:rFonts w:hint="default"/>
        <w:lang w:val="zh-CN" w:eastAsia="zh-CN" w:bidi="zh-CN"/>
      </w:rPr>
    </w:lvl>
    <w:lvl w:ilvl="2" w:tentative="0">
      <w:start w:val="0"/>
      <w:numFmt w:val="bullet"/>
      <w:lvlText w:val="•"/>
      <w:lvlJc w:val="left"/>
      <w:pPr>
        <w:ind w:left="1870" w:hanging="163"/>
      </w:pPr>
      <w:rPr>
        <w:rFonts w:hint="default"/>
        <w:lang w:val="zh-CN" w:eastAsia="zh-CN" w:bidi="zh-CN"/>
      </w:rPr>
    </w:lvl>
    <w:lvl w:ilvl="3" w:tentative="0">
      <w:start w:val="0"/>
      <w:numFmt w:val="bullet"/>
      <w:lvlText w:val="•"/>
      <w:lvlJc w:val="left"/>
      <w:pPr>
        <w:ind w:left="2755" w:hanging="163"/>
      </w:pPr>
      <w:rPr>
        <w:rFonts w:hint="default"/>
        <w:lang w:val="zh-CN" w:eastAsia="zh-CN" w:bidi="zh-CN"/>
      </w:rPr>
    </w:lvl>
    <w:lvl w:ilvl="4" w:tentative="0">
      <w:start w:val="0"/>
      <w:numFmt w:val="bullet"/>
      <w:lvlText w:val="•"/>
      <w:lvlJc w:val="left"/>
      <w:pPr>
        <w:ind w:left="3640" w:hanging="163"/>
      </w:pPr>
      <w:rPr>
        <w:rFonts w:hint="default"/>
        <w:lang w:val="zh-CN" w:eastAsia="zh-CN" w:bidi="zh-CN"/>
      </w:rPr>
    </w:lvl>
    <w:lvl w:ilvl="5" w:tentative="0">
      <w:start w:val="0"/>
      <w:numFmt w:val="bullet"/>
      <w:lvlText w:val="•"/>
      <w:lvlJc w:val="left"/>
      <w:pPr>
        <w:ind w:left="4525" w:hanging="163"/>
      </w:pPr>
      <w:rPr>
        <w:rFonts w:hint="default"/>
        <w:lang w:val="zh-CN" w:eastAsia="zh-CN" w:bidi="zh-CN"/>
      </w:rPr>
    </w:lvl>
    <w:lvl w:ilvl="6" w:tentative="0">
      <w:start w:val="0"/>
      <w:numFmt w:val="bullet"/>
      <w:lvlText w:val="•"/>
      <w:lvlJc w:val="left"/>
      <w:pPr>
        <w:ind w:left="5410" w:hanging="163"/>
      </w:pPr>
      <w:rPr>
        <w:rFonts w:hint="default"/>
        <w:lang w:val="zh-CN" w:eastAsia="zh-CN" w:bidi="zh-CN"/>
      </w:rPr>
    </w:lvl>
    <w:lvl w:ilvl="7" w:tentative="0">
      <w:start w:val="0"/>
      <w:numFmt w:val="bullet"/>
      <w:lvlText w:val="•"/>
      <w:lvlJc w:val="left"/>
      <w:pPr>
        <w:ind w:left="6295" w:hanging="163"/>
      </w:pPr>
      <w:rPr>
        <w:rFonts w:hint="default"/>
        <w:lang w:val="zh-CN" w:eastAsia="zh-CN" w:bidi="zh-CN"/>
      </w:rPr>
    </w:lvl>
    <w:lvl w:ilvl="8" w:tentative="0">
      <w:start w:val="0"/>
      <w:numFmt w:val="bullet"/>
      <w:lvlText w:val="•"/>
      <w:lvlJc w:val="left"/>
      <w:pPr>
        <w:ind w:left="7180" w:hanging="163"/>
      </w:pPr>
      <w:rPr>
        <w:rFonts w:hint="default"/>
        <w:lang w:val="zh-CN" w:eastAsia="zh-CN" w:bidi="zh-CN"/>
      </w:rPr>
    </w:lvl>
  </w:abstractNum>
  <w:abstractNum w:abstractNumId="94">
    <w:nsid w:val="4D4DC07F"/>
    <w:multiLevelType w:val="multilevel"/>
    <w:tmpl w:val="4D4DC07F"/>
    <w:lvl w:ilvl="0" w:tentative="0">
      <w:start w:val="1"/>
      <w:numFmt w:val="decimal"/>
      <w:lvlText w:val="（%1）"/>
      <w:lvlJc w:val="left"/>
      <w:pPr>
        <w:ind w:left="1015"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95">
    <w:nsid w:val="4D94DA66"/>
    <w:multiLevelType w:val="multilevel"/>
    <w:tmpl w:val="4D94DA66"/>
    <w:lvl w:ilvl="0" w:tentative="0">
      <w:start w:val="54"/>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96">
    <w:nsid w:val="58765686"/>
    <w:multiLevelType w:val="multilevel"/>
    <w:tmpl w:val="58765686"/>
    <w:lvl w:ilvl="0" w:tentative="0">
      <w:start w:val="3"/>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97">
    <w:nsid w:val="59ADCABA"/>
    <w:multiLevelType w:val="multilevel"/>
    <w:tmpl w:val="59ADCABA"/>
    <w:lvl w:ilvl="0" w:tentative="0">
      <w:start w:val="1"/>
      <w:numFmt w:val="decimal"/>
      <w:lvlText w:val="%1."/>
      <w:lvlJc w:val="left"/>
      <w:pPr>
        <w:ind w:left="510" w:hanging="183"/>
        <w:jc w:val="left"/>
      </w:pPr>
      <w:rPr>
        <w:rFonts w:hint="default" w:ascii="MS UI Gothic" w:hAnsi="MS UI Gothic" w:eastAsia="MS UI Gothic" w:cs="MS UI Gothic"/>
        <w:spacing w:val="-3"/>
        <w:w w:val="128"/>
        <w:sz w:val="17"/>
        <w:szCs w:val="17"/>
        <w:lang w:val="zh-CN" w:eastAsia="zh-CN" w:bidi="zh-CN"/>
      </w:rPr>
    </w:lvl>
    <w:lvl w:ilvl="1" w:tentative="0">
      <w:start w:val="0"/>
      <w:numFmt w:val="bullet"/>
      <w:lvlText w:val="•"/>
      <w:lvlJc w:val="left"/>
      <w:pPr>
        <w:ind w:left="1548" w:hanging="183"/>
      </w:pPr>
      <w:rPr>
        <w:rFonts w:hint="default"/>
        <w:lang w:val="zh-CN" w:eastAsia="zh-CN" w:bidi="zh-CN"/>
      </w:rPr>
    </w:lvl>
    <w:lvl w:ilvl="2" w:tentative="0">
      <w:start w:val="0"/>
      <w:numFmt w:val="bullet"/>
      <w:lvlText w:val="•"/>
      <w:lvlJc w:val="left"/>
      <w:pPr>
        <w:ind w:left="2576" w:hanging="183"/>
      </w:pPr>
      <w:rPr>
        <w:rFonts w:hint="default"/>
        <w:lang w:val="zh-CN" w:eastAsia="zh-CN" w:bidi="zh-CN"/>
      </w:rPr>
    </w:lvl>
    <w:lvl w:ilvl="3" w:tentative="0">
      <w:start w:val="0"/>
      <w:numFmt w:val="bullet"/>
      <w:lvlText w:val="•"/>
      <w:lvlJc w:val="left"/>
      <w:pPr>
        <w:ind w:left="3604" w:hanging="183"/>
      </w:pPr>
      <w:rPr>
        <w:rFonts w:hint="default"/>
        <w:lang w:val="zh-CN" w:eastAsia="zh-CN" w:bidi="zh-CN"/>
      </w:rPr>
    </w:lvl>
    <w:lvl w:ilvl="4" w:tentative="0">
      <w:start w:val="0"/>
      <w:numFmt w:val="bullet"/>
      <w:lvlText w:val="•"/>
      <w:lvlJc w:val="left"/>
      <w:pPr>
        <w:ind w:left="4632" w:hanging="183"/>
      </w:pPr>
      <w:rPr>
        <w:rFonts w:hint="default"/>
        <w:lang w:val="zh-CN" w:eastAsia="zh-CN" w:bidi="zh-CN"/>
      </w:rPr>
    </w:lvl>
    <w:lvl w:ilvl="5" w:tentative="0">
      <w:start w:val="0"/>
      <w:numFmt w:val="bullet"/>
      <w:lvlText w:val="•"/>
      <w:lvlJc w:val="left"/>
      <w:pPr>
        <w:ind w:left="5660" w:hanging="183"/>
      </w:pPr>
      <w:rPr>
        <w:rFonts w:hint="default"/>
        <w:lang w:val="zh-CN" w:eastAsia="zh-CN" w:bidi="zh-CN"/>
      </w:rPr>
    </w:lvl>
    <w:lvl w:ilvl="6" w:tentative="0">
      <w:start w:val="0"/>
      <w:numFmt w:val="bullet"/>
      <w:lvlText w:val="•"/>
      <w:lvlJc w:val="left"/>
      <w:pPr>
        <w:ind w:left="6688" w:hanging="183"/>
      </w:pPr>
      <w:rPr>
        <w:rFonts w:hint="default"/>
        <w:lang w:val="zh-CN" w:eastAsia="zh-CN" w:bidi="zh-CN"/>
      </w:rPr>
    </w:lvl>
    <w:lvl w:ilvl="7" w:tentative="0">
      <w:start w:val="0"/>
      <w:numFmt w:val="bullet"/>
      <w:lvlText w:val="•"/>
      <w:lvlJc w:val="left"/>
      <w:pPr>
        <w:ind w:left="7716" w:hanging="183"/>
      </w:pPr>
      <w:rPr>
        <w:rFonts w:hint="default"/>
        <w:lang w:val="zh-CN" w:eastAsia="zh-CN" w:bidi="zh-CN"/>
      </w:rPr>
    </w:lvl>
    <w:lvl w:ilvl="8" w:tentative="0">
      <w:start w:val="0"/>
      <w:numFmt w:val="bullet"/>
      <w:lvlText w:val="•"/>
      <w:lvlJc w:val="left"/>
      <w:pPr>
        <w:ind w:left="8744" w:hanging="183"/>
      </w:pPr>
      <w:rPr>
        <w:rFonts w:hint="default"/>
        <w:lang w:val="zh-CN" w:eastAsia="zh-CN" w:bidi="zh-CN"/>
      </w:rPr>
    </w:lvl>
  </w:abstractNum>
  <w:abstractNum w:abstractNumId="98">
    <w:nsid w:val="59EEFD2A"/>
    <w:multiLevelType w:val="multilevel"/>
    <w:tmpl w:val="59EEFD2A"/>
    <w:lvl w:ilvl="0" w:tentative="0">
      <w:start w:val="1"/>
      <w:numFmt w:val="decimal"/>
      <w:lvlText w:val="（%1）"/>
      <w:lvlJc w:val="left"/>
      <w:pPr>
        <w:ind w:left="1015"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99">
    <w:nsid w:val="5A241D34"/>
    <w:multiLevelType w:val="multilevel"/>
    <w:tmpl w:val="5A241D34"/>
    <w:lvl w:ilvl="0" w:tentative="0">
      <w:start w:val="1"/>
      <w:numFmt w:val="decimal"/>
      <w:lvlText w:val="（%1）"/>
      <w:lvlJc w:val="left"/>
      <w:pPr>
        <w:ind w:left="1015"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100">
    <w:nsid w:val="5D23DBB3"/>
    <w:multiLevelType w:val="singleLevel"/>
    <w:tmpl w:val="5D23DBB3"/>
    <w:lvl w:ilvl="0" w:tentative="0">
      <w:start w:val="1"/>
      <w:numFmt w:val="bullet"/>
      <w:lvlText w:val=""/>
      <w:lvlJc w:val="left"/>
      <w:pPr>
        <w:ind w:left="420" w:hanging="420"/>
      </w:pPr>
      <w:rPr>
        <w:rFonts w:hint="default" w:ascii="Wingdings" w:hAnsi="Wingdings"/>
      </w:rPr>
    </w:lvl>
  </w:abstractNum>
  <w:abstractNum w:abstractNumId="101">
    <w:nsid w:val="5E29AB5A"/>
    <w:multiLevelType w:val="multilevel"/>
    <w:tmpl w:val="5E29AB5A"/>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102">
    <w:nsid w:val="5FFFB1A7"/>
    <w:multiLevelType w:val="multilevel"/>
    <w:tmpl w:val="5FFFB1A7"/>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103">
    <w:nsid w:val="60382F6E"/>
    <w:multiLevelType w:val="multilevel"/>
    <w:tmpl w:val="60382F6E"/>
    <w:lvl w:ilvl="0" w:tentative="0">
      <w:start w:val="1"/>
      <w:numFmt w:val="decimal"/>
      <w:lvlText w:val="（%1）"/>
      <w:lvlJc w:val="left"/>
      <w:pPr>
        <w:ind w:left="1015"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1998" w:hanging="506"/>
      </w:pPr>
      <w:rPr>
        <w:rFonts w:hint="default"/>
        <w:lang w:val="zh-CN" w:eastAsia="zh-CN" w:bidi="zh-CN"/>
      </w:rPr>
    </w:lvl>
    <w:lvl w:ilvl="2" w:tentative="0">
      <w:start w:val="0"/>
      <w:numFmt w:val="bullet"/>
      <w:lvlText w:val="•"/>
      <w:lvlJc w:val="left"/>
      <w:pPr>
        <w:ind w:left="2976" w:hanging="506"/>
      </w:pPr>
      <w:rPr>
        <w:rFonts w:hint="default"/>
        <w:lang w:val="zh-CN" w:eastAsia="zh-CN" w:bidi="zh-CN"/>
      </w:rPr>
    </w:lvl>
    <w:lvl w:ilvl="3" w:tentative="0">
      <w:start w:val="0"/>
      <w:numFmt w:val="bullet"/>
      <w:lvlText w:val="•"/>
      <w:lvlJc w:val="left"/>
      <w:pPr>
        <w:ind w:left="3954" w:hanging="506"/>
      </w:pPr>
      <w:rPr>
        <w:rFonts w:hint="default"/>
        <w:lang w:val="zh-CN" w:eastAsia="zh-CN" w:bidi="zh-CN"/>
      </w:rPr>
    </w:lvl>
    <w:lvl w:ilvl="4" w:tentative="0">
      <w:start w:val="0"/>
      <w:numFmt w:val="bullet"/>
      <w:lvlText w:val="•"/>
      <w:lvlJc w:val="left"/>
      <w:pPr>
        <w:ind w:left="4932" w:hanging="506"/>
      </w:pPr>
      <w:rPr>
        <w:rFonts w:hint="default"/>
        <w:lang w:val="zh-CN" w:eastAsia="zh-CN" w:bidi="zh-CN"/>
      </w:rPr>
    </w:lvl>
    <w:lvl w:ilvl="5" w:tentative="0">
      <w:start w:val="0"/>
      <w:numFmt w:val="bullet"/>
      <w:lvlText w:val="•"/>
      <w:lvlJc w:val="left"/>
      <w:pPr>
        <w:ind w:left="5910" w:hanging="506"/>
      </w:pPr>
      <w:rPr>
        <w:rFonts w:hint="default"/>
        <w:lang w:val="zh-CN" w:eastAsia="zh-CN" w:bidi="zh-CN"/>
      </w:rPr>
    </w:lvl>
    <w:lvl w:ilvl="6" w:tentative="0">
      <w:start w:val="0"/>
      <w:numFmt w:val="bullet"/>
      <w:lvlText w:val="•"/>
      <w:lvlJc w:val="left"/>
      <w:pPr>
        <w:ind w:left="6888" w:hanging="506"/>
      </w:pPr>
      <w:rPr>
        <w:rFonts w:hint="default"/>
        <w:lang w:val="zh-CN" w:eastAsia="zh-CN" w:bidi="zh-CN"/>
      </w:rPr>
    </w:lvl>
    <w:lvl w:ilvl="7" w:tentative="0">
      <w:start w:val="0"/>
      <w:numFmt w:val="bullet"/>
      <w:lvlText w:val="•"/>
      <w:lvlJc w:val="left"/>
      <w:pPr>
        <w:ind w:left="7866" w:hanging="506"/>
      </w:pPr>
      <w:rPr>
        <w:rFonts w:hint="default"/>
        <w:lang w:val="zh-CN" w:eastAsia="zh-CN" w:bidi="zh-CN"/>
      </w:rPr>
    </w:lvl>
    <w:lvl w:ilvl="8" w:tentative="0">
      <w:start w:val="0"/>
      <w:numFmt w:val="bullet"/>
      <w:lvlText w:val="•"/>
      <w:lvlJc w:val="left"/>
      <w:pPr>
        <w:ind w:left="8844" w:hanging="506"/>
      </w:pPr>
      <w:rPr>
        <w:rFonts w:hint="default"/>
        <w:lang w:val="zh-CN" w:eastAsia="zh-CN" w:bidi="zh-CN"/>
      </w:rPr>
    </w:lvl>
  </w:abstractNum>
  <w:abstractNum w:abstractNumId="104">
    <w:nsid w:val="629F7852"/>
    <w:multiLevelType w:val="multilevel"/>
    <w:tmpl w:val="629F7852"/>
    <w:lvl w:ilvl="0" w:tentative="0">
      <w:start w:val="1"/>
      <w:numFmt w:val="decimal"/>
      <w:lvlText w:val="（%1）"/>
      <w:lvlJc w:val="left"/>
      <w:pPr>
        <w:ind w:left="1171" w:hanging="506"/>
        <w:jc w:val="left"/>
      </w:pPr>
      <w:rPr>
        <w:rFonts w:hint="default" w:ascii="宋体" w:hAnsi="宋体" w:eastAsia="宋体" w:cs="宋体"/>
        <w:spacing w:val="-3"/>
        <w:w w:val="100"/>
        <w:sz w:val="17"/>
        <w:szCs w:val="17"/>
        <w:lang w:val="zh-CN" w:eastAsia="zh-CN" w:bidi="zh-CN"/>
      </w:rPr>
    </w:lvl>
    <w:lvl w:ilvl="1" w:tentative="0">
      <w:start w:val="0"/>
      <w:numFmt w:val="bullet"/>
      <w:lvlText w:val="•"/>
      <w:lvlJc w:val="left"/>
      <w:pPr>
        <w:ind w:left="2142" w:hanging="506"/>
      </w:pPr>
      <w:rPr>
        <w:rFonts w:hint="default"/>
        <w:lang w:val="zh-CN" w:eastAsia="zh-CN" w:bidi="zh-CN"/>
      </w:rPr>
    </w:lvl>
    <w:lvl w:ilvl="2" w:tentative="0">
      <w:start w:val="0"/>
      <w:numFmt w:val="bullet"/>
      <w:lvlText w:val="•"/>
      <w:lvlJc w:val="left"/>
      <w:pPr>
        <w:ind w:left="3104" w:hanging="506"/>
      </w:pPr>
      <w:rPr>
        <w:rFonts w:hint="default"/>
        <w:lang w:val="zh-CN" w:eastAsia="zh-CN" w:bidi="zh-CN"/>
      </w:rPr>
    </w:lvl>
    <w:lvl w:ilvl="3" w:tentative="0">
      <w:start w:val="0"/>
      <w:numFmt w:val="bullet"/>
      <w:lvlText w:val="•"/>
      <w:lvlJc w:val="left"/>
      <w:pPr>
        <w:ind w:left="4066" w:hanging="506"/>
      </w:pPr>
      <w:rPr>
        <w:rFonts w:hint="default"/>
        <w:lang w:val="zh-CN" w:eastAsia="zh-CN" w:bidi="zh-CN"/>
      </w:rPr>
    </w:lvl>
    <w:lvl w:ilvl="4" w:tentative="0">
      <w:start w:val="0"/>
      <w:numFmt w:val="bullet"/>
      <w:lvlText w:val="•"/>
      <w:lvlJc w:val="left"/>
      <w:pPr>
        <w:ind w:left="5028" w:hanging="506"/>
      </w:pPr>
      <w:rPr>
        <w:rFonts w:hint="default"/>
        <w:lang w:val="zh-CN" w:eastAsia="zh-CN" w:bidi="zh-CN"/>
      </w:rPr>
    </w:lvl>
    <w:lvl w:ilvl="5" w:tentative="0">
      <w:start w:val="0"/>
      <w:numFmt w:val="bullet"/>
      <w:lvlText w:val="•"/>
      <w:lvlJc w:val="left"/>
      <w:pPr>
        <w:ind w:left="5990" w:hanging="506"/>
      </w:pPr>
      <w:rPr>
        <w:rFonts w:hint="default"/>
        <w:lang w:val="zh-CN" w:eastAsia="zh-CN" w:bidi="zh-CN"/>
      </w:rPr>
    </w:lvl>
    <w:lvl w:ilvl="6" w:tentative="0">
      <w:start w:val="0"/>
      <w:numFmt w:val="bullet"/>
      <w:lvlText w:val="•"/>
      <w:lvlJc w:val="left"/>
      <w:pPr>
        <w:ind w:left="6952" w:hanging="506"/>
      </w:pPr>
      <w:rPr>
        <w:rFonts w:hint="default"/>
        <w:lang w:val="zh-CN" w:eastAsia="zh-CN" w:bidi="zh-CN"/>
      </w:rPr>
    </w:lvl>
    <w:lvl w:ilvl="7" w:tentative="0">
      <w:start w:val="0"/>
      <w:numFmt w:val="bullet"/>
      <w:lvlText w:val="•"/>
      <w:lvlJc w:val="left"/>
      <w:pPr>
        <w:ind w:left="7914" w:hanging="506"/>
      </w:pPr>
      <w:rPr>
        <w:rFonts w:hint="default"/>
        <w:lang w:val="zh-CN" w:eastAsia="zh-CN" w:bidi="zh-CN"/>
      </w:rPr>
    </w:lvl>
    <w:lvl w:ilvl="8" w:tentative="0">
      <w:start w:val="0"/>
      <w:numFmt w:val="bullet"/>
      <w:lvlText w:val="•"/>
      <w:lvlJc w:val="left"/>
      <w:pPr>
        <w:ind w:left="8876" w:hanging="506"/>
      </w:pPr>
      <w:rPr>
        <w:rFonts w:hint="default"/>
        <w:lang w:val="zh-CN" w:eastAsia="zh-CN" w:bidi="zh-CN"/>
      </w:rPr>
    </w:lvl>
  </w:abstractNum>
  <w:abstractNum w:abstractNumId="105">
    <w:nsid w:val="65CD0074"/>
    <w:multiLevelType w:val="multilevel"/>
    <w:tmpl w:val="65CD0074"/>
    <w:lvl w:ilvl="0" w:tentative="0">
      <w:start w:val="10"/>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abstractNum w:abstractNumId="106">
    <w:nsid w:val="700FDCEF"/>
    <w:multiLevelType w:val="multilevel"/>
    <w:tmpl w:val="700FDCEF"/>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107">
    <w:nsid w:val="7148878D"/>
    <w:multiLevelType w:val="singleLevel"/>
    <w:tmpl w:val="7148878D"/>
    <w:lvl w:ilvl="0" w:tentative="0">
      <w:start w:val="1"/>
      <w:numFmt w:val="decimal"/>
      <w:suff w:val="nothing"/>
      <w:lvlText w:val="%1．"/>
      <w:lvlJc w:val="left"/>
      <w:pPr>
        <w:ind w:left="0" w:firstLine="400"/>
      </w:pPr>
      <w:rPr>
        <w:rFonts w:hint="default"/>
      </w:rPr>
    </w:lvl>
  </w:abstractNum>
  <w:abstractNum w:abstractNumId="108">
    <w:nsid w:val="72183CF9"/>
    <w:multiLevelType w:val="multilevel"/>
    <w:tmpl w:val="72183CF9"/>
    <w:lvl w:ilvl="0" w:tentative="0">
      <w:start w:val="1"/>
      <w:numFmt w:val="decimal"/>
      <w:lvlText w:val="%1."/>
      <w:lvlJc w:val="left"/>
      <w:pPr>
        <w:ind w:left="348" w:hanging="223"/>
        <w:jc w:val="left"/>
      </w:pPr>
      <w:rPr>
        <w:rFonts w:hint="default" w:ascii="微软雅黑" w:hAnsi="微软雅黑" w:eastAsia="微软雅黑" w:cs="微软雅黑"/>
        <w:b/>
        <w:bCs/>
        <w:spacing w:val="-12"/>
        <w:w w:val="115"/>
        <w:sz w:val="18"/>
        <w:szCs w:val="18"/>
        <w:lang w:val="zh-CN" w:eastAsia="zh-CN" w:bidi="zh-CN"/>
      </w:rPr>
    </w:lvl>
    <w:lvl w:ilvl="1" w:tentative="0">
      <w:start w:val="1"/>
      <w:numFmt w:val="decimal"/>
      <w:lvlText w:val="%1.%2"/>
      <w:lvlJc w:val="left"/>
      <w:pPr>
        <w:ind w:left="813" w:hanging="304"/>
        <w:jc w:val="left"/>
      </w:pPr>
      <w:rPr>
        <w:rFonts w:hint="default" w:ascii="MS UI Gothic" w:hAnsi="MS UI Gothic" w:eastAsia="MS UI Gothic" w:cs="MS UI Gothic"/>
        <w:spacing w:val="-3"/>
        <w:w w:val="128"/>
        <w:sz w:val="17"/>
        <w:szCs w:val="17"/>
        <w:lang w:val="zh-CN" w:eastAsia="zh-CN" w:bidi="zh-CN"/>
      </w:rPr>
    </w:lvl>
    <w:lvl w:ilvl="2" w:tentative="0">
      <w:start w:val="0"/>
      <w:numFmt w:val="bullet"/>
      <w:lvlText w:val="•"/>
      <w:lvlJc w:val="left"/>
      <w:pPr>
        <w:ind w:left="1928" w:hanging="304"/>
      </w:pPr>
      <w:rPr>
        <w:rFonts w:hint="default"/>
        <w:lang w:val="zh-CN" w:eastAsia="zh-CN" w:bidi="zh-CN"/>
      </w:rPr>
    </w:lvl>
    <w:lvl w:ilvl="3" w:tentative="0">
      <w:start w:val="0"/>
      <w:numFmt w:val="bullet"/>
      <w:lvlText w:val="•"/>
      <w:lvlJc w:val="left"/>
      <w:pPr>
        <w:ind w:left="3037" w:hanging="304"/>
      </w:pPr>
      <w:rPr>
        <w:rFonts w:hint="default"/>
        <w:lang w:val="zh-CN" w:eastAsia="zh-CN" w:bidi="zh-CN"/>
      </w:rPr>
    </w:lvl>
    <w:lvl w:ilvl="4" w:tentative="0">
      <w:start w:val="0"/>
      <w:numFmt w:val="bullet"/>
      <w:lvlText w:val="•"/>
      <w:lvlJc w:val="left"/>
      <w:pPr>
        <w:ind w:left="4146" w:hanging="304"/>
      </w:pPr>
      <w:rPr>
        <w:rFonts w:hint="default"/>
        <w:lang w:val="zh-CN" w:eastAsia="zh-CN" w:bidi="zh-CN"/>
      </w:rPr>
    </w:lvl>
    <w:lvl w:ilvl="5" w:tentative="0">
      <w:start w:val="0"/>
      <w:numFmt w:val="bullet"/>
      <w:lvlText w:val="•"/>
      <w:lvlJc w:val="left"/>
      <w:pPr>
        <w:ind w:left="5255" w:hanging="304"/>
      </w:pPr>
      <w:rPr>
        <w:rFonts w:hint="default"/>
        <w:lang w:val="zh-CN" w:eastAsia="zh-CN" w:bidi="zh-CN"/>
      </w:rPr>
    </w:lvl>
    <w:lvl w:ilvl="6" w:tentative="0">
      <w:start w:val="0"/>
      <w:numFmt w:val="bullet"/>
      <w:lvlText w:val="•"/>
      <w:lvlJc w:val="left"/>
      <w:pPr>
        <w:ind w:left="6364" w:hanging="304"/>
      </w:pPr>
      <w:rPr>
        <w:rFonts w:hint="default"/>
        <w:lang w:val="zh-CN" w:eastAsia="zh-CN" w:bidi="zh-CN"/>
      </w:rPr>
    </w:lvl>
    <w:lvl w:ilvl="7" w:tentative="0">
      <w:start w:val="0"/>
      <w:numFmt w:val="bullet"/>
      <w:lvlText w:val="•"/>
      <w:lvlJc w:val="left"/>
      <w:pPr>
        <w:ind w:left="7473" w:hanging="304"/>
      </w:pPr>
      <w:rPr>
        <w:rFonts w:hint="default"/>
        <w:lang w:val="zh-CN" w:eastAsia="zh-CN" w:bidi="zh-CN"/>
      </w:rPr>
    </w:lvl>
    <w:lvl w:ilvl="8" w:tentative="0">
      <w:start w:val="0"/>
      <w:numFmt w:val="bullet"/>
      <w:lvlText w:val="•"/>
      <w:lvlJc w:val="left"/>
      <w:pPr>
        <w:ind w:left="8582" w:hanging="304"/>
      </w:pPr>
      <w:rPr>
        <w:rFonts w:hint="default"/>
        <w:lang w:val="zh-CN" w:eastAsia="zh-CN" w:bidi="zh-CN"/>
      </w:rPr>
    </w:lvl>
  </w:abstractNum>
  <w:abstractNum w:abstractNumId="109">
    <w:nsid w:val="74C28B35"/>
    <w:multiLevelType w:val="multilevel"/>
    <w:tmpl w:val="74C28B35"/>
    <w:lvl w:ilvl="0" w:tentative="0">
      <w:start w:val="1"/>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110">
    <w:nsid w:val="77081DED"/>
    <w:multiLevelType w:val="singleLevel"/>
    <w:tmpl w:val="77081DED"/>
    <w:lvl w:ilvl="0" w:tentative="0">
      <w:start w:val="1"/>
      <w:numFmt w:val="chineseCounting"/>
      <w:suff w:val="nothing"/>
      <w:lvlText w:val="（%1）"/>
      <w:lvlJc w:val="left"/>
      <w:pPr>
        <w:ind w:left="0" w:firstLine="420"/>
      </w:pPr>
      <w:rPr>
        <w:rFonts w:hint="eastAsia"/>
      </w:rPr>
    </w:lvl>
  </w:abstractNum>
  <w:abstractNum w:abstractNumId="111">
    <w:nsid w:val="77633216"/>
    <w:multiLevelType w:val="multilevel"/>
    <w:tmpl w:val="77633216"/>
    <w:lvl w:ilvl="0" w:tentative="0">
      <w:start w:val="4"/>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1"/>
      <w:numFmt w:val="decimal"/>
      <w:lvlText w:val="%1.%2"/>
      <w:lvlJc w:val="left"/>
      <w:pPr>
        <w:ind w:left="365" w:hanging="265"/>
        <w:jc w:val="left"/>
      </w:pPr>
      <w:rPr>
        <w:rFonts w:hint="default" w:ascii="MS UI Gothic" w:hAnsi="MS UI Gothic" w:eastAsia="MS UI Gothic" w:cs="MS UI Gothic"/>
        <w:spacing w:val="-6"/>
        <w:w w:val="125"/>
        <w:sz w:val="15"/>
        <w:szCs w:val="15"/>
        <w:lang w:val="zh-CN" w:eastAsia="zh-CN" w:bidi="zh-CN"/>
      </w:rPr>
    </w:lvl>
    <w:lvl w:ilvl="2" w:tentative="0">
      <w:start w:val="0"/>
      <w:numFmt w:val="bullet"/>
      <w:lvlText w:val="•"/>
      <w:lvlJc w:val="left"/>
      <w:pPr>
        <w:ind w:left="1314" w:hanging="265"/>
      </w:pPr>
      <w:rPr>
        <w:rFonts w:hint="default"/>
        <w:lang w:val="zh-CN" w:eastAsia="zh-CN" w:bidi="zh-CN"/>
      </w:rPr>
    </w:lvl>
    <w:lvl w:ilvl="3" w:tentative="0">
      <w:start w:val="0"/>
      <w:numFmt w:val="bullet"/>
      <w:lvlText w:val="•"/>
      <w:lvlJc w:val="left"/>
      <w:pPr>
        <w:ind w:left="2269" w:hanging="265"/>
      </w:pPr>
      <w:rPr>
        <w:rFonts w:hint="default"/>
        <w:lang w:val="zh-CN" w:eastAsia="zh-CN" w:bidi="zh-CN"/>
      </w:rPr>
    </w:lvl>
    <w:lvl w:ilvl="4" w:tentative="0">
      <w:start w:val="0"/>
      <w:numFmt w:val="bullet"/>
      <w:lvlText w:val="•"/>
      <w:lvlJc w:val="left"/>
      <w:pPr>
        <w:ind w:left="3223" w:hanging="265"/>
      </w:pPr>
      <w:rPr>
        <w:rFonts w:hint="default"/>
        <w:lang w:val="zh-CN" w:eastAsia="zh-CN" w:bidi="zh-CN"/>
      </w:rPr>
    </w:lvl>
    <w:lvl w:ilvl="5" w:tentative="0">
      <w:start w:val="0"/>
      <w:numFmt w:val="bullet"/>
      <w:lvlText w:val="•"/>
      <w:lvlJc w:val="left"/>
      <w:pPr>
        <w:ind w:left="4178" w:hanging="265"/>
      </w:pPr>
      <w:rPr>
        <w:rFonts w:hint="default"/>
        <w:lang w:val="zh-CN" w:eastAsia="zh-CN" w:bidi="zh-CN"/>
      </w:rPr>
    </w:lvl>
    <w:lvl w:ilvl="6" w:tentative="0">
      <w:start w:val="0"/>
      <w:numFmt w:val="bullet"/>
      <w:lvlText w:val="•"/>
      <w:lvlJc w:val="left"/>
      <w:pPr>
        <w:ind w:left="5132" w:hanging="265"/>
      </w:pPr>
      <w:rPr>
        <w:rFonts w:hint="default"/>
        <w:lang w:val="zh-CN" w:eastAsia="zh-CN" w:bidi="zh-CN"/>
      </w:rPr>
    </w:lvl>
    <w:lvl w:ilvl="7" w:tentative="0">
      <w:start w:val="0"/>
      <w:numFmt w:val="bullet"/>
      <w:lvlText w:val="•"/>
      <w:lvlJc w:val="left"/>
      <w:pPr>
        <w:ind w:left="6087" w:hanging="265"/>
      </w:pPr>
      <w:rPr>
        <w:rFonts w:hint="default"/>
        <w:lang w:val="zh-CN" w:eastAsia="zh-CN" w:bidi="zh-CN"/>
      </w:rPr>
    </w:lvl>
    <w:lvl w:ilvl="8" w:tentative="0">
      <w:start w:val="0"/>
      <w:numFmt w:val="bullet"/>
      <w:lvlText w:val="•"/>
      <w:lvlJc w:val="left"/>
      <w:pPr>
        <w:ind w:left="7041" w:hanging="265"/>
      </w:pPr>
      <w:rPr>
        <w:rFonts w:hint="default"/>
        <w:lang w:val="zh-CN" w:eastAsia="zh-CN" w:bidi="zh-CN"/>
      </w:rPr>
    </w:lvl>
  </w:abstractNum>
  <w:abstractNum w:abstractNumId="112">
    <w:nsid w:val="77ECEA79"/>
    <w:multiLevelType w:val="multilevel"/>
    <w:tmpl w:val="77ECEA79"/>
    <w:lvl w:ilvl="0" w:tentative="0">
      <w:start w:val="7"/>
      <w:numFmt w:val="decimal"/>
      <w:lvlText w:val="%1."/>
      <w:lvlJc w:val="left"/>
      <w:pPr>
        <w:ind w:left="843" w:hanging="183"/>
        <w:jc w:val="right"/>
      </w:pPr>
      <w:rPr>
        <w:rFonts w:hint="default" w:ascii="MS UI Gothic" w:hAnsi="MS UI Gothic" w:eastAsia="MS UI Gothic" w:cs="MS UI Gothic"/>
        <w:spacing w:val="-3"/>
        <w:w w:val="128"/>
        <w:sz w:val="17"/>
        <w:szCs w:val="17"/>
        <w:lang w:val="zh-CN" w:eastAsia="zh-CN" w:bidi="zh-CN"/>
      </w:rPr>
    </w:lvl>
    <w:lvl w:ilvl="1" w:tentative="0">
      <w:start w:val="0"/>
      <w:numFmt w:val="bullet"/>
      <w:lvlText w:val="•"/>
      <w:lvlJc w:val="left"/>
      <w:pPr>
        <w:ind w:left="1831" w:hanging="183"/>
      </w:pPr>
      <w:rPr>
        <w:rFonts w:hint="default"/>
        <w:lang w:val="zh-CN" w:eastAsia="zh-CN" w:bidi="zh-CN"/>
      </w:rPr>
    </w:lvl>
    <w:lvl w:ilvl="2" w:tentative="0">
      <w:start w:val="0"/>
      <w:numFmt w:val="bullet"/>
      <w:lvlText w:val="•"/>
      <w:lvlJc w:val="left"/>
      <w:pPr>
        <w:ind w:left="2827" w:hanging="183"/>
      </w:pPr>
      <w:rPr>
        <w:rFonts w:hint="default"/>
        <w:lang w:val="zh-CN" w:eastAsia="zh-CN" w:bidi="zh-CN"/>
      </w:rPr>
    </w:lvl>
    <w:lvl w:ilvl="3" w:tentative="0">
      <w:start w:val="0"/>
      <w:numFmt w:val="bullet"/>
      <w:lvlText w:val="•"/>
      <w:lvlJc w:val="left"/>
      <w:pPr>
        <w:ind w:left="3823" w:hanging="183"/>
      </w:pPr>
      <w:rPr>
        <w:rFonts w:hint="default"/>
        <w:lang w:val="zh-CN" w:eastAsia="zh-CN" w:bidi="zh-CN"/>
      </w:rPr>
    </w:lvl>
    <w:lvl w:ilvl="4" w:tentative="0">
      <w:start w:val="0"/>
      <w:numFmt w:val="bullet"/>
      <w:lvlText w:val="•"/>
      <w:lvlJc w:val="left"/>
      <w:pPr>
        <w:ind w:left="4819" w:hanging="183"/>
      </w:pPr>
      <w:rPr>
        <w:rFonts w:hint="default"/>
        <w:lang w:val="zh-CN" w:eastAsia="zh-CN" w:bidi="zh-CN"/>
      </w:rPr>
    </w:lvl>
    <w:lvl w:ilvl="5" w:tentative="0">
      <w:start w:val="0"/>
      <w:numFmt w:val="bullet"/>
      <w:lvlText w:val="•"/>
      <w:lvlJc w:val="left"/>
      <w:pPr>
        <w:ind w:left="5815" w:hanging="183"/>
      </w:pPr>
      <w:rPr>
        <w:rFonts w:hint="default"/>
        <w:lang w:val="zh-CN" w:eastAsia="zh-CN" w:bidi="zh-CN"/>
      </w:rPr>
    </w:lvl>
    <w:lvl w:ilvl="6" w:tentative="0">
      <w:start w:val="0"/>
      <w:numFmt w:val="bullet"/>
      <w:lvlText w:val="•"/>
      <w:lvlJc w:val="left"/>
      <w:pPr>
        <w:ind w:left="6811" w:hanging="183"/>
      </w:pPr>
      <w:rPr>
        <w:rFonts w:hint="default"/>
        <w:lang w:val="zh-CN" w:eastAsia="zh-CN" w:bidi="zh-CN"/>
      </w:rPr>
    </w:lvl>
    <w:lvl w:ilvl="7" w:tentative="0">
      <w:start w:val="0"/>
      <w:numFmt w:val="bullet"/>
      <w:lvlText w:val="•"/>
      <w:lvlJc w:val="left"/>
      <w:pPr>
        <w:ind w:left="7807" w:hanging="183"/>
      </w:pPr>
      <w:rPr>
        <w:rFonts w:hint="default"/>
        <w:lang w:val="zh-CN" w:eastAsia="zh-CN" w:bidi="zh-CN"/>
      </w:rPr>
    </w:lvl>
    <w:lvl w:ilvl="8" w:tentative="0">
      <w:start w:val="0"/>
      <w:numFmt w:val="bullet"/>
      <w:lvlText w:val="•"/>
      <w:lvlJc w:val="left"/>
      <w:pPr>
        <w:ind w:left="8803" w:hanging="183"/>
      </w:pPr>
      <w:rPr>
        <w:rFonts w:hint="default"/>
        <w:lang w:val="zh-CN" w:eastAsia="zh-CN" w:bidi="zh-CN"/>
      </w:rPr>
    </w:lvl>
  </w:abstractNum>
  <w:abstractNum w:abstractNumId="113">
    <w:nsid w:val="79AA4FA4"/>
    <w:multiLevelType w:val="multilevel"/>
    <w:tmpl w:val="79AA4FA4"/>
    <w:lvl w:ilvl="0" w:tentative="0">
      <w:start w:val="3"/>
      <w:numFmt w:val="decimal"/>
      <w:lvlText w:val="%1."/>
      <w:lvlJc w:val="left"/>
      <w:pPr>
        <w:ind w:left="263" w:hanging="163"/>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129" w:hanging="163"/>
      </w:pPr>
      <w:rPr>
        <w:rFonts w:hint="default"/>
        <w:lang w:val="zh-CN" w:eastAsia="zh-CN" w:bidi="zh-CN"/>
      </w:rPr>
    </w:lvl>
    <w:lvl w:ilvl="2" w:tentative="0">
      <w:start w:val="0"/>
      <w:numFmt w:val="bullet"/>
      <w:lvlText w:val="•"/>
      <w:lvlJc w:val="left"/>
      <w:pPr>
        <w:ind w:left="1998" w:hanging="163"/>
      </w:pPr>
      <w:rPr>
        <w:rFonts w:hint="default"/>
        <w:lang w:val="zh-CN" w:eastAsia="zh-CN" w:bidi="zh-CN"/>
      </w:rPr>
    </w:lvl>
    <w:lvl w:ilvl="3" w:tentative="0">
      <w:start w:val="0"/>
      <w:numFmt w:val="bullet"/>
      <w:lvlText w:val="•"/>
      <w:lvlJc w:val="left"/>
      <w:pPr>
        <w:ind w:left="2867" w:hanging="163"/>
      </w:pPr>
      <w:rPr>
        <w:rFonts w:hint="default"/>
        <w:lang w:val="zh-CN" w:eastAsia="zh-CN" w:bidi="zh-CN"/>
      </w:rPr>
    </w:lvl>
    <w:lvl w:ilvl="4" w:tentative="0">
      <w:start w:val="0"/>
      <w:numFmt w:val="bullet"/>
      <w:lvlText w:val="•"/>
      <w:lvlJc w:val="left"/>
      <w:pPr>
        <w:ind w:left="3736" w:hanging="163"/>
      </w:pPr>
      <w:rPr>
        <w:rFonts w:hint="default"/>
        <w:lang w:val="zh-CN" w:eastAsia="zh-CN" w:bidi="zh-CN"/>
      </w:rPr>
    </w:lvl>
    <w:lvl w:ilvl="5" w:tentative="0">
      <w:start w:val="0"/>
      <w:numFmt w:val="bullet"/>
      <w:lvlText w:val="•"/>
      <w:lvlJc w:val="left"/>
      <w:pPr>
        <w:ind w:left="4605" w:hanging="163"/>
      </w:pPr>
      <w:rPr>
        <w:rFonts w:hint="default"/>
        <w:lang w:val="zh-CN" w:eastAsia="zh-CN" w:bidi="zh-CN"/>
      </w:rPr>
    </w:lvl>
    <w:lvl w:ilvl="6" w:tentative="0">
      <w:start w:val="0"/>
      <w:numFmt w:val="bullet"/>
      <w:lvlText w:val="•"/>
      <w:lvlJc w:val="left"/>
      <w:pPr>
        <w:ind w:left="5474" w:hanging="163"/>
      </w:pPr>
      <w:rPr>
        <w:rFonts w:hint="default"/>
        <w:lang w:val="zh-CN" w:eastAsia="zh-CN" w:bidi="zh-CN"/>
      </w:rPr>
    </w:lvl>
    <w:lvl w:ilvl="7" w:tentative="0">
      <w:start w:val="0"/>
      <w:numFmt w:val="bullet"/>
      <w:lvlText w:val="•"/>
      <w:lvlJc w:val="left"/>
      <w:pPr>
        <w:ind w:left="6343" w:hanging="163"/>
      </w:pPr>
      <w:rPr>
        <w:rFonts w:hint="default"/>
        <w:lang w:val="zh-CN" w:eastAsia="zh-CN" w:bidi="zh-CN"/>
      </w:rPr>
    </w:lvl>
    <w:lvl w:ilvl="8" w:tentative="0">
      <w:start w:val="0"/>
      <w:numFmt w:val="bullet"/>
      <w:lvlText w:val="•"/>
      <w:lvlJc w:val="left"/>
      <w:pPr>
        <w:ind w:left="7212" w:hanging="163"/>
      </w:pPr>
      <w:rPr>
        <w:rFonts w:hint="default"/>
        <w:lang w:val="zh-CN" w:eastAsia="zh-CN" w:bidi="zh-CN"/>
      </w:rPr>
    </w:lvl>
  </w:abstractNum>
  <w:abstractNum w:abstractNumId="114">
    <w:nsid w:val="7A7C2376"/>
    <w:multiLevelType w:val="singleLevel"/>
    <w:tmpl w:val="7A7C2376"/>
    <w:lvl w:ilvl="0" w:tentative="0">
      <w:start w:val="1"/>
      <w:numFmt w:val="chineseCounting"/>
      <w:suff w:val="nothing"/>
      <w:lvlText w:val="（%1）"/>
      <w:lvlJc w:val="left"/>
      <w:pPr>
        <w:ind w:left="0" w:firstLine="420"/>
      </w:pPr>
      <w:rPr>
        <w:rFonts w:hint="eastAsia"/>
      </w:rPr>
    </w:lvl>
  </w:abstractNum>
  <w:abstractNum w:abstractNumId="115">
    <w:nsid w:val="7B852DD9"/>
    <w:multiLevelType w:val="singleLevel"/>
    <w:tmpl w:val="7B852DD9"/>
    <w:lvl w:ilvl="0" w:tentative="0">
      <w:start w:val="1"/>
      <w:numFmt w:val="bullet"/>
      <w:lvlText w:val=""/>
      <w:lvlJc w:val="left"/>
      <w:pPr>
        <w:ind w:left="420" w:hanging="420"/>
      </w:pPr>
      <w:rPr>
        <w:rFonts w:hint="default" w:ascii="Wingdings" w:hAnsi="Wingdings"/>
      </w:rPr>
    </w:lvl>
  </w:abstractNum>
  <w:abstractNum w:abstractNumId="116">
    <w:nsid w:val="7C246926"/>
    <w:multiLevelType w:val="multilevel"/>
    <w:tmpl w:val="7C246926"/>
    <w:lvl w:ilvl="0" w:tentative="0">
      <w:start w:val="1"/>
      <w:numFmt w:val="decimal"/>
      <w:lvlText w:val="(%1)"/>
      <w:lvlJc w:val="left"/>
      <w:pPr>
        <w:ind w:left="934" w:hanging="268"/>
        <w:jc w:val="left"/>
      </w:pPr>
      <w:rPr>
        <w:rFonts w:hint="default" w:ascii="MS UI Gothic" w:hAnsi="MS UI Gothic" w:eastAsia="MS UI Gothic" w:cs="MS UI Gothic"/>
        <w:spacing w:val="-3"/>
        <w:w w:val="128"/>
        <w:sz w:val="17"/>
        <w:szCs w:val="17"/>
        <w:lang w:val="zh-CN" w:eastAsia="zh-CN" w:bidi="zh-CN"/>
      </w:rPr>
    </w:lvl>
    <w:lvl w:ilvl="1" w:tentative="0">
      <w:start w:val="0"/>
      <w:numFmt w:val="bullet"/>
      <w:lvlText w:val="•"/>
      <w:lvlJc w:val="left"/>
      <w:pPr>
        <w:ind w:left="1926" w:hanging="268"/>
      </w:pPr>
      <w:rPr>
        <w:rFonts w:hint="default"/>
        <w:lang w:val="zh-CN" w:eastAsia="zh-CN" w:bidi="zh-CN"/>
      </w:rPr>
    </w:lvl>
    <w:lvl w:ilvl="2" w:tentative="0">
      <w:start w:val="0"/>
      <w:numFmt w:val="bullet"/>
      <w:lvlText w:val="•"/>
      <w:lvlJc w:val="left"/>
      <w:pPr>
        <w:ind w:left="2912" w:hanging="268"/>
      </w:pPr>
      <w:rPr>
        <w:rFonts w:hint="default"/>
        <w:lang w:val="zh-CN" w:eastAsia="zh-CN" w:bidi="zh-CN"/>
      </w:rPr>
    </w:lvl>
    <w:lvl w:ilvl="3" w:tentative="0">
      <w:start w:val="0"/>
      <w:numFmt w:val="bullet"/>
      <w:lvlText w:val="•"/>
      <w:lvlJc w:val="left"/>
      <w:pPr>
        <w:ind w:left="3898" w:hanging="268"/>
      </w:pPr>
      <w:rPr>
        <w:rFonts w:hint="default"/>
        <w:lang w:val="zh-CN" w:eastAsia="zh-CN" w:bidi="zh-CN"/>
      </w:rPr>
    </w:lvl>
    <w:lvl w:ilvl="4" w:tentative="0">
      <w:start w:val="0"/>
      <w:numFmt w:val="bullet"/>
      <w:lvlText w:val="•"/>
      <w:lvlJc w:val="left"/>
      <w:pPr>
        <w:ind w:left="4884" w:hanging="268"/>
      </w:pPr>
      <w:rPr>
        <w:rFonts w:hint="default"/>
        <w:lang w:val="zh-CN" w:eastAsia="zh-CN" w:bidi="zh-CN"/>
      </w:rPr>
    </w:lvl>
    <w:lvl w:ilvl="5" w:tentative="0">
      <w:start w:val="0"/>
      <w:numFmt w:val="bullet"/>
      <w:lvlText w:val="•"/>
      <w:lvlJc w:val="left"/>
      <w:pPr>
        <w:ind w:left="5870" w:hanging="268"/>
      </w:pPr>
      <w:rPr>
        <w:rFonts w:hint="default"/>
        <w:lang w:val="zh-CN" w:eastAsia="zh-CN" w:bidi="zh-CN"/>
      </w:rPr>
    </w:lvl>
    <w:lvl w:ilvl="6" w:tentative="0">
      <w:start w:val="0"/>
      <w:numFmt w:val="bullet"/>
      <w:lvlText w:val="•"/>
      <w:lvlJc w:val="left"/>
      <w:pPr>
        <w:ind w:left="6856" w:hanging="268"/>
      </w:pPr>
      <w:rPr>
        <w:rFonts w:hint="default"/>
        <w:lang w:val="zh-CN" w:eastAsia="zh-CN" w:bidi="zh-CN"/>
      </w:rPr>
    </w:lvl>
    <w:lvl w:ilvl="7" w:tentative="0">
      <w:start w:val="0"/>
      <w:numFmt w:val="bullet"/>
      <w:lvlText w:val="•"/>
      <w:lvlJc w:val="left"/>
      <w:pPr>
        <w:ind w:left="7842" w:hanging="268"/>
      </w:pPr>
      <w:rPr>
        <w:rFonts w:hint="default"/>
        <w:lang w:val="zh-CN" w:eastAsia="zh-CN" w:bidi="zh-CN"/>
      </w:rPr>
    </w:lvl>
    <w:lvl w:ilvl="8" w:tentative="0">
      <w:start w:val="0"/>
      <w:numFmt w:val="bullet"/>
      <w:lvlText w:val="•"/>
      <w:lvlJc w:val="left"/>
      <w:pPr>
        <w:ind w:left="8828" w:hanging="268"/>
      </w:pPr>
      <w:rPr>
        <w:rFonts w:hint="default"/>
        <w:lang w:val="zh-CN" w:eastAsia="zh-CN" w:bidi="zh-CN"/>
      </w:rPr>
    </w:lvl>
  </w:abstractNum>
  <w:abstractNum w:abstractNumId="117">
    <w:nsid w:val="7D318733"/>
    <w:multiLevelType w:val="singleLevel"/>
    <w:tmpl w:val="7D318733"/>
    <w:lvl w:ilvl="0" w:tentative="0">
      <w:start w:val="16"/>
      <w:numFmt w:val="decimal"/>
      <w:lvlText w:val="%1."/>
      <w:lvlJc w:val="left"/>
      <w:pPr>
        <w:tabs>
          <w:tab w:val="left" w:pos="312"/>
        </w:tabs>
        <w:ind w:left="566"/>
      </w:pPr>
    </w:lvl>
  </w:abstractNum>
  <w:abstractNum w:abstractNumId="118">
    <w:nsid w:val="7DEC2089"/>
    <w:multiLevelType w:val="multilevel"/>
    <w:tmpl w:val="7DEC2089"/>
    <w:lvl w:ilvl="0" w:tentative="0">
      <w:start w:val="22"/>
      <w:numFmt w:val="decimal"/>
      <w:lvlText w:val="%1."/>
      <w:lvlJc w:val="left"/>
      <w:pPr>
        <w:ind w:left="371" w:hanging="271"/>
        <w:jc w:val="left"/>
      </w:pPr>
      <w:rPr>
        <w:rFonts w:hint="default" w:ascii="MS UI Gothic" w:hAnsi="MS UI Gothic" w:eastAsia="MS UI Gothic" w:cs="MS UI Gothic"/>
        <w:spacing w:val="-6"/>
        <w:w w:val="125"/>
        <w:sz w:val="15"/>
        <w:szCs w:val="15"/>
        <w:lang w:val="zh-CN" w:eastAsia="zh-CN" w:bidi="zh-CN"/>
      </w:rPr>
    </w:lvl>
    <w:lvl w:ilvl="1" w:tentative="0">
      <w:start w:val="0"/>
      <w:numFmt w:val="bullet"/>
      <w:lvlText w:val="•"/>
      <w:lvlJc w:val="left"/>
      <w:pPr>
        <w:ind w:left="1237" w:hanging="271"/>
      </w:pPr>
      <w:rPr>
        <w:rFonts w:hint="default"/>
        <w:lang w:val="zh-CN" w:eastAsia="zh-CN" w:bidi="zh-CN"/>
      </w:rPr>
    </w:lvl>
    <w:lvl w:ilvl="2" w:tentative="0">
      <w:start w:val="0"/>
      <w:numFmt w:val="bullet"/>
      <w:lvlText w:val="•"/>
      <w:lvlJc w:val="left"/>
      <w:pPr>
        <w:ind w:left="2094" w:hanging="271"/>
      </w:pPr>
      <w:rPr>
        <w:rFonts w:hint="default"/>
        <w:lang w:val="zh-CN" w:eastAsia="zh-CN" w:bidi="zh-CN"/>
      </w:rPr>
    </w:lvl>
    <w:lvl w:ilvl="3" w:tentative="0">
      <w:start w:val="0"/>
      <w:numFmt w:val="bullet"/>
      <w:lvlText w:val="•"/>
      <w:lvlJc w:val="left"/>
      <w:pPr>
        <w:ind w:left="2951" w:hanging="271"/>
      </w:pPr>
      <w:rPr>
        <w:rFonts w:hint="default"/>
        <w:lang w:val="zh-CN" w:eastAsia="zh-CN" w:bidi="zh-CN"/>
      </w:rPr>
    </w:lvl>
    <w:lvl w:ilvl="4" w:tentative="0">
      <w:start w:val="0"/>
      <w:numFmt w:val="bullet"/>
      <w:lvlText w:val="•"/>
      <w:lvlJc w:val="left"/>
      <w:pPr>
        <w:ind w:left="3808" w:hanging="271"/>
      </w:pPr>
      <w:rPr>
        <w:rFonts w:hint="default"/>
        <w:lang w:val="zh-CN" w:eastAsia="zh-CN" w:bidi="zh-CN"/>
      </w:rPr>
    </w:lvl>
    <w:lvl w:ilvl="5" w:tentative="0">
      <w:start w:val="0"/>
      <w:numFmt w:val="bullet"/>
      <w:lvlText w:val="•"/>
      <w:lvlJc w:val="left"/>
      <w:pPr>
        <w:ind w:left="4665" w:hanging="271"/>
      </w:pPr>
      <w:rPr>
        <w:rFonts w:hint="default"/>
        <w:lang w:val="zh-CN" w:eastAsia="zh-CN" w:bidi="zh-CN"/>
      </w:rPr>
    </w:lvl>
    <w:lvl w:ilvl="6" w:tentative="0">
      <w:start w:val="0"/>
      <w:numFmt w:val="bullet"/>
      <w:lvlText w:val="•"/>
      <w:lvlJc w:val="left"/>
      <w:pPr>
        <w:ind w:left="5522" w:hanging="271"/>
      </w:pPr>
      <w:rPr>
        <w:rFonts w:hint="default"/>
        <w:lang w:val="zh-CN" w:eastAsia="zh-CN" w:bidi="zh-CN"/>
      </w:rPr>
    </w:lvl>
    <w:lvl w:ilvl="7" w:tentative="0">
      <w:start w:val="0"/>
      <w:numFmt w:val="bullet"/>
      <w:lvlText w:val="•"/>
      <w:lvlJc w:val="left"/>
      <w:pPr>
        <w:ind w:left="6379" w:hanging="271"/>
      </w:pPr>
      <w:rPr>
        <w:rFonts w:hint="default"/>
        <w:lang w:val="zh-CN" w:eastAsia="zh-CN" w:bidi="zh-CN"/>
      </w:rPr>
    </w:lvl>
    <w:lvl w:ilvl="8" w:tentative="0">
      <w:start w:val="0"/>
      <w:numFmt w:val="bullet"/>
      <w:lvlText w:val="•"/>
      <w:lvlJc w:val="left"/>
      <w:pPr>
        <w:ind w:left="7236" w:hanging="271"/>
      </w:pPr>
      <w:rPr>
        <w:rFonts w:hint="default"/>
        <w:lang w:val="zh-CN" w:eastAsia="zh-CN" w:bidi="zh-CN"/>
      </w:rPr>
    </w:lvl>
  </w:abstractNum>
  <w:num w:numId="1">
    <w:abstractNumId w:val="42"/>
  </w:num>
  <w:num w:numId="2">
    <w:abstractNumId w:val="21"/>
  </w:num>
  <w:num w:numId="3">
    <w:abstractNumId w:val="30"/>
  </w:num>
  <w:num w:numId="4">
    <w:abstractNumId w:val="104"/>
  </w:num>
  <w:num w:numId="5">
    <w:abstractNumId w:val="10"/>
  </w:num>
  <w:num w:numId="6">
    <w:abstractNumId w:val="88"/>
  </w:num>
  <w:num w:numId="7">
    <w:abstractNumId w:val="117"/>
  </w:num>
  <w:num w:numId="8">
    <w:abstractNumId w:val="52"/>
  </w:num>
  <w:num w:numId="9">
    <w:abstractNumId w:val="37"/>
  </w:num>
  <w:num w:numId="10">
    <w:abstractNumId w:val="97"/>
  </w:num>
  <w:num w:numId="11">
    <w:abstractNumId w:val="31"/>
  </w:num>
  <w:num w:numId="12">
    <w:abstractNumId w:val="24"/>
  </w:num>
  <w:num w:numId="13">
    <w:abstractNumId w:val="56"/>
  </w:num>
  <w:num w:numId="14">
    <w:abstractNumId w:val="73"/>
  </w:num>
  <w:num w:numId="15">
    <w:abstractNumId w:val="108"/>
  </w:num>
  <w:num w:numId="16">
    <w:abstractNumId w:val="54"/>
  </w:num>
  <w:num w:numId="17">
    <w:abstractNumId w:val="9"/>
  </w:num>
  <w:num w:numId="18">
    <w:abstractNumId w:val="76"/>
  </w:num>
  <w:num w:numId="19">
    <w:abstractNumId w:val="99"/>
  </w:num>
  <w:num w:numId="20">
    <w:abstractNumId w:val="36"/>
  </w:num>
  <w:num w:numId="21">
    <w:abstractNumId w:val="94"/>
  </w:num>
  <w:num w:numId="22">
    <w:abstractNumId w:val="47"/>
  </w:num>
  <w:num w:numId="23">
    <w:abstractNumId w:val="72"/>
  </w:num>
  <w:num w:numId="24">
    <w:abstractNumId w:val="41"/>
  </w:num>
  <w:num w:numId="25">
    <w:abstractNumId w:val="39"/>
  </w:num>
  <w:num w:numId="26">
    <w:abstractNumId w:val="13"/>
  </w:num>
  <w:num w:numId="27">
    <w:abstractNumId w:val="92"/>
  </w:num>
  <w:num w:numId="28">
    <w:abstractNumId w:val="103"/>
  </w:num>
  <w:num w:numId="29">
    <w:abstractNumId w:val="59"/>
  </w:num>
  <w:num w:numId="30">
    <w:abstractNumId w:val="91"/>
  </w:num>
  <w:num w:numId="31">
    <w:abstractNumId w:val="116"/>
  </w:num>
  <w:num w:numId="32">
    <w:abstractNumId w:val="112"/>
  </w:num>
  <w:num w:numId="33">
    <w:abstractNumId w:val="2"/>
  </w:num>
  <w:num w:numId="34">
    <w:abstractNumId w:val="96"/>
  </w:num>
  <w:num w:numId="35">
    <w:abstractNumId w:val="118"/>
  </w:num>
  <w:num w:numId="36">
    <w:abstractNumId w:val="0"/>
  </w:num>
  <w:num w:numId="37">
    <w:abstractNumId w:val="71"/>
  </w:num>
  <w:num w:numId="38">
    <w:abstractNumId w:val="95"/>
  </w:num>
  <w:num w:numId="39">
    <w:abstractNumId w:val="49"/>
  </w:num>
  <w:num w:numId="40">
    <w:abstractNumId w:val="43"/>
  </w:num>
  <w:num w:numId="41">
    <w:abstractNumId w:val="83"/>
  </w:num>
  <w:num w:numId="42">
    <w:abstractNumId w:val="113"/>
  </w:num>
  <w:num w:numId="43">
    <w:abstractNumId w:val="27"/>
  </w:num>
  <w:num w:numId="44">
    <w:abstractNumId w:val="7"/>
  </w:num>
  <w:num w:numId="45">
    <w:abstractNumId w:val="26"/>
  </w:num>
  <w:num w:numId="46">
    <w:abstractNumId w:val="101"/>
  </w:num>
  <w:num w:numId="47">
    <w:abstractNumId w:val="1"/>
  </w:num>
  <w:num w:numId="48">
    <w:abstractNumId w:val="66"/>
  </w:num>
  <w:num w:numId="49">
    <w:abstractNumId w:val="5"/>
  </w:num>
  <w:num w:numId="50">
    <w:abstractNumId w:val="102"/>
  </w:num>
  <w:num w:numId="51">
    <w:abstractNumId w:val="109"/>
  </w:num>
  <w:num w:numId="52">
    <w:abstractNumId w:val="93"/>
  </w:num>
  <w:num w:numId="53">
    <w:abstractNumId w:val="84"/>
  </w:num>
  <w:num w:numId="54">
    <w:abstractNumId w:val="105"/>
  </w:num>
  <w:num w:numId="55">
    <w:abstractNumId w:val="57"/>
  </w:num>
  <w:num w:numId="56">
    <w:abstractNumId w:val="58"/>
  </w:num>
  <w:num w:numId="57">
    <w:abstractNumId w:val="38"/>
  </w:num>
  <w:num w:numId="58">
    <w:abstractNumId w:val="85"/>
  </w:num>
  <w:num w:numId="59">
    <w:abstractNumId w:val="68"/>
  </w:num>
  <w:num w:numId="60">
    <w:abstractNumId w:val="46"/>
  </w:num>
  <w:num w:numId="61">
    <w:abstractNumId w:val="70"/>
  </w:num>
  <w:num w:numId="62">
    <w:abstractNumId w:val="23"/>
  </w:num>
  <w:num w:numId="63">
    <w:abstractNumId w:val="90"/>
  </w:num>
  <w:num w:numId="64">
    <w:abstractNumId w:val="60"/>
  </w:num>
  <w:num w:numId="65">
    <w:abstractNumId w:val="87"/>
  </w:num>
  <w:num w:numId="66">
    <w:abstractNumId w:val="55"/>
  </w:num>
  <w:num w:numId="67">
    <w:abstractNumId w:val="32"/>
  </w:num>
  <w:num w:numId="68">
    <w:abstractNumId w:val="62"/>
  </w:num>
  <w:num w:numId="69">
    <w:abstractNumId w:val="22"/>
  </w:num>
  <w:num w:numId="70">
    <w:abstractNumId w:val="89"/>
  </w:num>
  <w:num w:numId="71">
    <w:abstractNumId w:val="17"/>
  </w:num>
  <w:num w:numId="72">
    <w:abstractNumId w:val="48"/>
  </w:num>
  <w:num w:numId="73">
    <w:abstractNumId w:val="82"/>
  </w:num>
  <w:num w:numId="74">
    <w:abstractNumId w:val="51"/>
  </w:num>
  <w:num w:numId="75">
    <w:abstractNumId w:val="65"/>
  </w:num>
  <w:num w:numId="76">
    <w:abstractNumId w:val="106"/>
  </w:num>
  <w:num w:numId="77">
    <w:abstractNumId w:val="44"/>
  </w:num>
  <w:num w:numId="78">
    <w:abstractNumId w:val="35"/>
  </w:num>
  <w:num w:numId="79">
    <w:abstractNumId w:val="16"/>
  </w:num>
  <w:num w:numId="80">
    <w:abstractNumId w:val="111"/>
  </w:num>
  <w:num w:numId="81">
    <w:abstractNumId w:val="40"/>
  </w:num>
  <w:num w:numId="82">
    <w:abstractNumId w:val="25"/>
  </w:num>
  <w:num w:numId="83">
    <w:abstractNumId w:val="80"/>
  </w:num>
  <w:num w:numId="84">
    <w:abstractNumId w:val="45"/>
  </w:num>
  <w:num w:numId="85">
    <w:abstractNumId w:val="12"/>
  </w:num>
  <w:num w:numId="86">
    <w:abstractNumId w:val="98"/>
  </w:num>
  <w:num w:numId="87">
    <w:abstractNumId w:val="28"/>
  </w:num>
  <w:num w:numId="88">
    <w:abstractNumId w:val="20"/>
  </w:num>
  <w:num w:numId="89">
    <w:abstractNumId w:val="11"/>
  </w:num>
  <w:num w:numId="90">
    <w:abstractNumId w:val="14"/>
  </w:num>
  <w:num w:numId="91">
    <w:abstractNumId w:val="18"/>
  </w:num>
  <w:num w:numId="92">
    <w:abstractNumId w:val="8"/>
  </w:num>
  <w:num w:numId="93">
    <w:abstractNumId w:val="67"/>
  </w:num>
  <w:num w:numId="94">
    <w:abstractNumId w:val="29"/>
  </w:num>
  <w:num w:numId="95">
    <w:abstractNumId w:val="63"/>
  </w:num>
  <w:num w:numId="96">
    <w:abstractNumId w:val="4"/>
  </w:num>
  <w:num w:numId="97">
    <w:abstractNumId w:val="50"/>
  </w:num>
  <w:num w:numId="98">
    <w:abstractNumId w:val="107"/>
  </w:num>
  <w:num w:numId="99">
    <w:abstractNumId w:val="64"/>
  </w:num>
  <w:num w:numId="100">
    <w:abstractNumId w:val="110"/>
  </w:num>
  <w:num w:numId="101">
    <w:abstractNumId w:val="33"/>
  </w:num>
  <w:num w:numId="102">
    <w:abstractNumId w:val="34"/>
  </w:num>
  <w:num w:numId="103">
    <w:abstractNumId w:val="114"/>
  </w:num>
  <w:num w:numId="104">
    <w:abstractNumId w:val="15"/>
  </w:num>
  <w:num w:numId="105">
    <w:abstractNumId w:val="74"/>
  </w:num>
  <w:num w:numId="106">
    <w:abstractNumId w:val="79"/>
  </w:num>
  <w:num w:numId="107">
    <w:abstractNumId w:val="75"/>
  </w:num>
  <w:num w:numId="108">
    <w:abstractNumId w:val="81"/>
  </w:num>
  <w:num w:numId="109">
    <w:abstractNumId w:val="19"/>
  </w:num>
  <w:num w:numId="110">
    <w:abstractNumId w:val="61"/>
  </w:num>
  <w:num w:numId="111">
    <w:abstractNumId w:val="77"/>
  </w:num>
  <w:num w:numId="112">
    <w:abstractNumId w:val="53"/>
  </w:num>
  <w:num w:numId="113">
    <w:abstractNumId w:val="78"/>
  </w:num>
  <w:num w:numId="114">
    <w:abstractNumId w:val="6"/>
  </w:num>
  <w:num w:numId="115">
    <w:abstractNumId w:val="86"/>
  </w:num>
  <w:num w:numId="116">
    <w:abstractNumId w:val="69"/>
  </w:num>
  <w:num w:numId="117">
    <w:abstractNumId w:val="3"/>
  </w:num>
  <w:num w:numId="118">
    <w:abstractNumId w:val="115"/>
  </w:num>
  <w:num w:numId="119">
    <w:abstractNumId w:val="10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7AC4F4E"/>
    <w:rsid w:val="24D42729"/>
    <w:rsid w:val="5BD70B51"/>
    <w:rsid w:val="77AC4F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3">
    <w:name w:val="heading 1"/>
    <w:basedOn w:val="1"/>
    <w:next w:val="1"/>
    <w:qFormat/>
    <w:uiPriority w:val="1"/>
    <w:pPr>
      <w:spacing w:before="48"/>
      <w:ind w:left="2374" w:right="2381"/>
      <w:jc w:val="center"/>
      <w:outlineLvl w:val="1"/>
    </w:pPr>
    <w:rPr>
      <w:rFonts w:ascii="宋体" w:hAnsi="宋体" w:eastAsia="宋体" w:cs="宋体"/>
      <w:b/>
      <w:bCs/>
      <w:sz w:val="21"/>
      <w:szCs w:val="21"/>
      <w:lang w:val="zh-CN" w:eastAsia="zh-CN" w:bidi="zh-CN"/>
    </w:rPr>
  </w:style>
  <w:style w:type="paragraph" w:styleId="4">
    <w:name w:val="heading 2"/>
    <w:basedOn w:val="1"/>
    <w:next w:val="1"/>
    <w:qFormat/>
    <w:uiPriority w:val="1"/>
    <w:pPr>
      <w:ind w:left="120"/>
      <w:outlineLvl w:val="2"/>
    </w:pPr>
    <w:rPr>
      <w:rFonts w:ascii="宋体" w:hAnsi="宋体" w:eastAsia="宋体" w:cs="宋体"/>
      <w:b/>
      <w:bCs/>
      <w:sz w:val="20"/>
      <w:szCs w:val="20"/>
      <w:lang w:val="zh-CN" w:eastAsia="zh-CN" w:bidi="zh-CN"/>
    </w:rPr>
  </w:style>
  <w:style w:type="paragraph" w:styleId="5">
    <w:name w:val="heading 3"/>
    <w:basedOn w:val="1"/>
    <w:next w:val="1"/>
    <w:qFormat/>
    <w:uiPriority w:val="1"/>
    <w:pPr>
      <w:ind w:left="120"/>
      <w:outlineLvl w:val="3"/>
    </w:pPr>
    <w:rPr>
      <w:rFonts w:ascii="宋体" w:hAnsi="宋体" w:eastAsia="宋体" w:cs="宋体"/>
      <w:b/>
      <w:bCs/>
      <w:sz w:val="19"/>
      <w:szCs w:val="19"/>
      <w:lang w:val="zh-CN" w:eastAsia="zh-CN" w:bidi="zh-CN"/>
    </w:rPr>
  </w:style>
  <w:style w:type="paragraph" w:styleId="6">
    <w:name w:val="heading 4"/>
    <w:next w:val="1"/>
    <w:unhideWhenUsed/>
    <w:qFormat/>
    <w:uiPriority w:val="0"/>
    <w:pPr>
      <w:keepNext/>
      <w:keepLines/>
      <w:numPr>
        <w:ilvl w:val="3"/>
        <w:numId w:val="1"/>
      </w:numPr>
      <w:tabs>
        <w:tab w:val="left" w:pos="0"/>
      </w:tabs>
      <w:spacing w:line="360" w:lineRule="auto"/>
      <w:ind w:left="0" w:firstLine="600" w:firstLineChars="200"/>
      <w:jc w:val="both"/>
      <w:outlineLvl w:val="3"/>
    </w:pPr>
    <w:rPr>
      <w:rFonts w:ascii="宋体" w:hAnsi="宋体" w:eastAsia="等线" w:cs="等线"/>
      <w:b/>
      <w:bCs/>
      <w:sz w:val="21"/>
      <w:szCs w:val="21"/>
      <w:lang w:val="en-US" w:eastAsia="zh-CN" w:bidi="ar-SA"/>
    </w:rPr>
  </w:style>
  <w:style w:type="paragraph" w:styleId="7">
    <w:name w:val="heading 5"/>
    <w:basedOn w:val="1"/>
    <w:next w:val="1"/>
    <w:unhideWhenUsed/>
    <w:qFormat/>
    <w:uiPriority w:val="0"/>
    <w:pPr>
      <w:keepNext/>
      <w:keepLines/>
      <w:numPr>
        <w:ilvl w:val="4"/>
        <w:numId w:val="1"/>
      </w:numPr>
      <w:tabs>
        <w:tab w:val="left" w:pos="0"/>
      </w:tabs>
      <w:ind w:left="0" w:firstLine="600"/>
      <w:outlineLvl w:val="4"/>
    </w:pPr>
    <w:rPr>
      <w:rFonts w:ascii="宋体" w:hAnsi="宋体"/>
      <w:b/>
      <w:bCs/>
    </w:rPr>
  </w:style>
  <w:style w:type="paragraph" w:styleId="8">
    <w:name w:val="heading 6"/>
    <w:next w:val="1"/>
    <w:unhideWhenUsed/>
    <w:qFormat/>
    <w:uiPriority w:val="0"/>
    <w:pPr>
      <w:keepNext/>
      <w:keepLines/>
      <w:numPr>
        <w:ilvl w:val="5"/>
        <w:numId w:val="1"/>
      </w:numPr>
      <w:tabs>
        <w:tab w:val="left" w:pos="0"/>
      </w:tabs>
      <w:spacing w:line="360" w:lineRule="auto"/>
      <w:ind w:left="0" w:firstLine="600" w:firstLineChars="200"/>
      <w:outlineLvl w:val="5"/>
    </w:pPr>
    <w:rPr>
      <w:rFonts w:ascii="宋体" w:hAnsi="宋体" w:eastAsia="等线" w:cs="等线"/>
      <w:b/>
      <w:bCs/>
      <w:sz w:val="21"/>
      <w:szCs w:val="21"/>
      <w:lang w:val="en-US" w:eastAsia="zh-CN" w:bidi="ar-SA"/>
    </w:rPr>
  </w:style>
  <w:style w:type="character" w:default="1" w:styleId="17">
    <w:name w:val="Default Paragraph Font"/>
    <w:semiHidden/>
    <w:qFormat/>
    <w:uiPriority w:val="0"/>
  </w:style>
  <w:style w:type="table" w:default="1" w:styleId="16">
    <w:name w:val="Normal Table"/>
    <w:semiHidden/>
    <w:qFormat/>
    <w:uiPriority w:val="0"/>
    <w:tblPr>
      <w:tblCellMar>
        <w:top w:w="0" w:type="dxa"/>
        <w:left w:w="108" w:type="dxa"/>
        <w:bottom w:w="0" w:type="dxa"/>
        <w:right w:w="108" w:type="dxa"/>
      </w:tblCellMar>
    </w:tblPr>
  </w:style>
  <w:style w:type="paragraph" w:styleId="2">
    <w:name w:val="Normal Indent"/>
    <w:basedOn w:val="1"/>
    <w:link w:val="20"/>
    <w:semiHidden/>
    <w:unhideWhenUsed/>
    <w:qFormat/>
    <w:uiPriority w:val="99"/>
    <w:pPr>
      <w:ind w:firstLine="420" w:firstLineChars="200"/>
    </w:pPr>
  </w:style>
  <w:style w:type="paragraph" w:styleId="9">
    <w:name w:val="Body Text"/>
    <w:basedOn w:val="1"/>
    <w:next w:val="1"/>
    <w:qFormat/>
    <w:uiPriority w:val="1"/>
    <w:rPr>
      <w:rFonts w:ascii="宋体" w:hAnsi="宋体" w:eastAsia="宋体" w:cs="宋体"/>
      <w:sz w:val="19"/>
      <w:szCs w:val="19"/>
      <w:lang w:val="zh-CN" w:eastAsia="zh-CN" w:bidi="zh-CN"/>
    </w:rPr>
  </w:style>
  <w:style w:type="paragraph" w:styleId="10">
    <w:name w:val="toc 3"/>
    <w:basedOn w:val="1"/>
    <w:next w:val="1"/>
    <w:qFormat/>
    <w:uiPriority w:val="0"/>
    <w:pPr>
      <w:ind w:left="840" w:leftChars="400"/>
    </w:pPr>
  </w:style>
  <w:style w:type="paragraph" w:styleId="11">
    <w:name w:val="Plain Text"/>
    <w:basedOn w:val="1"/>
    <w:qFormat/>
    <w:uiPriority w:val="0"/>
    <w:rPr>
      <w:rFonts w:ascii="宋体" w:hAnsi="Courier New"/>
    </w:rPr>
  </w:style>
  <w:style w:type="paragraph" w:styleId="12">
    <w:name w:val="footer"/>
    <w:basedOn w:val="1"/>
    <w:qFormat/>
    <w:uiPriority w:val="0"/>
    <w:pPr>
      <w:tabs>
        <w:tab w:val="center" w:pos="4153"/>
        <w:tab w:val="right" w:pos="8306"/>
      </w:tabs>
      <w:snapToGrid w:val="0"/>
      <w:spacing w:line="240" w:lineRule="auto"/>
      <w:jc w:val="left"/>
    </w:pPr>
    <w:rPr>
      <w:sz w:val="18"/>
      <w:szCs w:val="18"/>
    </w:rPr>
  </w:style>
  <w:style w:type="paragraph" w:styleId="13">
    <w:name w:val="header"/>
    <w:basedOn w:val="1"/>
    <w:qFormat/>
    <w:uiPriority w:val="0"/>
    <w:pPr>
      <w:tabs>
        <w:tab w:val="center" w:pos="4153"/>
        <w:tab w:val="right" w:pos="8306"/>
      </w:tabs>
      <w:snapToGrid w:val="0"/>
      <w:spacing w:line="240" w:lineRule="auto"/>
      <w:jc w:val="center"/>
    </w:pPr>
    <w:rPr>
      <w:sz w:val="18"/>
      <w:szCs w:val="18"/>
    </w:rPr>
  </w:style>
  <w:style w:type="paragraph" w:styleId="14">
    <w:name w:val="toc 1"/>
    <w:next w:val="1"/>
    <w:qFormat/>
    <w:uiPriority w:val="0"/>
    <w:rPr>
      <w:rFonts w:ascii="宋体" w:hAnsi="宋体" w:eastAsia="等线" w:cs="等线"/>
      <w:sz w:val="21"/>
      <w:szCs w:val="21"/>
      <w:lang w:val="en-US" w:eastAsia="zh-CN" w:bidi="ar-SA"/>
    </w:rPr>
  </w:style>
  <w:style w:type="paragraph" w:styleId="15">
    <w:name w:val="toc 2"/>
    <w:basedOn w:val="1"/>
    <w:next w:val="1"/>
    <w:qFormat/>
    <w:uiPriority w:val="0"/>
    <w:pPr>
      <w:ind w:left="420" w:leftChars="200"/>
    </w:pPr>
  </w:style>
  <w:style w:type="paragraph" w:styleId="18">
    <w:name w:val="List Paragraph"/>
    <w:basedOn w:val="1"/>
    <w:qFormat/>
    <w:uiPriority w:val="1"/>
    <w:pPr>
      <w:ind w:left="126" w:hanging="506"/>
    </w:pPr>
    <w:rPr>
      <w:rFonts w:ascii="宋体" w:hAnsi="宋体" w:eastAsia="宋体" w:cs="宋体"/>
      <w:lang w:val="zh-CN" w:eastAsia="zh-CN" w:bidi="zh-CN"/>
    </w:rPr>
  </w:style>
  <w:style w:type="paragraph" w:customStyle="1" w:styleId="19">
    <w:name w:val="Table Paragraph"/>
    <w:basedOn w:val="1"/>
    <w:qFormat/>
    <w:uiPriority w:val="1"/>
    <w:rPr>
      <w:rFonts w:ascii="宋体" w:hAnsi="宋体" w:eastAsia="宋体" w:cs="宋体"/>
      <w:lang w:val="zh-CN" w:eastAsia="zh-CN" w:bidi="zh-CN"/>
    </w:rPr>
  </w:style>
  <w:style w:type="character" w:customStyle="1" w:styleId="20">
    <w:name w:val="正文缩进 Char"/>
    <w:link w:val="2"/>
    <w:qFormat/>
    <w:uiPriority w:val="0"/>
  </w:style>
  <w:style w:type="character" w:customStyle="1" w:styleId="21">
    <w:name w:val="font31"/>
    <w:basedOn w:val="17"/>
    <w:qFormat/>
    <w:uiPriority w:val="0"/>
    <w:rPr>
      <w:rFonts w:hint="eastAsia" w:ascii="宋体" w:hAnsi="宋体" w:eastAsia="宋体" w:cs="宋体"/>
      <w:color w:val="000000"/>
      <w:sz w:val="18"/>
      <w:szCs w:val="18"/>
      <w:u w:val="none"/>
    </w:rPr>
  </w:style>
  <w:style w:type="character" w:customStyle="1" w:styleId="22">
    <w:name w:val="font61"/>
    <w:basedOn w:val="17"/>
    <w:qFormat/>
    <w:uiPriority w:val="0"/>
    <w:rPr>
      <w:rFonts w:hint="eastAsia" w:ascii="宋体" w:hAnsi="宋体" w:eastAsia="宋体" w:cs="宋体"/>
      <w:color w:val="000000"/>
      <w:sz w:val="20"/>
      <w:szCs w:val="20"/>
      <w:u w:val="none"/>
    </w:rPr>
  </w:style>
  <w:style w:type="paragraph" w:customStyle="1" w:styleId="23">
    <w:name w:val="图片"/>
    <w:qFormat/>
    <w:uiPriority w:val="0"/>
    <w:pPr>
      <w:adjustRightInd w:val="0"/>
      <w:snapToGrid w:val="0"/>
      <w:jc w:val="center"/>
    </w:pPr>
    <w:rPr>
      <w:rFonts w:ascii="Times New Roman" w:hAnsi="Times New Roman" w:eastAsia="宋体" w:cs="Times New Roman"/>
      <w:sz w:val="21"/>
      <w:szCs w:val="21"/>
      <w:lang w:val="en-US" w:eastAsia="zh-CN" w:bidi="ar-SA"/>
    </w:rPr>
  </w:style>
  <w:style w:type="paragraph" w:customStyle="1" w:styleId="24">
    <w:name w:val="表格"/>
    <w:next w:val="1"/>
    <w:qFormat/>
    <w:uiPriority w:val="0"/>
    <w:pPr>
      <w:adjustRightInd w:val="0"/>
      <w:snapToGrid w:val="0"/>
      <w:jc w:val="center"/>
    </w:pPr>
    <w:rPr>
      <w:rFonts w:hint="eastAsia" w:ascii="Times New Roman" w:hAnsi="Times New Roman" w:eastAsia="宋体" w:cs="Times New Roman"/>
      <w:color w:val="000000"/>
      <w:kern w:val="44"/>
      <w:sz w:val="21"/>
      <w:szCs w:val="21"/>
      <w:lang w:val="en-US" w:eastAsia="zh-CN" w:bidi="ar-SA"/>
    </w:rPr>
  </w:style>
</w:style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openxmlformats.org/officeDocument/2006/relationships/numbering" Target="numbering.xml"/><Relationship Id="rId9" Type="http://schemas.openxmlformats.org/officeDocument/2006/relationships/footer" Target="footer5.xml"/><Relationship Id="rId89" Type="http://schemas.openxmlformats.org/officeDocument/2006/relationships/customXml" Target="../customXml/item1.xml"/><Relationship Id="rId88" Type="http://schemas.openxmlformats.org/officeDocument/2006/relationships/image" Target="media/image70.jpeg"/><Relationship Id="rId87" Type="http://schemas.openxmlformats.org/officeDocument/2006/relationships/image" Target="media/image69.jpeg"/><Relationship Id="rId86" Type="http://schemas.openxmlformats.org/officeDocument/2006/relationships/image" Target="media/image68.jpeg"/><Relationship Id="rId85" Type="http://schemas.openxmlformats.org/officeDocument/2006/relationships/image" Target="media/image67.jpeg"/><Relationship Id="rId84" Type="http://schemas.openxmlformats.org/officeDocument/2006/relationships/image" Target="media/image66.jpeg"/><Relationship Id="rId83" Type="http://schemas.openxmlformats.org/officeDocument/2006/relationships/image" Target="media/image65.pn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4.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jpeg"/><Relationship Id="rId71" Type="http://schemas.openxmlformats.org/officeDocument/2006/relationships/image" Target="media/image53.jpeg"/><Relationship Id="rId70" Type="http://schemas.openxmlformats.org/officeDocument/2006/relationships/image" Target="media/image52.png"/><Relationship Id="rId7" Type="http://schemas.openxmlformats.org/officeDocument/2006/relationships/footer" Target="footer3.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footer" Target="footer2.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1.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jpeg"/><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header" Target="header3.xml"/><Relationship Id="rId12" Type="http://schemas.openxmlformats.org/officeDocument/2006/relationships/header" Target="header2.xml"/><Relationship Id="rId11" Type="http://schemas.openxmlformats.org/officeDocument/2006/relationships/header" Target="header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199</Pages>
  <Words>89054</Words>
  <Characters>100810</Characters>
  <Lines>0</Lines>
  <Paragraphs>0</Paragraphs>
  <TotalTime>2</TotalTime>
  <ScaleCrop>false</ScaleCrop>
  <LinksUpToDate>false</LinksUpToDate>
  <CharactersWithSpaces>101501</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2024-01-02T08:44:00Z</dcterms:created>
  <dc:creator>张伟超－格如灵</dc:creator>
  <cp:lastModifiedBy>张伟超－格如灵</cp:lastModifiedBy>
  <dcterms:modified xsi:type="dcterms:W3CDTF">2024-05-13T03:42:16Z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3679F5C2A8D94E4EAAA7F4947BF3CB3B_13</vt:lpwstr>
  </property>
</Properties>
</file>