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本合同附件如下：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此附件与主合同具有同等法律效力！</w:t>
      </w: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供应商承诺：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产品本着同期同类同质同价原则，产品价格不得高于同期牡丹江市龙江好日子超市价格（特价商品活动商品价格除外）。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甲方每周对部分产品价格进行一次询价。如配送价格高于龙江好日子超市价格，按照好日子超市价格执行付款，合同期内如发生6次价格违规，甲方有权解除合同。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D4FF7"/>
    <w:multiLevelType w:val="singleLevel"/>
    <w:tmpl w:val="6E9D4FF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GM5NzQ5ZjNhNzE3NjAzMmY4YzJhY2FmMjI4OWYifQ=="/>
  </w:docVars>
  <w:rsids>
    <w:rsidRoot w:val="44473941"/>
    <w:rsid w:val="444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2023-12-06T08:37:00Z</dcterms:created>
  <dc:creator>萱萱妈</dc:creator>
  <cp:lastModifiedBy>萱萱妈</cp:lastModifiedBy>
  <dcterms:modified xsi:type="dcterms:W3CDTF">2023-12-06T08:39:25Z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A481AB62A3294111A5C226B7A0914154_11</vt:lpwstr>
  </property>
</Properties>
</file>