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ind w:leftChars="100" w:right="148" w:rightChars="0"/>
        <w:jc w:val="right"/>
        <w:rPr>
          <w:rFonts w:hint="eastAsia" w:eastAsia="宋体"/>
          <w:bCs/>
          <w:sz w:val="24"/>
          <w:highlight w:val="none"/>
          <w:u w:val="single"/>
          <w:lang w:eastAsia="zh-CN"/>
        </w:rPr>
      </w:pPr>
      <w:r>
        <w:rPr>
          <w:rFonts w:hint="eastAsia" w:ascii="Times New Roman" w:hAnsi="宋体" w:eastAsia="宋体" w:cs="Times New Roman"/>
          <w:spacing w:val="-20"/>
          <w:sz w:val="24"/>
          <w:highlight w:val="none"/>
          <w:u w:val="none"/>
        </w:rPr>
        <w:t>合同编号：</w:t>
      </w:r>
      <w:r>
        <w:rPr>
          <w:rFonts w:hint="eastAsia" w:hAnsi="宋体" w:cs="Times New Roman"/>
          <w:spacing w:val="-20"/>
          <w:sz w:val="24"/>
          <w:highlight w:val="none"/>
          <w:u w:val="none"/>
          <w:lang w:eastAsia="zh-CN"/>
        </w:rPr>
        <w:t>黑财购核字[2023]08210号</w:t>
      </w:r>
    </w:p>
    <w:p>
      <w:pPr>
        <w:snapToGrid w:val="0"/>
        <w:ind w:firstLine="600" w:firstLineChars="250"/>
        <w:rPr>
          <w:rFonts w:eastAsia="华文中宋"/>
          <w:bCs/>
          <w:sz w:val="24"/>
          <w:highlight w:val="none"/>
        </w:rPr>
      </w:pPr>
    </w:p>
    <w:p>
      <w:pPr>
        <w:snapToGrid w:val="0"/>
        <w:jc w:val="center"/>
        <w:rPr>
          <w:rFonts w:ascii="华文中宋" w:hAnsi="华文中宋" w:eastAsia="华文中宋"/>
          <w:bCs/>
          <w:sz w:val="44"/>
          <w:szCs w:val="44"/>
          <w:highlight w:val="none"/>
        </w:rPr>
      </w:pPr>
      <w:r>
        <w:rPr>
          <w:rFonts w:hint="eastAsia" w:ascii="华文中宋" w:hAnsi="华文中宋" w:eastAsia="华文中宋"/>
          <w:bCs/>
          <w:sz w:val="44"/>
          <w:szCs w:val="44"/>
          <w:highlight w:val="none"/>
          <w:lang w:eastAsia="zh-CN"/>
        </w:rPr>
        <w:t>黑龙江省公安厅机场公安局</w:t>
      </w:r>
      <w:r>
        <w:rPr>
          <w:rFonts w:hint="eastAsia" w:ascii="华文中宋" w:hAnsi="华文中宋" w:eastAsia="华文中宋"/>
          <w:bCs/>
          <w:sz w:val="44"/>
          <w:szCs w:val="44"/>
          <w:highlight w:val="none"/>
        </w:rPr>
        <w:t>采购合同</w:t>
      </w:r>
    </w:p>
    <w:p>
      <w:pPr>
        <w:snapToGrid w:val="0"/>
        <w:ind w:firstLine="3150" w:firstLineChars="1050"/>
        <w:rPr>
          <w:rFonts w:hAnsi="宋体"/>
          <w:sz w:val="30"/>
          <w:szCs w:val="30"/>
          <w:highlight w:val="none"/>
        </w:rPr>
      </w:pPr>
    </w:p>
    <w:p>
      <w:pPr>
        <w:snapToGrid w:val="0"/>
        <w:spacing w:line="360" w:lineRule="auto"/>
        <w:rPr>
          <w:rFonts w:eastAsia="仿宋_GB2312"/>
          <w:szCs w:val="21"/>
          <w:highlight w:val="none"/>
        </w:rPr>
      </w:pPr>
    </w:p>
    <w:p>
      <w:pPr>
        <w:snapToGrid w:val="0"/>
        <w:spacing w:line="360" w:lineRule="auto"/>
        <w:rPr>
          <w:rFonts w:hint="eastAsia" w:eastAsia="宋体"/>
          <w:sz w:val="24"/>
          <w:highlight w:val="none"/>
          <w:u w:val="single"/>
          <w:lang w:eastAsia="zh-CN"/>
        </w:rPr>
      </w:pPr>
      <w:r>
        <w:rPr>
          <w:rFonts w:hAnsi="宋体"/>
          <w:sz w:val="24"/>
          <w:highlight w:val="none"/>
        </w:rPr>
        <w:t>采购单位</w:t>
      </w:r>
      <w:r>
        <w:rPr>
          <w:rFonts w:hint="eastAsia" w:hAnsi="宋体"/>
          <w:sz w:val="24"/>
          <w:highlight w:val="none"/>
        </w:rPr>
        <w:t>：</w:t>
      </w:r>
      <w:r>
        <w:rPr>
          <w:rFonts w:hAnsi="宋体"/>
          <w:sz w:val="24"/>
          <w:highlight w:val="none"/>
        </w:rPr>
        <w:t>（甲方）</w:t>
      </w:r>
      <w:r>
        <w:rPr>
          <w:rFonts w:hint="eastAsia" w:hAnsi="宋体"/>
          <w:color w:val="000000"/>
          <w:sz w:val="24"/>
          <w:highlight w:val="none"/>
          <w:u w:val="single"/>
          <w:lang w:eastAsia="zh-CN"/>
        </w:rPr>
        <w:t>黑龙江省公安厅机场公安局</w:t>
      </w:r>
      <w:r>
        <w:rPr>
          <w:rFonts w:hint="eastAsia" w:hAnsi="宋体"/>
          <w:color w:val="000000"/>
          <w:sz w:val="24"/>
          <w:highlight w:val="none"/>
          <w:u w:val="none"/>
        </w:rPr>
        <w:t xml:space="preserve">  </w:t>
      </w:r>
      <w:r>
        <w:rPr>
          <w:rFonts w:hint="eastAsia" w:hAnsi="宋体"/>
          <w:color w:val="000000"/>
          <w:sz w:val="24"/>
          <w:highlight w:val="none"/>
          <w:u w:val="none"/>
          <w:lang w:val="en-US" w:eastAsia="zh-CN"/>
        </w:rPr>
        <w:t xml:space="preserve">       </w:t>
      </w:r>
      <w:r>
        <w:rPr>
          <w:rFonts w:hAnsi="宋体"/>
          <w:spacing w:val="-20"/>
          <w:sz w:val="24"/>
          <w:highlight w:val="none"/>
        </w:rPr>
        <w:t>采购计划号</w:t>
      </w:r>
      <w:r>
        <w:rPr>
          <w:rFonts w:hint="eastAsia" w:hAnsi="宋体"/>
          <w:spacing w:val="-20"/>
          <w:sz w:val="24"/>
          <w:highlight w:val="none"/>
        </w:rPr>
        <w:t>：</w:t>
      </w:r>
      <w:r>
        <w:rPr>
          <w:rFonts w:hint="eastAsia" w:hAnsi="宋体"/>
          <w:spacing w:val="-20"/>
          <w:sz w:val="24"/>
          <w:highlight w:val="none"/>
          <w:u w:val="single"/>
          <w:lang w:eastAsia="zh-CN"/>
        </w:rPr>
        <w:t>黑财购核字[2023]08210号</w:t>
      </w:r>
    </w:p>
    <w:p>
      <w:pPr>
        <w:snapToGrid w:val="0"/>
        <w:spacing w:line="360" w:lineRule="auto"/>
        <w:rPr>
          <w:rFonts w:hint="default" w:eastAsia="宋体"/>
          <w:sz w:val="24"/>
          <w:highlight w:val="none"/>
          <w:lang w:val="en-US" w:eastAsia="zh-CN"/>
        </w:rPr>
      </w:pPr>
      <w:r>
        <w:rPr>
          <w:rFonts w:hAnsi="宋体"/>
          <w:sz w:val="24"/>
          <w:highlight w:val="none"/>
        </w:rPr>
        <w:t>供</w:t>
      </w:r>
      <w:r>
        <w:rPr>
          <w:rFonts w:hint="eastAsia" w:hAnsi="宋体"/>
          <w:sz w:val="24"/>
          <w:highlight w:val="none"/>
          <w:lang w:val="en-US" w:eastAsia="zh-CN"/>
        </w:rPr>
        <w:t xml:space="preserve"> </w:t>
      </w:r>
      <w:r>
        <w:rPr>
          <w:rFonts w:hAnsi="宋体"/>
          <w:sz w:val="24"/>
          <w:highlight w:val="none"/>
        </w:rPr>
        <w:t>应</w:t>
      </w:r>
      <w:r>
        <w:rPr>
          <w:rFonts w:hint="eastAsia" w:hAnsi="宋体"/>
          <w:sz w:val="24"/>
          <w:highlight w:val="none"/>
          <w:lang w:val="en-US" w:eastAsia="zh-CN"/>
        </w:rPr>
        <w:t xml:space="preserve"> </w:t>
      </w:r>
      <w:r>
        <w:rPr>
          <w:rFonts w:hAnsi="宋体"/>
          <w:sz w:val="24"/>
          <w:highlight w:val="none"/>
        </w:rPr>
        <w:t>商</w:t>
      </w:r>
      <w:r>
        <w:rPr>
          <w:rFonts w:hint="eastAsia" w:hAnsi="宋体"/>
          <w:sz w:val="24"/>
          <w:highlight w:val="none"/>
        </w:rPr>
        <w:t>：</w:t>
      </w:r>
      <w:r>
        <w:rPr>
          <w:rFonts w:hAnsi="宋体"/>
          <w:sz w:val="24"/>
          <w:highlight w:val="none"/>
        </w:rPr>
        <w:t>（乙方）</w:t>
      </w:r>
      <w:r>
        <w:rPr>
          <w:rFonts w:hint="eastAsia" w:ascii="宋体" w:hAnsi="宋体" w:cs="宋体"/>
          <w:sz w:val="24"/>
          <w:szCs w:val="36"/>
          <w:highlight w:val="none"/>
          <w:u w:val="single"/>
          <w:lang w:eastAsia="zh-CN"/>
        </w:rPr>
        <w:t>哈尔滨永凯科技有限公司</w:t>
      </w:r>
      <w:r>
        <w:rPr>
          <w:rFonts w:hint="eastAsia" w:ascii="宋体" w:hAnsi="宋体" w:cs="宋体"/>
          <w:sz w:val="24"/>
          <w:szCs w:val="36"/>
          <w:highlight w:val="none"/>
          <w:u w:val="none"/>
        </w:rPr>
        <w:t xml:space="preserve">  </w:t>
      </w:r>
      <w:r>
        <w:rPr>
          <w:rFonts w:hint="eastAsia" w:ascii="宋体" w:hAnsi="宋体" w:cs="宋体"/>
          <w:sz w:val="24"/>
          <w:szCs w:val="36"/>
          <w:highlight w:val="none"/>
          <w:u w:val="none"/>
          <w:lang w:val="en-US" w:eastAsia="zh-CN"/>
        </w:rPr>
        <w:t xml:space="preserve">        </w:t>
      </w:r>
      <w:r>
        <w:rPr>
          <w:rFonts w:hAnsi="宋体"/>
          <w:spacing w:val="-20"/>
          <w:sz w:val="24"/>
          <w:highlight w:val="none"/>
        </w:rPr>
        <w:t>招标编号</w:t>
      </w:r>
      <w:r>
        <w:rPr>
          <w:rFonts w:hint="eastAsia" w:hAnsi="宋体"/>
          <w:spacing w:val="-20"/>
          <w:sz w:val="24"/>
          <w:highlight w:val="none"/>
        </w:rPr>
        <w:t>：</w:t>
      </w:r>
      <w:r>
        <w:rPr>
          <w:rFonts w:hint="eastAsia" w:hAnsi="宋体"/>
          <w:spacing w:val="-20"/>
          <w:sz w:val="24"/>
          <w:highlight w:val="none"/>
          <w:lang w:val="en-US" w:eastAsia="zh-CN"/>
        </w:rPr>
        <w:t xml:space="preserve">  </w:t>
      </w:r>
      <w:r>
        <w:rPr>
          <w:rFonts w:hint="eastAsia"/>
          <w:sz w:val="24"/>
          <w:highlight w:val="none"/>
          <w:u w:val="single"/>
          <w:lang w:eastAsia="zh-CN"/>
        </w:rPr>
        <w:t>[230001]SC[CS]20230255</w:t>
      </w:r>
    </w:p>
    <w:p>
      <w:pPr>
        <w:snapToGrid w:val="0"/>
        <w:spacing w:line="360" w:lineRule="auto"/>
        <w:rPr>
          <w:rFonts w:hint="eastAsia" w:eastAsia="宋体"/>
          <w:sz w:val="24"/>
          <w:highlight w:val="none"/>
          <w:u w:val="single"/>
          <w:lang w:eastAsia="zh-CN"/>
        </w:rPr>
      </w:pPr>
      <w:r>
        <w:rPr>
          <w:rFonts w:hAnsi="宋体"/>
          <w:sz w:val="24"/>
          <w:highlight w:val="none"/>
        </w:rPr>
        <w:t>签订地点</w:t>
      </w:r>
      <w:bookmarkStart w:id="0" w:name="bookmark2"/>
      <w:r>
        <w:rPr>
          <w:rFonts w:hint="eastAsia" w:hAnsi="宋体"/>
          <w:sz w:val="24"/>
          <w:highlight w:val="none"/>
        </w:rPr>
        <w:t xml:space="preserve">： </w:t>
      </w:r>
      <w:bookmarkEnd w:id="0"/>
      <w:r>
        <w:rPr>
          <w:rFonts w:hint="eastAsia" w:hAnsi="宋体"/>
          <w:color w:val="000000"/>
          <w:sz w:val="24"/>
          <w:highlight w:val="none"/>
          <w:u w:val="single"/>
          <w:lang w:eastAsia="zh-CN"/>
        </w:rPr>
        <w:t>黑龙江省公安厅机场公安局</w:t>
      </w:r>
      <w:r>
        <w:rPr>
          <w:rFonts w:hint="eastAsia" w:hAnsi="宋体"/>
          <w:color w:val="000000"/>
          <w:sz w:val="24"/>
          <w:highlight w:val="none"/>
          <w:u w:val="none"/>
        </w:rPr>
        <w:t xml:space="preserve"> </w:t>
      </w:r>
      <w:r>
        <w:rPr>
          <w:rFonts w:hint="eastAsia" w:hAnsi="宋体"/>
          <w:color w:val="000000"/>
          <w:sz w:val="24"/>
          <w:highlight w:val="none"/>
          <w:u w:val="none"/>
          <w:lang w:val="en-US" w:eastAsia="zh-CN"/>
        </w:rPr>
        <w:t xml:space="preserve">               </w:t>
      </w:r>
      <w:r>
        <w:rPr>
          <w:rFonts w:hAnsi="宋体"/>
          <w:sz w:val="24"/>
          <w:highlight w:val="none"/>
        </w:rPr>
        <w:t>签订时间</w:t>
      </w:r>
      <w:bookmarkStart w:id="1" w:name="bookmark3"/>
      <w:r>
        <w:rPr>
          <w:rFonts w:hint="eastAsia" w:hAnsi="宋体"/>
          <w:sz w:val="24"/>
          <w:highlight w:val="none"/>
        </w:rPr>
        <w:t>：</w:t>
      </w:r>
      <w:r>
        <w:rPr>
          <w:rFonts w:hint="eastAsia"/>
          <w:sz w:val="24"/>
          <w:highlight w:val="none"/>
          <w:u w:val="single"/>
        </w:rPr>
        <w:t>202</w:t>
      </w:r>
      <w:r>
        <w:rPr>
          <w:rFonts w:hint="eastAsia"/>
          <w:sz w:val="24"/>
          <w:highlight w:val="none"/>
          <w:u w:val="single"/>
          <w:lang w:val="en-US" w:eastAsia="zh-CN"/>
        </w:rPr>
        <w:t>3</w:t>
      </w:r>
      <w:r>
        <w:rPr>
          <w:rFonts w:hint="eastAsia"/>
          <w:sz w:val="24"/>
          <w:highlight w:val="none"/>
        </w:rPr>
        <w:t>年</w:t>
      </w:r>
      <w:bookmarkEnd w:id="1"/>
      <w:r>
        <w:rPr>
          <w:rFonts w:hint="eastAsia"/>
          <w:sz w:val="24"/>
          <w:highlight w:val="none"/>
          <w:u w:val="single"/>
          <w:lang w:eastAsia="zh-CN"/>
        </w:rPr>
        <w:t xml:space="preserve"> </w:t>
      </w:r>
      <w:r>
        <w:rPr>
          <w:rFonts w:hint="eastAsia"/>
          <w:sz w:val="24"/>
          <w:highlight w:val="none"/>
          <w:u w:val="single"/>
          <w:lang w:val="en-US" w:eastAsia="zh-CN"/>
        </w:rPr>
        <w:t>12</w:t>
      </w:r>
      <w:r>
        <w:rPr>
          <w:rFonts w:hint="eastAsia"/>
          <w:sz w:val="24"/>
          <w:highlight w:val="none"/>
          <w:u w:val="single"/>
          <w:lang w:eastAsia="zh-CN"/>
        </w:rPr>
        <w:t xml:space="preserve"> </w:t>
      </w:r>
      <w:r>
        <w:rPr>
          <w:rFonts w:hint="eastAsia"/>
          <w:sz w:val="24"/>
          <w:highlight w:val="none"/>
          <w:u w:val="none"/>
          <w:lang w:eastAsia="zh-CN"/>
        </w:rPr>
        <w:t>月</w:t>
      </w:r>
      <w:r>
        <w:rPr>
          <w:rFonts w:hint="eastAsia"/>
          <w:sz w:val="24"/>
          <w:highlight w:val="none"/>
          <w:u w:val="single"/>
          <w:lang w:val="en-US" w:eastAsia="zh-CN"/>
        </w:rPr>
        <w:t xml:space="preserve">   </w:t>
      </w:r>
      <w:r>
        <w:rPr>
          <w:rFonts w:hint="eastAsia"/>
          <w:sz w:val="24"/>
          <w:highlight w:val="none"/>
          <w:u w:val="none"/>
          <w:lang w:eastAsia="zh-CN"/>
        </w:rPr>
        <w:t>日</w:t>
      </w:r>
    </w:p>
    <w:p>
      <w:pPr>
        <w:snapToGrid w:val="0"/>
        <w:spacing w:line="360" w:lineRule="auto"/>
        <w:rPr>
          <w:sz w:val="28"/>
          <w:szCs w:val="28"/>
          <w:highlight w:val="none"/>
        </w:rPr>
      </w:pPr>
    </w:p>
    <w:p>
      <w:pPr>
        <w:snapToGrid w:val="0"/>
        <w:spacing w:line="360" w:lineRule="auto"/>
        <w:ind w:firstLine="480" w:firstLineChars="200"/>
        <w:rPr>
          <w:sz w:val="24"/>
          <w:highlight w:val="none"/>
        </w:rPr>
      </w:pPr>
      <w:r>
        <w:rPr>
          <w:rFonts w:hAnsi="宋体"/>
          <w:sz w:val="24"/>
          <w:highlight w:val="none"/>
        </w:rPr>
        <w:t>根据《中华人民共和国政府采购法》、《中华人民共和国</w:t>
      </w:r>
      <w:r>
        <w:rPr>
          <w:rFonts w:hint="eastAsia" w:hAnsi="宋体"/>
          <w:sz w:val="24"/>
          <w:highlight w:val="none"/>
        </w:rPr>
        <w:t>民法典</w:t>
      </w:r>
      <w:r>
        <w:rPr>
          <w:rFonts w:hAnsi="宋体"/>
          <w:sz w:val="24"/>
          <w:highlight w:val="none"/>
        </w:rPr>
        <w:t>》等法律、法规规定，按照招</w:t>
      </w:r>
      <w:r>
        <w:rPr>
          <w:rFonts w:hint="eastAsia" w:hAnsi="宋体"/>
          <w:sz w:val="24"/>
          <w:highlight w:val="none"/>
          <w:lang w:eastAsia="zh-CN"/>
        </w:rPr>
        <w:t>响应</w:t>
      </w:r>
      <w:r>
        <w:rPr>
          <w:rFonts w:hAnsi="宋体"/>
          <w:sz w:val="24"/>
          <w:highlight w:val="none"/>
        </w:rPr>
        <w:t>文件规定条款和中标供应商承诺，甲乙双方签订本合同。</w:t>
      </w:r>
    </w:p>
    <w:p>
      <w:pPr>
        <w:snapToGrid w:val="0"/>
        <w:spacing w:line="360" w:lineRule="auto"/>
        <w:ind w:firstLine="482" w:firstLineChars="200"/>
        <w:rPr>
          <w:b/>
          <w:sz w:val="24"/>
          <w:highlight w:val="none"/>
        </w:rPr>
      </w:pPr>
      <w:r>
        <w:rPr>
          <w:rFonts w:hAnsi="宋体"/>
          <w:b/>
          <w:sz w:val="24"/>
          <w:highlight w:val="none"/>
        </w:rPr>
        <w:t>第一条</w:t>
      </w:r>
      <w:r>
        <w:rPr>
          <w:rFonts w:hint="eastAsia" w:hAnsi="宋体"/>
          <w:b/>
          <w:sz w:val="24"/>
          <w:highlight w:val="none"/>
          <w:lang w:val="en-US" w:eastAsia="zh-CN"/>
        </w:rPr>
        <w:t xml:space="preserve">  </w:t>
      </w:r>
      <w:r>
        <w:rPr>
          <w:rFonts w:hAnsi="宋体"/>
          <w:b/>
          <w:sz w:val="24"/>
          <w:highlight w:val="none"/>
        </w:rPr>
        <w:t>合同标的</w:t>
      </w:r>
    </w:p>
    <w:p>
      <w:pPr>
        <w:numPr>
          <w:ilvl w:val="0"/>
          <w:numId w:val="3"/>
        </w:numPr>
        <w:snapToGrid w:val="0"/>
        <w:spacing w:line="360" w:lineRule="auto"/>
        <w:rPr>
          <w:rFonts w:hAnsi="宋体"/>
          <w:sz w:val="24"/>
          <w:highlight w:val="none"/>
        </w:rPr>
      </w:pPr>
      <w:r>
        <w:rPr>
          <w:rFonts w:hAnsi="宋体"/>
          <w:sz w:val="24"/>
          <w:highlight w:val="none"/>
        </w:rPr>
        <w:t>供货一览表</w:t>
      </w:r>
    </w:p>
    <w:tbl>
      <w:tblPr>
        <w:tblStyle w:val="18"/>
        <w:tblW w:w="10999" w:type="dxa"/>
        <w:tblInd w:w="-4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
        <w:gridCol w:w="1518"/>
        <w:gridCol w:w="1025"/>
        <w:gridCol w:w="1758"/>
        <w:gridCol w:w="2817"/>
        <w:gridCol w:w="766"/>
        <w:gridCol w:w="1284"/>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blHeader/>
        </w:trPr>
        <w:tc>
          <w:tcPr>
            <w:tcW w:w="465"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序号</w:t>
            </w:r>
          </w:p>
        </w:tc>
        <w:tc>
          <w:tcPr>
            <w:tcW w:w="1518"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产品名称</w:t>
            </w:r>
          </w:p>
        </w:tc>
        <w:tc>
          <w:tcPr>
            <w:tcW w:w="1025"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商标</w:t>
            </w:r>
          </w:p>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品牌</w:t>
            </w:r>
          </w:p>
        </w:tc>
        <w:tc>
          <w:tcPr>
            <w:tcW w:w="1758"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规格</w:t>
            </w:r>
          </w:p>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型号</w:t>
            </w:r>
          </w:p>
        </w:tc>
        <w:tc>
          <w:tcPr>
            <w:tcW w:w="2817"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生产厂家</w:t>
            </w:r>
          </w:p>
        </w:tc>
        <w:tc>
          <w:tcPr>
            <w:tcW w:w="766"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数量</w:t>
            </w:r>
          </w:p>
        </w:tc>
        <w:tc>
          <w:tcPr>
            <w:tcW w:w="1284"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单价(元)</w:t>
            </w:r>
          </w:p>
        </w:tc>
        <w:tc>
          <w:tcPr>
            <w:tcW w:w="1366" w:type="dxa"/>
            <w:vAlign w:val="center"/>
          </w:tcPr>
          <w:p>
            <w:pPr>
              <w:widowControl/>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90" w:hRule="atLeast"/>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1</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移动执法综合管理平台</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海康威视</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InfoCom MLE</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2</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5G执法记录仪及配件</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海康威视</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DSJ-HIKN1A1/64G/5GIK</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70套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3830.00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268100.00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3</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人脸下发采集站</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海康威视</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ZCS-HIKH1/2T/32LS</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19500.00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19500.00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4</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高清抓拍单元</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海康威视</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iDS-TCE900-CM/V2/16</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2套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15500.00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31000.00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5</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交通辅助产品</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海康威视</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TLD-2016-N</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2套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1900.00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3800.00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6</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企业级路由器</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华为</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华为AR6280-S</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华为技术有限公司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24000.00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24000.00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7</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UPS电源系统</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商宇</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HP3360H</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深圳市商宇电子科技有限公司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230000.00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230000.00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8</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精密空调</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商宇</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EM30U1</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深圳市商宇电子科技有限公司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9</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视频视图库云存储设备</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CX1824-V2</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10</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视频视图库多维数据服务器</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VS-MD9500</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11</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视频视图库数据库</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DB9500E-S-U-DB9500E</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215000.00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215000.00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12</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智能人脸抓拍摄像机</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"mailto:HIC2521-IR@IRA-Z-L-VF" \o "mailto:HIC2521-IR@IRA-Z-L-VF"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HIC2521-IR@IRA-Z-L-VF</w:t>
            </w:r>
            <w:r>
              <w:rPr>
                <w:rFonts w:hint="eastAsia" w:ascii="宋体" w:hAnsi="宋体" w:eastAsia="宋体" w:cs="宋体"/>
                <w:i w:val="0"/>
                <w:iCs w:val="0"/>
                <w:color w:val="auto"/>
                <w:kern w:val="0"/>
                <w:sz w:val="20"/>
                <w:szCs w:val="20"/>
                <w:u w:val="none"/>
                <w:lang w:val="en-US" w:eastAsia="zh-CN" w:bidi="ar"/>
              </w:rPr>
              <w:fldChar w:fldCharType="end"/>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20套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1160.00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23200.00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13</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视频数据智能分析系统</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FB-IA15812</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14</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智能网络摄像机</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"mailto:HIC28441-WH@X4-F40-VH1" \o "mailto:HIC28441-WH@X4-F40-VH1"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HIC28441-WH@X4-F40-VH1</w:t>
            </w:r>
            <w:r>
              <w:rPr>
                <w:rFonts w:hint="eastAsia" w:ascii="宋体" w:hAnsi="宋体" w:eastAsia="宋体" w:cs="宋体"/>
                <w:i w:val="0"/>
                <w:iCs w:val="0"/>
                <w:color w:val="auto"/>
                <w:kern w:val="0"/>
                <w:sz w:val="20"/>
                <w:szCs w:val="20"/>
                <w:u w:val="none"/>
                <w:lang w:val="en-US" w:eastAsia="zh-CN" w:bidi="ar"/>
              </w:rPr>
              <w:fldChar w:fldCharType="end"/>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46套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3800.00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174800.00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15</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接入交换机</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新华三（H3C）</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S1850V2-28P-HPWR</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新华三技术有限公司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3套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1700.00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5100.00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16</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存储设备</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"mailto:NI-VX1648-C@V3" \o "mailto:NI-VX1648-C@V3"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NI-VX1648-C@V3</w:t>
            </w:r>
            <w:r>
              <w:rPr>
                <w:rFonts w:hint="eastAsia" w:ascii="宋体" w:hAnsi="宋体" w:eastAsia="宋体" w:cs="宋体"/>
                <w:i w:val="0"/>
                <w:iCs w:val="0"/>
                <w:color w:val="auto"/>
                <w:kern w:val="0"/>
                <w:sz w:val="20"/>
                <w:szCs w:val="20"/>
                <w:u w:val="none"/>
                <w:lang w:val="en-US" w:eastAsia="zh-CN" w:bidi="ar"/>
              </w:rPr>
              <w:fldChar w:fldCharType="end"/>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91800.00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91800.00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17</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星光级违章检测一体球机</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宇视科技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"mailto:HIC6841-IR@L-X40-IT-VH1" \o "mailto:HIC6841-IR@L-X40-IT-VH1"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HIC6841-IR@L-X40-IT-VH1</w:t>
            </w:r>
            <w:r>
              <w:rPr>
                <w:rFonts w:hint="eastAsia" w:ascii="宋体" w:hAnsi="宋体" w:eastAsia="宋体" w:cs="宋体"/>
                <w:i w:val="0"/>
                <w:iCs w:val="0"/>
                <w:color w:val="auto"/>
                <w:kern w:val="0"/>
                <w:sz w:val="20"/>
                <w:szCs w:val="20"/>
                <w:u w:val="none"/>
                <w:lang w:val="en-US" w:eastAsia="zh-CN" w:bidi="ar"/>
              </w:rPr>
              <w:fldChar w:fldCharType="end"/>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4套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6100.00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24400.00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18</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无线手持话筒</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itc</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T-521UH</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2900.00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2900.00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19</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一拖四无线话筒</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itc</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TS-354</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3套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4850.00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14550.00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20</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话筒呼叫控制嵌入软件</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itc</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V1.32</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3套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150.00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450.00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21</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天线分配器</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itc</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u w:val="none"/>
                <w:lang w:val="en-US" w:eastAsia="zh-CN" w:bidi="ar"/>
              </w:rPr>
              <w:t>T-523A</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4200.00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4200.00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22</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话筒天线</w:t>
            </w:r>
          </w:p>
        </w:tc>
        <w:tc>
          <w:tcPr>
            <w:tcW w:w="1025"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itc</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T-522S</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2200.00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2200.00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23</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技术服务</w:t>
            </w:r>
          </w:p>
        </w:tc>
        <w:tc>
          <w:tcPr>
            <w:tcW w:w="1025"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永凯科技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技术服务</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哈尔滨永凯科技有限公司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1套</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465" w:type="dxa"/>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val="en-US" w:eastAsia="zh-CN" w:bidi="ar"/>
              </w:rPr>
              <w:t>24</w:t>
            </w:r>
          </w:p>
        </w:tc>
        <w:tc>
          <w:tcPr>
            <w:tcW w:w="151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技术服务</w:t>
            </w:r>
          </w:p>
        </w:tc>
        <w:tc>
          <w:tcPr>
            <w:tcW w:w="1025"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永凯科技</w:t>
            </w:r>
          </w:p>
        </w:tc>
        <w:tc>
          <w:tcPr>
            <w:tcW w:w="1758" w:type="dxa"/>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0"/>
                <w:szCs w:val="20"/>
                <w:u w:val="none"/>
                <w:lang w:val="en-US" w:eastAsia="zh-CN" w:bidi="ar"/>
              </w:rPr>
              <w:t>技术服务</w:t>
            </w:r>
          </w:p>
        </w:tc>
        <w:tc>
          <w:tcPr>
            <w:tcW w:w="2817"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哈尔滨永凯科技有限公司</w:t>
            </w:r>
          </w:p>
        </w:tc>
        <w:tc>
          <w:tcPr>
            <w:tcW w:w="766" w:type="dxa"/>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i w:val="0"/>
                <w:iCs w:val="0"/>
                <w:color w:val="000000"/>
                <w:kern w:val="0"/>
                <w:sz w:val="22"/>
                <w:szCs w:val="22"/>
                <w:u w:val="none"/>
                <w:lang w:val="en-US" w:eastAsia="zh-CN" w:bidi="ar"/>
              </w:rPr>
              <w:t>1项/年</w:t>
            </w:r>
          </w:p>
        </w:tc>
        <w:tc>
          <w:tcPr>
            <w:tcW w:w="1284"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50000.00 </w:t>
            </w:r>
          </w:p>
        </w:tc>
        <w:tc>
          <w:tcPr>
            <w:tcW w:w="1366"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50000.00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Pr>
        <w:tc>
          <w:tcPr>
            <w:tcW w:w="10999" w:type="dxa"/>
            <w:gridSpan w:val="8"/>
            <w:vAlign w:val="center"/>
          </w:tcPr>
          <w:p>
            <w:pPr>
              <w:widowControl/>
              <w:jc w:val="center"/>
              <w:textAlignment w:val="center"/>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人民币合计</w:t>
            </w:r>
            <w:r>
              <w:rPr>
                <w:rFonts w:hint="eastAsia" w:ascii="宋体" w:hAnsi="宋体" w:eastAsia="宋体" w:cs="宋体"/>
                <w:color w:val="000000"/>
                <w:kern w:val="0"/>
                <w:sz w:val="24"/>
                <w:szCs w:val="24"/>
                <w:highlight w:val="none"/>
                <w:lang w:val="en-US" w:eastAsia="zh-CN" w:bidi="ar"/>
              </w:rPr>
              <w:t>金额（大写）贰佰壹拾贰万伍仟元</w:t>
            </w:r>
            <w:r>
              <w:rPr>
                <w:rFonts w:hint="eastAsia" w:ascii="宋体" w:hAnsi="宋体" w:cs="宋体"/>
                <w:color w:val="000000"/>
                <w:kern w:val="0"/>
                <w:sz w:val="24"/>
                <w:szCs w:val="24"/>
                <w:highlight w:val="none"/>
                <w:lang w:val="en-US" w:eastAsia="zh-CN" w:bidi="ar"/>
              </w:rPr>
              <w:t>整</w:t>
            </w:r>
            <w:r>
              <w:rPr>
                <w:rFonts w:hint="eastAsia" w:ascii="宋体" w:hAnsi="宋体" w:eastAsia="宋体" w:cs="宋体"/>
                <w:color w:val="000000"/>
                <w:kern w:val="0"/>
                <w:sz w:val="24"/>
                <w:szCs w:val="24"/>
                <w:highlight w:val="none"/>
                <w:lang w:val="en-US" w:eastAsia="zh-CN" w:bidi="ar"/>
              </w:rPr>
              <w:t xml:space="preserve">     </w:t>
            </w:r>
            <w:bookmarkStart w:id="14" w:name="_GoBack"/>
            <w:bookmarkEnd w:id="14"/>
            <w:r>
              <w:rPr>
                <w:rFonts w:hint="eastAsia" w:ascii="宋体" w:hAnsi="宋体" w:eastAsia="宋体" w:cs="宋体"/>
                <w:color w:val="000000"/>
                <w:kern w:val="0"/>
                <w:sz w:val="24"/>
                <w:szCs w:val="24"/>
                <w:highlight w:val="none"/>
                <w:lang w:val="en-US" w:eastAsia="zh-CN" w:bidi="ar"/>
              </w:rPr>
              <w:t xml:space="preserve">  （小写）2125000</w:t>
            </w:r>
            <w:r>
              <w:rPr>
                <w:rFonts w:hint="eastAsia" w:ascii="宋体" w:hAnsi="宋体" w:cs="宋体"/>
                <w:color w:val="000000"/>
                <w:kern w:val="0"/>
                <w:sz w:val="24"/>
                <w:szCs w:val="24"/>
                <w:highlight w:val="none"/>
                <w:lang w:val="en-US" w:eastAsia="zh-CN" w:bidi="ar"/>
              </w:rPr>
              <w:t>.00</w:t>
            </w:r>
            <w:r>
              <w:rPr>
                <w:rFonts w:hint="eastAsia" w:ascii="宋体" w:hAnsi="宋体" w:eastAsia="宋体" w:cs="宋体"/>
                <w:color w:val="000000"/>
                <w:kern w:val="0"/>
                <w:sz w:val="24"/>
                <w:szCs w:val="24"/>
                <w:highlight w:val="none"/>
                <w:lang w:val="en-US" w:eastAsia="zh-CN" w:bidi="ar"/>
              </w:rPr>
              <w:t>元</w:t>
            </w:r>
          </w:p>
        </w:tc>
      </w:tr>
    </w:tbl>
    <w:p>
      <w:pPr>
        <w:snapToGrid w:val="0"/>
        <w:spacing w:line="360" w:lineRule="auto"/>
        <w:jc w:val="center"/>
        <w:rPr>
          <w:rFonts w:hAnsi="宋体"/>
          <w:sz w:val="24"/>
          <w:highlight w:val="none"/>
        </w:rPr>
      </w:pPr>
    </w:p>
    <w:p>
      <w:pPr>
        <w:snapToGrid w:val="0"/>
        <w:spacing w:line="360" w:lineRule="auto"/>
        <w:ind w:right="420" w:firstLine="480" w:firstLineChars="200"/>
        <w:rPr>
          <w:sz w:val="24"/>
          <w:highlight w:val="none"/>
        </w:rPr>
      </w:pPr>
      <w:r>
        <w:rPr>
          <w:sz w:val="24"/>
          <w:highlight w:val="none"/>
        </w:rPr>
        <w:t>2</w:t>
      </w:r>
      <w:r>
        <w:rPr>
          <w:rFonts w:hAnsi="宋体"/>
          <w:sz w:val="24"/>
          <w:highlight w:val="none"/>
        </w:rPr>
        <w:t>、合同合计金额包括货物价款，备件、专用工具、安装、调试、检验、技术培训及技术资料和包装、运输等全部费用。如</w:t>
      </w:r>
      <w:r>
        <w:rPr>
          <w:rFonts w:hint="eastAsia" w:hAnsi="宋体"/>
          <w:sz w:val="24"/>
          <w:highlight w:val="none"/>
          <w:lang w:val="en-US" w:eastAsia="zh-CN"/>
        </w:rPr>
        <w:t>磋商</w:t>
      </w:r>
      <w:r>
        <w:rPr>
          <w:rFonts w:hAnsi="宋体"/>
          <w:sz w:val="24"/>
          <w:highlight w:val="none"/>
        </w:rPr>
        <w:t>文件</w:t>
      </w:r>
      <w:r>
        <w:rPr>
          <w:rFonts w:hint="eastAsia" w:hAnsi="宋体"/>
          <w:sz w:val="24"/>
          <w:highlight w:val="none"/>
          <w:lang w:val="en-US" w:eastAsia="zh-CN"/>
        </w:rPr>
        <w:t>、</w:t>
      </w:r>
      <w:r>
        <w:rPr>
          <w:rFonts w:hint="eastAsia" w:hAnsi="宋体"/>
          <w:sz w:val="24"/>
          <w:highlight w:val="none"/>
          <w:lang w:eastAsia="zh-CN"/>
        </w:rPr>
        <w:t>响应</w:t>
      </w:r>
      <w:r>
        <w:rPr>
          <w:rFonts w:hAnsi="宋体"/>
          <w:sz w:val="24"/>
          <w:highlight w:val="none"/>
        </w:rPr>
        <w:t>文件对其另有规定的，从其规定。</w:t>
      </w:r>
    </w:p>
    <w:p>
      <w:pPr>
        <w:snapToGrid w:val="0"/>
        <w:spacing w:line="360" w:lineRule="auto"/>
        <w:ind w:firstLine="482" w:firstLineChars="200"/>
        <w:rPr>
          <w:sz w:val="24"/>
          <w:highlight w:val="none"/>
        </w:rPr>
      </w:pPr>
      <w:r>
        <w:rPr>
          <w:rFonts w:hAnsi="宋体"/>
          <w:b/>
          <w:sz w:val="24"/>
          <w:highlight w:val="none"/>
        </w:rPr>
        <w:t>第二条</w:t>
      </w:r>
      <w:r>
        <w:rPr>
          <w:rFonts w:hint="eastAsia" w:hAnsi="宋体"/>
          <w:b/>
          <w:sz w:val="24"/>
          <w:highlight w:val="none"/>
          <w:lang w:val="en-US" w:eastAsia="zh-CN"/>
        </w:rPr>
        <w:t xml:space="preserve">  </w:t>
      </w:r>
      <w:r>
        <w:rPr>
          <w:rFonts w:hAnsi="宋体"/>
          <w:b/>
          <w:sz w:val="24"/>
          <w:highlight w:val="none"/>
        </w:rPr>
        <w:t>质量保证</w:t>
      </w:r>
    </w:p>
    <w:p>
      <w:pPr>
        <w:snapToGrid w:val="0"/>
        <w:spacing w:line="360" w:lineRule="auto"/>
        <w:ind w:firstLine="480" w:firstLineChars="200"/>
        <w:rPr>
          <w:sz w:val="24"/>
          <w:highlight w:val="none"/>
        </w:rPr>
      </w:pPr>
      <w:r>
        <w:rPr>
          <w:sz w:val="24"/>
          <w:highlight w:val="none"/>
        </w:rPr>
        <w:t>1</w:t>
      </w:r>
      <w:r>
        <w:rPr>
          <w:rFonts w:hAnsi="宋体"/>
          <w:sz w:val="24"/>
          <w:highlight w:val="none"/>
        </w:rPr>
        <w:t>、乙方所提供的货物型号、技术规格、技术参数等质量必须与</w:t>
      </w:r>
      <w:r>
        <w:rPr>
          <w:rFonts w:hint="eastAsia" w:hAnsi="宋体"/>
          <w:sz w:val="24"/>
          <w:highlight w:val="none"/>
          <w:lang w:val="en-US" w:eastAsia="zh-CN"/>
        </w:rPr>
        <w:t>磋商</w:t>
      </w:r>
      <w:r>
        <w:rPr>
          <w:rFonts w:hAnsi="宋体"/>
          <w:sz w:val="24"/>
          <w:highlight w:val="none"/>
        </w:rPr>
        <w:t>文件</w:t>
      </w:r>
      <w:r>
        <w:rPr>
          <w:rFonts w:hint="eastAsia" w:hAnsi="宋体"/>
          <w:sz w:val="24"/>
          <w:highlight w:val="none"/>
          <w:lang w:val="en-US" w:eastAsia="zh-CN"/>
        </w:rPr>
        <w:t>、</w:t>
      </w:r>
      <w:r>
        <w:rPr>
          <w:rFonts w:hint="eastAsia" w:hAnsi="宋体"/>
          <w:sz w:val="24"/>
          <w:highlight w:val="none"/>
          <w:lang w:eastAsia="zh-CN"/>
        </w:rPr>
        <w:t>响应</w:t>
      </w:r>
      <w:r>
        <w:rPr>
          <w:rFonts w:hAnsi="宋体"/>
          <w:sz w:val="24"/>
          <w:highlight w:val="none"/>
        </w:rPr>
        <w:t>文件和承诺相一致。乙方提供的自主创新产品、节能和环保产品必须是列入</w:t>
      </w:r>
      <w:r>
        <w:rPr>
          <w:rFonts w:hint="eastAsia" w:hAnsi="宋体"/>
          <w:sz w:val="24"/>
          <w:highlight w:val="none"/>
        </w:rPr>
        <w:t>政府采购品目清单</w:t>
      </w:r>
      <w:r>
        <w:rPr>
          <w:rFonts w:hAnsi="宋体"/>
          <w:sz w:val="24"/>
          <w:highlight w:val="none"/>
        </w:rPr>
        <w:t>的产品。</w:t>
      </w:r>
    </w:p>
    <w:p>
      <w:pPr>
        <w:snapToGrid w:val="0"/>
        <w:spacing w:line="360" w:lineRule="auto"/>
        <w:ind w:firstLine="480" w:firstLineChars="200"/>
        <w:rPr>
          <w:sz w:val="24"/>
          <w:highlight w:val="none"/>
          <w:u w:val="single"/>
        </w:rPr>
      </w:pPr>
      <w:r>
        <w:rPr>
          <w:sz w:val="24"/>
          <w:highlight w:val="none"/>
        </w:rPr>
        <w:t>2</w:t>
      </w:r>
      <w:r>
        <w:rPr>
          <w:rFonts w:hAnsi="宋体"/>
          <w:sz w:val="24"/>
          <w:highlight w:val="none"/>
        </w:rPr>
        <w:t>、乙方所提供的货物必须是全新、未使用的原装产品，且在正常安装、使用和保养条件下，其使用寿命期内各项指标均达到质量要求。</w:t>
      </w:r>
    </w:p>
    <w:p>
      <w:pPr>
        <w:snapToGrid w:val="0"/>
        <w:spacing w:line="360" w:lineRule="auto"/>
        <w:ind w:firstLine="482" w:firstLineChars="200"/>
        <w:rPr>
          <w:sz w:val="24"/>
          <w:highlight w:val="none"/>
        </w:rPr>
      </w:pPr>
      <w:r>
        <w:rPr>
          <w:rFonts w:hAnsi="宋体"/>
          <w:b/>
          <w:sz w:val="24"/>
          <w:highlight w:val="none"/>
        </w:rPr>
        <w:t>第三条</w:t>
      </w:r>
      <w:r>
        <w:rPr>
          <w:rFonts w:hint="eastAsia" w:hAnsi="宋体"/>
          <w:b/>
          <w:sz w:val="24"/>
          <w:highlight w:val="none"/>
          <w:lang w:val="en-US" w:eastAsia="zh-CN"/>
        </w:rPr>
        <w:t xml:space="preserve">  </w:t>
      </w:r>
      <w:r>
        <w:rPr>
          <w:rFonts w:hAnsi="宋体"/>
          <w:b/>
          <w:sz w:val="24"/>
          <w:highlight w:val="none"/>
        </w:rPr>
        <w:t>权力保证</w:t>
      </w:r>
    </w:p>
    <w:p>
      <w:pPr>
        <w:snapToGrid w:val="0"/>
        <w:spacing w:line="360" w:lineRule="auto"/>
        <w:ind w:firstLine="480" w:firstLineChars="200"/>
        <w:rPr>
          <w:sz w:val="24"/>
          <w:highlight w:val="none"/>
        </w:rPr>
      </w:pPr>
      <w:r>
        <w:rPr>
          <w:rFonts w:hAnsi="宋体"/>
          <w:sz w:val="24"/>
          <w:highlight w:val="none"/>
        </w:rPr>
        <w:t>乙方应保证所提供货物在使用时不会侵犯任何第三方的专利权、商标权、工业设计权或其他权利。</w:t>
      </w:r>
    </w:p>
    <w:p>
      <w:pPr>
        <w:snapToGrid w:val="0"/>
        <w:spacing w:line="360" w:lineRule="auto"/>
        <w:ind w:firstLine="482" w:firstLineChars="200"/>
        <w:rPr>
          <w:b/>
          <w:sz w:val="24"/>
          <w:highlight w:val="none"/>
        </w:rPr>
      </w:pPr>
      <w:r>
        <w:rPr>
          <w:rFonts w:hAnsi="宋体"/>
          <w:b/>
          <w:sz w:val="24"/>
          <w:highlight w:val="none"/>
        </w:rPr>
        <w:t>第四条</w:t>
      </w:r>
      <w:r>
        <w:rPr>
          <w:rFonts w:hint="eastAsia" w:hAnsi="宋体"/>
          <w:b/>
          <w:sz w:val="24"/>
          <w:highlight w:val="none"/>
          <w:lang w:val="en-US" w:eastAsia="zh-CN"/>
        </w:rPr>
        <w:t xml:space="preserve">  </w:t>
      </w:r>
      <w:r>
        <w:rPr>
          <w:rFonts w:hAnsi="宋体"/>
          <w:b/>
          <w:sz w:val="24"/>
          <w:highlight w:val="none"/>
        </w:rPr>
        <w:t>包装和运输</w:t>
      </w:r>
    </w:p>
    <w:p>
      <w:pPr>
        <w:snapToGrid w:val="0"/>
        <w:spacing w:line="360" w:lineRule="auto"/>
        <w:ind w:firstLine="480" w:firstLineChars="200"/>
        <w:rPr>
          <w:sz w:val="24"/>
          <w:highlight w:val="none"/>
        </w:rPr>
      </w:pPr>
      <w:r>
        <w:rPr>
          <w:sz w:val="24"/>
          <w:highlight w:val="none"/>
        </w:rPr>
        <w:t>1</w:t>
      </w:r>
      <w:r>
        <w:rPr>
          <w:rFonts w:hAnsi="宋体"/>
          <w:sz w:val="24"/>
          <w:highlight w:val="none"/>
        </w:rPr>
        <w:t>、乙方提供的货物均应按</w:t>
      </w:r>
      <w:r>
        <w:rPr>
          <w:rFonts w:hint="eastAsia" w:hAnsi="宋体"/>
          <w:sz w:val="24"/>
          <w:highlight w:val="none"/>
          <w:lang w:val="en-US" w:eastAsia="zh-CN"/>
        </w:rPr>
        <w:t>磋商</w:t>
      </w:r>
      <w:r>
        <w:rPr>
          <w:rFonts w:hAnsi="宋体"/>
          <w:sz w:val="24"/>
          <w:highlight w:val="none"/>
        </w:rPr>
        <w:t>文件</w:t>
      </w:r>
      <w:r>
        <w:rPr>
          <w:rFonts w:hint="eastAsia" w:hAnsi="宋体"/>
          <w:sz w:val="24"/>
          <w:highlight w:val="none"/>
          <w:lang w:val="en-US" w:eastAsia="zh-CN"/>
        </w:rPr>
        <w:t>、响应</w:t>
      </w:r>
      <w:r>
        <w:rPr>
          <w:rFonts w:hAnsi="宋体"/>
          <w:sz w:val="24"/>
          <w:highlight w:val="none"/>
        </w:rPr>
        <w:t>文件要求的包装材料、包装标准、包装方式进行包装，每一包装单元内应附详细的装箱单和质量合格证。</w:t>
      </w:r>
    </w:p>
    <w:p>
      <w:pPr>
        <w:snapToGrid w:val="0"/>
        <w:spacing w:line="360" w:lineRule="auto"/>
        <w:ind w:firstLine="480" w:firstLineChars="200"/>
        <w:rPr>
          <w:sz w:val="24"/>
          <w:highlight w:val="none"/>
        </w:rPr>
      </w:pPr>
      <w:r>
        <w:rPr>
          <w:sz w:val="24"/>
          <w:highlight w:val="none"/>
        </w:rPr>
        <w:t>2</w:t>
      </w:r>
      <w:r>
        <w:rPr>
          <w:rFonts w:hAnsi="宋体"/>
          <w:sz w:val="24"/>
          <w:highlight w:val="none"/>
        </w:rPr>
        <w:t>、货物的运输方式：</w:t>
      </w:r>
      <w:bookmarkStart w:id="2" w:name="bookmark6"/>
      <w:r>
        <w:rPr>
          <w:rFonts w:hint="eastAsia"/>
          <w:sz w:val="24"/>
          <w:highlight w:val="none"/>
          <w:u w:val="single"/>
        </w:rPr>
        <w:t>汽运</w:t>
      </w:r>
      <w:bookmarkEnd w:id="2"/>
      <w:r>
        <w:rPr>
          <w:rFonts w:hAnsi="宋体"/>
          <w:sz w:val="24"/>
          <w:highlight w:val="none"/>
        </w:rPr>
        <w:t>。</w:t>
      </w:r>
    </w:p>
    <w:p>
      <w:pPr>
        <w:snapToGrid w:val="0"/>
        <w:spacing w:line="360" w:lineRule="auto"/>
        <w:ind w:firstLine="480" w:firstLineChars="200"/>
        <w:rPr>
          <w:sz w:val="24"/>
          <w:highlight w:val="none"/>
          <w:u w:val="single"/>
        </w:rPr>
      </w:pPr>
      <w:r>
        <w:rPr>
          <w:sz w:val="24"/>
          <w:highlight w:val="none"/>
        </w:rPr>
        <w:t>3</w:t>
      </w:r>
      <w:r>
        <w:rPr>
          <w:rFonts w:hAnsi="宋体"/>
          <w:sz w:val="24"/>
          <w:highlight w:val="none"/>
        </w:rPr>
        <w:t>、乙方负责货物运输，货物运输合理损耗及计算方法：</w:t>
      </w:r>
      <w:bookmarkStart w:id="3" w:name="bookmark7"/>
      <w:r>
        <w:rPr>
          <w:rFonts w:hint="eastAsia"/>
          <w:sz w:val="24"/>
          <w:highlight w:val="none"/>
          <w:u w:val="single"/>
        </w:rPr>
        <w:t>乙方全部承担</w:t>
      </w:r>
      <w:bookmarkEnd w:id="3"/>
      <w:r>
        <w:rPr>
          <w:rFonts w:hAnsi="宋体"/>
          <w:sz w:val="24"/>
          <w:highlight w:val="none"/>
        </w:rPr>
        <w:t>。</w:t>
      </w:r>
    </w:p>
    <w:p>
      <w:pPr>
        <w:snapToGrid w:val="0"/>
        <w:spacing w:line="360" w:lineRule="auto"/>
        <w:ind w:firstLine="482" w:firstLineChars="200"/>
        <w:rPr>
          <w:sz w:val="24"/>
          <w:highlight w:val="none"/>
        </w:rPr>
      </w:pPr>
      <w:r>
        <w:rPr>
          <w:rFonts w:hAnsi="宋体"/>
          <w:b/>
          <w:sz w:val="24"/>
          <w:highlight w:val="none"/>
        </w:rPr>
        <w:t>第五条</w:t>
      </w:r>
      <w:r>
        <w:rPr>
          <w:rFonts w:hint="eastAsia" w:hAnsi="宋体"/>
          <w:b/>
          <w:sz w:val="24"/>
          <w:highlight w:val="none"/>
          <w:lang w:val="en-US" w:eastAsia="zh-CN"/>
        </w:rPr>
        <w:t xml:space="preserve">  </w:t>
      </w:r>
      <w:r>
        <w:rPr>
          <w:rFonts w:hAnsi="宋体"/>
          <w:b/>
          <w:sz w:val="24"/>
          <w:highlight w:val="none"/>
        </w:rPr>
        <w:t>交付和验收</w:t>
      </w:r>
    </w:p>
    <w:p>
      <w:pPr>
        <w:snapToGrid w:val="0"/>
        <w:spacing w:line="360" w:lineRule="auto"/>
        <w:ind w:firstLine="480" w:firstLineChars="200"/>
        <w:rPr>
          <w:sz w:val="24"/>
          <w:highlight w:val="none"/>
        </w:rPr>
      </w:pPr>
      <w:r>
        <w:rPr>
          <w:sz w:val="24"/>
          <w:highlight w:val="none"/>
        </w:rPr>
        <w:t>1</w:t>
      </w:r>
      <w:r>
        <w:rPr>
          <w:rFonts w:hAnsi="宋体"/>
          <w:sz w:val="24"/>
          <w:highlight w:val="none"/>
        </w:rPr>
        <w:t>、交货时间：</w:t>
      </w:r>
      <w:r>
        <w:rPr>
          <w:rFonts w:hint="eastAsia"/>
          <w:sz w:val="24"/>
          <w:highlight w:val="none"/>
          <w:u w:val="single"/>
        </w:rPr>
        <w:t>合同签订后30个日历日内交货，45个日历日内完成系统安装调试</w:t>
      </w:r>
      <w:r>
        <w:rPr>
          <w:rFonts w:hint="eastAsia"/>
          <w:sz w:val="24"/>
          <w:highlight w:val="none"/>
          <w:u w:val="none"/>
          <w:lang w:eastAsia="zh-CN"/>
        </w:rPr>
        <w:t>、</w:t>
      </w:r>
      <w:r>
        <w:rPr>
          <w:rFonts w:hAnsi="宋体"/>
          <w:sz w:val="24"/>
          <w:highlight w:val="none"/>
        </w:rPr>
        <w:t>地点：</w:t>
      </w:r>
      <w:r>
        <w:rPr>
          <w:rFonts w:hint="eastAsia"/>
          <w:sz w:val="24"/>
          <w:highlight w:val="none"/>
          <w:u w:val="single"/>
          <w:lang w:eastAsia="zh-CN"/>
        </w:rPr>
        <w:t>黑龙江省公安厅机场公安局</w:t>
      </w:r>
      <w:r>
        <w:rPr>
          <w:rFonts w:hAnsi="宋体"/>
          <w:sz w:val="24"/>
          <w:highlight w:val="none"/>
        </w:rPr>
        <w:t>。</w:t>
      </w:r>
    </w:p>
    <w:p>
      <w:pPr>
        <w:snapToGrid w:val="0"/>
        <w:spacing w:line="360" w:lineRule="auto"/>
        <w:ind w:firstLine="480" w:firstLineChars="200"/>
        <w:rPr>
          <w:sz w:val="24"/>
          <w:highlight w:val="none"/>
        </w:rPr>
      </w:pPr>
      <w:r>
        <w:rPr>
          <w:sz w:val="24"/>
          <w:highlight w:val="none"/>
        </w:rPr>
        <w:t>2</w:t>
      </w:r>
      <w:r>
        <w:rPr>
          <w:rFonts w:hAnsi="宋体"/>
          <w:sz w:val="24"/>
          <w:highlight w:val="none"/>
        </w:rPr>
        <w:t>、乙方提供不符合</w:t>
      </w:r>
      <w:r>
        <w:rPr>
          <w:rFonts w:hint="eastAsia" w:hAnsi="宋体"/>
          <w:sz w:val="24"/>
          <w:highlight w:val="none"/>
          <w:lang w:val="en-US" w:eastAsia="zh-CN"/>
        </w:rPr>
        <w:t>磋商</w:t>
      </w:r>
      <w:r>
        <w:rPr>
          <w:rFonts w:hAnsi="宋体"/>
          <w:sz w:val="24"/>
          <w:highlight w:val="none"/>
        </w:rPr>
        <w:t>文件</w:t>
      </w:r>
      <w:r>
        <w:rPr>
          <w:rFonts w:hint="eastAsia" w:hAnsi="宋体"/>
          <w:sz w:val="24"/>
          <w:highlight w:val="none"/>
          <w:lang w:val="en-US" w:eastAsia="zh-CN"/>
        </w:rPr>
        <w:t>、响应</w:t>
      </w:r>
      <w:r>
        <w:rPr>
          <w:rFonts w:hAnsi="宋体"/>
          <w:sz w:val="24"/>
          <w:highlight w:val="none"/>
        </w:rPr>
        <w:t>文件和本合同规定的货物，甲方有权拒绝接受。</w:t>
      </w:r>
    </w:p>
    <w:p>
      <w:pPr>
        <w:snapToGrid w:val="0"/>
        <w:spacing w:line="360" w:lineRule="auto"/>
        <w:ind w:firstLine="480" w:firstLineChars="200"/>
        <w:rPr>
          <w:sz w:val="24"/>
          <w:highlight w:val="none"/>
        </w:rPr>
      </w:pPr>
      <w:r>
        <w:rPr>
          <w:sz w:val="24"/>
          <w:highlight w:val="none"/>
        </w:rPr>
        <w:t>3</w:t>
      </w:r>
      <w:r>
        <w:rPr>
          <w:rFonts w:hAnsi="宋体"/>
          <w:sz w:val="24"/>
          <w:highlight w:val="none"/>
        </w:rPr>
        <w:t>、乙方应将所提供货物的装箱清单、用户手册、原厂保修卡、随机资料、工具和备品、备件等交付给甲方，如有缺失应及时补齐，否则视为逾期交货。</w:t>
      </w:r>
    </w:p>
    <w:p>
      <w:pPr>
        <w:snapToGrid w:val="0"/>
        <w:spacing w:line="360" w:lineRule="auto"/>
        <w:ind w:firstLine="480" w:firstLineChars="200"/>
        <w:rPr>
          <w:rFonts w:hAnsi="宋体"/>
          <w:sz w:val="24"/>
          <w:highlight w:val="none"/>
        </w:rPr>
      </w:pPr>
      <w:r>
        <w:rPr>
          <w:sz w:val="24"/>
          <w:highlight w:val="none"/>
        </w:rPr>
        <w:t>4</w:t>
      </w:r>
      <w:r>
        <w:rPr>
          <w:rFonts w:hAnsi="宋体"/>
          <w:sz w:val="24"/>
          <w:highlight w:val="none"/>
        </w:rPr>
        <w:t>、甲方应当在到货（安装、调试完）后</w:t>
      </w:r>
      <w:r>
        <w:rPr>
          <w:sz w:val="24"/>
          <w:highlight w:val="none"/>
        </w:rPr>
        <w:t>7</w:t>
      </w:r>
      <w:r>
        <w:rPr>
          <w:rFonts w:hAnsi="宋体"/>
          <w:sz w:val="24"/>
          <w:highlight w:val="none"/>
        </w:rPr>
        <w:t>个工作日内进行验收。验收合格后由甲乙双方签署货物验收单并加盖采购单位公章，甲乙双方各执一份。</w:t>
      </w:r>
    </w:p>
    <w:p>
      <w:pPr>
        <w:snapToGrid w:val="0"/>
        <w:spacing w:line="360" w:lineRule="auto"/>
        <w:ind w:firstLine="480" w:firstLineChars="200"/>
        <w:rPr>
          <w:sz w:val="24"/>
          <w:highlight w:val="none"/>
        </w:rPr>
      </w:pPr>
      <w:r>
        <w:rPr>
          <w:rFonts w:hint="eastAsia"/>
          <w:sz w:val="24"/>
          <w:highlight w:val="none"/>
        </w:rPr>
        <w:t>5</w:t>
      </w:r>
      <w:r>
        <w:rPr>
          <w:rFonts w:hAnsi="宋体"/>
          <w:sz w:val="24"/>
          <w:highlight w:val="none"/>
        </w:rPr>
        <w:t>、</w:t>
      </w:r>
      <w:r>
        <w:rPr>
          <w:rFonts w:hint="eastAsia" w:hAnsi="宋体"/>
          <w:sz w:val="24"/>
          <w:highlight w:val="none"/>
        </w:rPr>
        <w:t>甲方对验收有异议的，在验收后5个工作日内以书面形式向乙方提出，乙方应自收到甲方书面异议后5日内及时予以解决。</w:t>
      </w:r>
    </w:p>
    <w:p>
      <w:pPr>
        <w:snapToGrid w:val="0"/>
        <w:spacing w:line="360" w:lineRule="auto"/>
        <w:ind w:firstLine="480" w:firstLineChars="200"/>
        <w:rPr>
          <w:sz w:val="24"/>
          <w:highlight w:val="none"/>
        </w:rPr>
      </w:pPr>
      <w:r>
        <w:rPr>
          <w:rFonts w:hint="eastAsia"/>
          <w:sz w:val="24"/>
          <w:highlight w:val="none"/>
        </w:rPr>
        <w:t>6</w:t>
      </w:r>
      <w:r>
        <w:rPr>
          <w:rFonts w:hAnsi="宋体"/>
          <w:sz w:val="24"/>
          <w:highlight w:val="none"/>
        </w:rPr>
        <w:t>、</w:t>
      </w:r>
      <w:r>
        <w:rPr>
          <w:rFonts w:hint="eastAsia" w:hAnsi="宋体"/>
          <w:sz w:val="24"/>
          <w:highlight w:val="none"/>
          <w:lang w:val="en-US" w:eastAsia="zh-CN"/>
        </w:rPr>
        <w:t>验收要求：</w:t>
      </w:r>
      <w:r>
        <w:rPr>
          <w:rFonts w:hint="eastAsia" w:hAnsi="宋体"/>
          <w:sz w:val="24"/>
          <w:highlight w:val="none"/>
        </w:rPr>
        <w:t>1、货物交货后，货物的品牌、型号、数量与订单要求相符。2、货物开箱时外观完好，无破损。3、配置与装箱单相符，数量、质量及性能不低于</w:t>
      </w:r>
      <w:r>
        <w:rPr>
          <w:rFonts w:hint="eastAsia" w:hAnsi="宋体"/>
          <w:sz w:val="24"/>
          <w:highlight w:val="none"/>
          <w:lang w:eastAsia="zh-CN"/>
        </w:rPr>
        <w:t>磋商</w:t>
      </w:r>
      <w:r>
        <w:rPr>
          <w:rFonts w:hint="eastAsia" w:hAnsi="宋体"/>
          <w:sz w:val="24"/>
          <w:highlight w:val="none"/>
        </w:rPr>
        <w:t>文件中提出的要求。4、相关产品资料提供齐全，包括产品使用手册、培训文档、“合同”或“验收标准”规定的相关文档及材料。</w:t>
      </w:r>
    </w:p>
    <w:p>
      <w:pPr>
        <w:snapToGrid w:val="0"/>
        <w:spacing w:line="360" w:lineRule="auto"/>
        <w:ind w:firstLine="482" w:firstLineChars="200"/>
        <w:rPr>
          <w:b/>
          <w:sz w:val="24"/>
          <w:highlight w:val="none"/>
        </w:rPr>
      </w:pPr>
      <w:r>
        <w:rPr>
          <w:rFonts w:hAnsi="宋体"/>
          <w:b/>
          <w:sz w:val="24"/>
          <w:highlight w:val="none"/>
        </w:rPr>
        <w:t>第六条</w:t>
      </w:r>
      <w:r>
        <w:rPr>
          <w:rFonts w:hint="eastAsia" w:hAnsi="宋体"/>
          <w:b/>
          <w:sz w:val="24"/>
          <w:highlight w:val="none"/>
          <w:lang w:val="en-US" w:eastAsia="zh-CN"/>
        </w:rPr>
        <w:t xml:space="preserve">  </w:t>
      </w:r>
      <w:r>
        <w:rPr>
          <w:rFonts w:hAnsi="宋体"/>
          <w:b/>
          <w:sz w:val="24"/>
          <w:highlight w:val="none"/>
        </w:rPr>
        <w:t>安装和培训</w:t>
      </w:r>
    </w:p>
    <w:p>
      <w:pPr>
        <w:snapToGrid w:val="0"/>
        <w:spacing w:line="360" w:lineRule="auto"/>
        <w:ind w:firstLine="480" w:firstLineChars="200"/>
        <w:rPr>
          <w:sz w:val="24"/>
          <w:highlight w:val="none"/>
        </w:rPr>
      </w:pPr>
      <w:r>
        <w:rPr>
          <w:sz w:val="24"/>
          <w:highlight w:val="none"/>
        </w:rPr>
        <w:t>1</w:t>
      </w:r>
      <w:r>
        <w:rPr>
          <w:rFonts w:hAnsi="宋体"/>
          <w:sz w:val="24"/>
          <w:highlight w:val="none"/>
        </w:rPr>
        <w:t>、甲方应提供必要安装条件（如场地、电源、水源等）。</w:t>
      </w:r>
    </w:p>
    <w:p>
      <w:pPr>
        <w:snapToGrid w:val="0"/>
        <w:spacing w:line="360" w:lineRule="auto"/>
        <w:ind w:firstLine="480" w:firstLineChars="200"/>
        <w:rPr>
          <w:sz w:val="24"/>
          <w:highlight w:val="none"/>
          <w:u w:val="single"/>
        </w:rPr>
      </w:pPr>
      <w:r>
        <w:rPr>
          <w:sz w:val="24"/>
          <w:highlight w:val="none"/>
        </w:rPr>
        <w:t>2</w:t>
      </w:r>
      <w:r>
        <w:rPr>
          <w:rFonts w:hAnsi="宋体"/>
          <w:sz w:val="24"/>
          <w:highlight w:val="none"/>
        </w:rPr>
        <w:t>、乙方负责甲方有关人员的培训。培训时间、地点：</w:t>
      </w:r>
      <w:r>
        <w:rPr>
          <w:rFonts w:hint="eastAsia"/>
          <w:sz w:val="24"/>
          <w:highlight w:val="none"/>
          <w:u w:val="single"/>
          <w:lang w:val="en-US" w:eastAsia="zh-CN"/>
        </w:rPr>
        <w:t>质保期内每半年组织现场培训和交流、甲方指定地点，具体内容详见附件4</w:t>
      </w:r>
      <w:r>
        <w:rPr>
          <w:rFonts w:hAnsi="宋体"/>
          <w:sz w:val="24"/>
          <w:highlight w:val="none"/>
        </w:rPr>
        <w:t>。</w:t>
      </w:r>
    </w:p>
    <w:p>
      <w:pPr>
        <w:snapToGrid w:val="0"/>
        <w:spacing w:line="360" w:lineRule="auto"/>
        <w:ind w:firstLine="482" w:firstLineChars="200"/>
        <w:rPr>
          <w:b/>
          <w:sz w:val="24"/>
          <w:highlight w:val="none"/>
        </w:rPr>
      </w:pPr>
      <w:r>
        <w:rPr>
          <w:rFonts w:hAnsi="宋体"/>
          <w:b/>
          <w:sz w:val="24"/>
          <w:highlight w:val="none"/>
        </w:rPr>
        <w:t>第七条售后服务</w:t>
      </w:r>
    </w:p>
    <w:p>
      <w:pPr>
        <w:snapToGrid w:val="0"/>
        <w:spacing w:line="360" w:lineRule="auto"/>
        <w:ind w:firstLine="480" w:firstLineChars="200"/>
        <w:rPr>
          <w:sz w:val="24"/>
          <w:highlight w:val="none"/>
        </w:rPr>
      </w:pPr>
      <w:r>
        <w:rPr>
          <w:sz w:val="24"/>
          <w:highlight w:val="none"/>
        </w:rPr>
        <w:t>1</w:t>
      </w:r>
      <w:r>
        <w:rPr>
          <w:rFonts w:hAnsi="宋体"/>
          <w:sz w:val="24"/>
          <w:highlight w:val="none"/>
        </w:rPr>
        <w:t>、乙方应按照国家有关法律法规和</w:t>
      </w:r>
      <w:r>
        <w:rPr>
          <w:sz w:val="24"/>
          <w:highlight w:val="none"/>
        </w:rPr>
        <w:t>“</w:t>
      </w:r>
      <w:r>
        <w:rPr>
          <w:rFonts w:hAnsi="宋体"/>
          <w:sz w:val="24"/>
          <w:highlight w:val="none"/>
        </w:rPr>
        <w:t>三包</w:t>
      </w:r>
      <w:r>
        <w:rPr>
          <w:sz w:val="24"/>
          <w:highlight w:val="none"/>
        </w:rPr>
        <w:t>”</w:t>
      </w:r>
      <w:r>
        <w:rPr>
          <w:rFonts w:hAnsi="宋体"/>
          <w:sz w:val="24"/>
          <w:highlight w:val="none"/>
        </w:rPr>
        <w:t>规定以及</w:t>
      </w:r>
      <w:r>
        <w:rPr>
          <w:rFonts w:hint="eastAsia" w:hAnsi="宋体"/>
          <w:sz w:val="24"/>
          <w:highlight w:val="none"/>
          <w:lang w:val="en-US" w:eastAsia="zh-CN"/>
        </w:rPr>
        <w:t>磋商</w:t>
      </w:r>
      <w:r>
        <w:rPr>
          <w:rFonts w:hAnsi="宋体"/>
          <w:sz w:val="24"/>
          <w:highlight w:val="none"/>
        </w:rPr>
        <w:t>文件</w:t>
      </w:r>
      <w:r>
        <w:rPr>
          <w:rFonts w:hint="eastAsia" w:hAnsi="宋体"/>
          <w:sz w:val="24"/>
          <w:highlight w:val="none"/>
          <w:lang w:val="en-US" w:eastAsia="zh-CN"/>
        </w:rPr>
        <w:t>、响应</w:t>
      </w:r>
      <w:r>
        <w:rPr>
          <w:rFonts w:hAnsi="宋体"/>
          <w:sz w:val="24"/>
          <w:highlight w:val="none"/>
        </w:rPr>
        <w:t>文件和本合同所附的《服务承诺》，为甲方提供售后服务。</w:t>
      </w:r>
    </w:p>
    <w:p>
      <w:pPr>
        <w:snapToGrid w:val="0"/>
        <w:spacing w:line="360" w:lineRule="auto"/>
        <w:ind w:firstLine="480" w:firstLineChars="200"/>
        <w:rPr>
          <w:sz w:val="24"/>
          <w:highlight w:val="none"/>
          <w:u w:val="single"/>
        </w:rPr>
      </w:pPr>
      <w:r>
        <w:rPr>
          <w:sz w:val="24"/>
          <w:highlight w:val="none"/>
        </w:rPr>
        <w:t>2</w:t>
      </w:r>
      <w:r>
        <w:rPr>
          <w:rFonts w:hAnsi="宋体"/>
          <w:sz w:val="24"/>
          <w:highlight w:val="none"/>
        </w:rPr>
        <w:t>、货物保修起止时间：</w:t>
      </w:r>
      <w:bookmarkStart w:id="4" w:name="bookmark12"/>
      <w:r>
        <w:rPr>
          <w:rFonts w:hint="eastAsia"/>
          <w:sz w:val="24"/>
          <w:highlight w:val="none"/>
          <w:u w:val="single"/>
        </w:rPr>
        <w:t>验收合格之日起</w:t>
      </w:r>
      <w:bookmarkEnd w:id="4"/>
      <w:r>
        <w:rPr>
          <w:rFonts w:hint="eastAsia"/>
          <w:sz w:val="24"/>
          <w:highlight w:val="none"/>
          <w:u w:val="single"/>
          <w:lang w:val="en-US" w:eastAsia="zh-CN"/>
        </w:rPr>
        <w:t>三年（提供1年内非人为原因设备重大故障换新服务）</w:t>
      </w:r>
      <w:r>
        <w:rPr>
          <w:rFonts w:hAnsi="宋体"/>
          <w:sz w:val="24"/>
          <w:highlight w:val="none"/>
        </w:rPr>
        <w:t>。</w:t>
      </w:r>
    </w:p>
    <w:p>
      <w:pPr>
        <w:snapToGrid w:val="0"/>
        <w:spacing w:line="360" w:lineRule="auto"/>
        <w:ind w:firstLine="480" w:firstLineChars="200"/>
        <w:rPr>
          <w:sz w:val="24"/>
          <w:highlight w:val="none"/>
          <w:u w:val="single"/>
        </w:rPr>
      </w:pPr>
      <w:r>
        <w:rPr>
          <w:sz w:val="24"/>
          <w:highlight w:val="none"/>
        </w:rPr>
        <w:t>3</w:t>
      </w:r>
      <w:r>
        <w:rPr>
          <w:rFonts w:hAnsi="宋体"/>
          <w:sz w:val="24"/>
          <w:highlight w:val="none"/>
        </w:rPr>
        <w:t>、乙方提供的服务承诺和售后服务及保修期责任等其它具体约定事项。（见合同附件）</w:t>
      </w:r>
    </w:p>
    <w:p>
      <w:pPr>
        <w:snapToGrid w:val="0"/>
        <w:spacing w:line="360" w:lineRule="auto"/>
        <w:ind w:firstLine="482" w:firstLineChars="200"/>
        <w:rPr>
          <w:sz w:val="24"/>
          <w:highlight w:val="none"/>
        </w:rPr>
      </w:pPr>
      <w:r>
        <w:rPr>
          <w:rFonts w:hAnsi="宋体"/>
          <w:b/>
          <w:sz w:val="24"/>
          <w:highlight w:val="none"/>
        </w:rPr>
        <w:t>第八条</w:t>
      </w:r>
      <w:r>
        <w:rPr>
          <w:rFonts w:hint="eastAsia" w:hAnsi="宋体"/>
          <w:b/>
          <w:sz w:val="24"/>
          <w:highlight w:val="none"/>
          <w:lang w:val="en-US" w:eastAsia="zh-CN"/>
        </w:rPr>
        <w:t xml:space="preserve">  </w:t>
      </w:r>
      <w:r>
        <w:rPr>
          <w:rFonts w:hAnsi="宋体"/>
          <w:b/>
          <w:sz w:val="24"/>
          <w:highlight w:val="none"/>
        </w:rPr>
        <w:t>付款方式和期限</w:t>
      </w:r>
    </w:p>
    <w:p>
      <w:pPr>
        <w:snapToGrid w:val="0"/>
        <w:spacing w:line="360" w:lineRule="auto"/>
        <w:ind w:firstLine="480" w:firstLineChars="200"/>
        <w:rPr>
          <w:sz w:val="24"/>
          <w:highlight w:val="none"/>
          <w:u w:val="single"/>
        </w:rPr>
      </w:pPr>
      <w:r>
        <w:rPr>
          <w:sz w:val="24"/>
          <w:highlight w:val="none"/>
        </w:rPr>
        <w:t>1</w:t>
      </w:r>
      <w:r>
        <w:rPr>
          <w:rFonts w:hAnsi="宋体"/>
          <w:sz w:val="24"/>
          <w:highlight w:val="none"/>
        </w:rPr>
        <w:t>、资金性质：</w:t>
      </w:r>
      <w:bookmarkStart w:id="5" w:name="bookmark13"/>
      <w:r>
        <w:rPr>
          <w:rFonts w:hint="eastAsia"/>
          <w:sz w:val="24"/>
          <w:highlight w:val="none"/>
          <w:u w:val="single"/>
        </w:rPr>
        <w:t>财政性资金</w:t>
      </w:r>
      <w:bookmarkEnd w:id="5"/>
      <w:r>
        <w:rPr>
          <w:rFonts w:hAnsi="宋体"/>
          <w:sz w:val="24"/>
          <w:highlight w:val="none"/>
        </w:rPr>
        <w:t>。</w:t>
      </w:r>
    </w:p>
    <w:p>
      <w:pPr>
        <w:snapToGrid w:val="0"/>
        <w:spacing w:line="360" w:lineRule="auto"/>
        <w:ind w:right="33" w:firstLine="480" w:firstLineChars="200"/>
        <w:rPr>
          <w:sz w:val="24"/>
          <w:highlight w:val="none"/>
        </w:rPr>
      </w:pPr>
      <w:r>
        <w:rPr>
          <w:sz w:val="24"/>
          <w:highlight w:val="none"/>
        </w:rPr>
        <w:t>2</w:t>
      </w:r>
      <w:r>
        <w:rPr>
          <w:rFonts w:hAnsi="宋体"/>
          <w:sz w:val="24"/>
          <w:highlight w:val="none"/>
        </w:rPr>
        <w:t>、付款方式：</w:t>
      </w:r>
      <w:r>
        <w:rPr>
          <w:rFonts w:hint="eastAsia" w:hAnsi="宋体"/>
          <w:sz w:val="24"/>
          <w:highlight w:val="none"/>
          <w:u w:val="single"/>
        </w:rPr>
        <w:t>1期：支付比例70%</w:t>
      </w:r>
      <w:r>
        <w:rPr>
          <w:rFonts w:hint="eastAsia" w:hAnsi="宋体"/>
          <w:sz w:val="24"/>
          <w:highlight w:val="none"/>
          <w:u w:val="single"/>
          <w:lang w:eastAsia="zh-CN"/>
        </w:rPr>
        <w:t>（</w:t>
      </w:r>
      <w:r>
        <w:rPr>
          <w:rFonts w:hint="eastAsia" w:hAnsi="宋体"/>
          <w:sz w:val="24"/>
          <w:highlight w:val="none"/>
          <w:u w:val="single"/>
          <w:lang w:val="en-US" w:eastAsia="zh-CN"/>
        </w:rPr>
        <w:t>壹佰肆拾捌万柒仟伍佰元整、</w:t>
      </w:r>
      <w:r>
        <w:rPr>
          <w:rFonts w:hint="eastAsia" w:hAnsi="宋体"/>
          <w:sz w:val="24"/>
          <w:highlight w:val="none"/>
          <w:u w:val="single"/>
          <w:lang w:eastAsia="zh-CN"/>
        </w:rPr>
        <w:t>1487500</w:t>
      </w:r>
      <w:r>
        <w:rPr>
          <w:rFonts w:hint="eastAsia" w:hAnsi="宋体"/>
          <w:sz w:val="24"/>
          <w:highlight w:val="none"/>
          <w:u w:val="single"/>
          <w:lang w:val="en-US" w:eastAsia="zh-CN"/>
        </w:rPr>
        <w:t>元</w:t>
      </w:r>
      <w:r>
        <w:rPr>
          <w:rFonts w:hint="eastAsia" w:hAnsi="宋体"/>
          <w:sz w:val="24"/>
          <w:highlight w:val="none"/>
          <w:u w:val="single"/>
          <w:lang w:eastAsia="zh-CN"/>
        </w:rPr>
        <w:t>）</w:t>
      </w:r>
      <w:r>
        <w:rPr>
          <w:rFonts w:hint="eastAsia" w:hAnsi="宋体"/>
          <w:sz w:val="24"/>
          <w:highlight w:val="none"/>
          <w:u w:val="single"/>
        </w:rPr>
        <w:t>，</w:t>
      </w:r>
      <w:r>
        <w:rPr>
          <w:rFonts w:hint="eastAsia" w:hAnsi="宋体"/>
          <w:sz w:val="24"/>
          <w:highlight w:val="none"/>
          <w:u w:val="single"/>
          <w:lang w:eastAsia="zh-CN"/>
        </w:rPr>
        <w:t>签订合同后，</w:t>
      </w:r>
      <w:r>
        <w:rPr>
          <w:rFonts w:hint="eastAsia" w:hAnsi="宋体"/>
          <w:sz w:val="24"/>
          <w:highlight w:val="none"/>
          <w:u w:val="single"/>
          <w:lang w:val="en-US" w:eastAsia="zh-CN"/>
        </w:rPr>
        <w:t>30</w:t>
      </w:r>
      <w:r>
        <w:rPr>
          <w:rFonts w:hint="eastAsia" w:hAnsi="宋体"/>
          <w:sz w:val="24"/>
          <w:highlight w:val="none"/>
          <w:u w:val="single"/>
          <w:lang w:eastAsia="zh-CN"/>
        </w:rPr>
        <w:t>个日历日支付。</w:t>
      </w:r>
      <w:r>
        <w:rPr>
          <w:rFonts w:hint="eastAsia" w:hAnsi="宋体"/>
          <w:sz w:val="24"/>
          <w:highlight w:val="none"/>
          <w:u w:val="single"/>
          <w:lang w:val="en-US" w:eastAsia="zh-CN"/>
        </w:rPr>
        <w:t>验收合格后，30个日历日</w:t>
      </w:r>
      <w:r>
        <w:rPr>
          <w:rFonts w:hint="eastAsia" w:hAnsi="宋体"/>
          <w:sz w:val="24"/>
          <w:highlight w:val="none"/>
          <w:u w:val="single"/>
        </w:rPr>
        <w:t>支付剩余金额2期：支付比例30%</w:t>
      </w:r>
      <w:r>
        <w:rPr>
          <w:rFonts w:hint="eastAsia" w:hAnsi="宋体"/>
          <w:sz w:val="24"/>
          <w:highlight w:val="none"/>
          <w:u w:val="single"/>
          <w:lang w:eastAsia="zh-CN"/>
        </w:rPr>
        <w:t>（</w:t>
      </w:r>
      <w:r>
        <w:rPr>
          <w:rFonts w:hint="eastAsia" w:hAnsi="宋体"/>
          <w:sz w:val="24"/>
          <w:highlight w:val="none"/>
          <w:u w:val="single"/>
          <w:lang w:val="en-US" w:eastAsia="zh-CN"/>
        </w:rPr>
        <w:t>陆拾叁万柒仟伍佰元整，637500元</w:t>
      </w:r>
      <w:r>
        <w:rPr>
          <w:rFonts w:hint="eastAsia" w:hAnsi="宋体"/>
          <w:sz w:val="24"/>
          <w:highlight w:val="none"/>
          <w:u w:val="single"/>
          <w:lang w:eastAsia="zh-CN"/>
        </w:rPr>
        <w:t>）</w:t>
      </w:r>
      <w:r>
        <w:rPr>
          <w:rFonts w:hint="eastAsia" w:hAnsi="宋体"/>
          <w:sz w:val="24"/>
          <w:highlight w:val="none"/>
        </w:rPr>
        <w:t xml:space="preserve">。 </w:t>
      </w:r>
      <w:r>
        <w:rPr>
          <w:rFonts w:hAnsi="宋体"/>
          <w:sz w:val="24"/>
          <w:highlight w:val="none"/>
        </w:rPr>
        <w:t>财政性资金按财政国库集中支付规定程序办理；付款期限为甲方对货物验收合格后</w:t>
      </w:r>
      <w:r>
        <w:rPr>
          <w:rFonts w:hint="eastAsia" w:hAnsi="宋体"/>
          <w:sz w:val="24"/>
          <w:highlight w:val="none"/>
          <w:lang w:val="en-US" w:eastAsia="zh-CN"/>
        </w:rPr>
        <w:t>15</w:t>
      </w:r>
      <w:r>
        <w:rPr>
          <w:rFonts w:hAnsi="宋体"/>
          <w:sz w:val="24"/>
          <w:highlight w:val="none"/>
        </w:rPr>
        <w:t>个</w:t>
      </w:r>
      <w:r>
        <w:rPr>
          <w:rFonts w:hint="eastAsia" w:hAnsi="宋体"/>
          <w:sz w:val="24"/>
          <w:highlight w:val="none"/>
          <w:lang w:val="en-US" w:eastAsia="zh-CN"/>
        </w:rPr>
        <w:t>日历日</w:t>
      </w:r>
      <w:r>
        <w:rPr>
          <w:rFonts w:hint="eastAsia" w:hAnsi="宋体"/>
          <w:sz w:val="24"/>
          <w:highlight w:val="none"/>
        </w:rPr>
        <w:t>履行财政国库集中支付程序</w:t>
      </w:r>
      <w:r>
        <w:rPr>
          <w:rFonts w:hAnsi="宋体"/>
          <w:sz w:val="24"/>
          <w:highlight w:val="none"/>
        </w:rPr>
        <w:t>。</w:t>
      </w:r>
    </w:p>
    <w:p>
      <w:pPr>
        <w:snapToGrid w:val="0"/>
        <w:spacing w:line="360" w:lineRule="auto"/>
        <w:ind w:left="-93" w:leftChars="-29" w:firstLine="590" w:firstLineChars="245"/>
        <w:rPr>
          <w:b/>
          <w:sz w:val="24"/>
          <w:highlight w:val="none"/>
        </w:rPr>
      </w:pPr>
      <w:r>
        <w:rPr>
          <w:rFonts w:hAnsi="宋体"/>
          <w:b/>
          <w:sz w:val="24"/>
          <w:highlight w:val="none"/>
        </w:rPr>
        <w:t>第九条</w:t>
      </w:r>
      <w:r>
        <w:rPr>
          <w:rFonts w:hint="eastAsia" w:hAnsi="宋体"/>
          <w:b/>
          <w:sz w:val="24"/>
          <w:highlight w:val="none"/>
          <w:lang w:val="en-US" w:eastAsia="zh-CN"/>
        </w:rPr>
        <w:t xml:space="preserve">  </w:t>
      </w:r>
      <w:r>
        <w:rPr>
          <w:rFonts w:hAnsi="宋体"/>
          <w:b/>
          <w:sz w:val="24"/>
          <w:highlight w:val="none"/>
        </w:rPr>
        <w:t>履约保证金</w:t>
      </w:r>
    </w:p>
    <w:p>
      <w:pPr>
        <w:snapToGrid w:val="0"/>
        <w:spacing w:line="360" w:lineRule="auto"/>
        <w:ind w:left="-93" w:leftChars="-29" w:firstLine="588" w:firstLineChars="245"/>
        <w:rPr>
          <w:rFonts w:hint="default" w:eastAsia="宋体"/>
          <w:sz w:val="24"/>
          <w:highlight w:val="none"/>
          <w:lang w:val="en-US" w:eastAsia="zh-CN"/>
        </w:rPr>
      </w:pPr>
      <w:r>
        <w:rPr>
          <w:sz w:val="24"/>
          <w:highlight w:val="none"/>
        </w:rPr>
        <w:t>1</w:t>
      </w:r>
      <w:r>
        <w:rPr>
          <w:rFonts w:hAnsi="宋体"/>
          <w:sz w:val="24"/>
          <w:highlight w:val="none"/>
        </w:rPr>
        <w:t>、</w:t>
      </w:r>
      <w:r>
        <w:rPr>
          <w:rFonts w:hint="eastAsia" w:hAnsi="宋体"/>
          <w:sz w:val="24"/>
          <w:highlight w:val="none"/>
          <w:lang w:val="en-US" w:eastAsia="zh-CN"/>
        </w:rPr>
        <w:t>本项目合同按照磋商文件要求履行，无履约保证金。</w:t>
      </w:r>
    </w:p>
    <w:p>
      <w:pPr>
        <w:snapToGrid w:val="0"/>
        <w:spacing w:line="360" w:lineRule="auto"/>
        <w:ind w:firstLine="482" w:firstLineChars="200"/>
        <w:rPr>
          <w:b/>
          <w:sz w:val="24"/>
          <w:highlight w:val="none"/>
        </w:rPr>
      </w:pPr>
      <w:r>
        <w:rPr>
          <w:rFonts w:hAnsi="宋体"/>
          <w:b/>
          <w:sz w:val="24"/>
          <w:highlight w:val="none"/>
        </w:rPr>
        <w:t>第十条</w:t>
      </w:r>
      <w:r>
        <w:rPr>
          <w:rFonts w:hint="eastAsia" w:hAnsi="宋体"/>
          <w:b/>
          <w:sz w:val="24"/>
          <w:highlight w:val="none"/>
          <w:lang w:val="en-US" w:eastAsia="zh-CN"/>
        </w:rPr>
        <w:t xml:space="preserve">  </w:t>
      </w:r>
      <w:r>
        <w:rPr>
          <w:rFonts w:hAnsi="宋体"/>
          <w:b/>
          <w:sz w:val="24"/>
          <w:highlight w:val="none"/>
        </w:rPr>
        <w:t>合同的变更、终止与转让</w:t>
      </w:r>
    </w:p>
    <w:p>
      <w:pPr>
        <w:snapToGrid w:val="0"/>
        <w:spacing w:line="360" w:lineRule="auto"/>
        <w:ind w:firstLine="480" w:firstLineChars="200"/>
        <w:rPr>
          <w:sz w:val="24"/>
          <w:highlight w:val="none"/>
        </w:rPr>
      </w:pPr>
      <w:r>
        <w:rPr>
          <w:sz w:val="24"/>
          <w:highlight w:val="none"/>
        </w:rPr>
        <w:t>1</w:t>
      </w:r>
      <w:r>
        <w:rPr>
          <w:rFonts w:hAnsi="宋体"/>
          <w:sz w:val="24"/>
          <w:highlight w:val="none"/>
        </w:rPr>
        <w:t>、除《中华人民共和国政府采购法》第</w:t>
      </w:r>
      <w:r>
        <w:rPr>
          <w:sz w:val="24"/>
          <w:highlight w:val="none"/>
        </w:rPr>
        <w:t>50</w:t>
      </w:r>
      <w:r>
        <w:rPr>
          <w:rFonts w:hAnsi="宋体"/>
          <w:sz w:val="24"/>
          <w:highlight w:val="none"/>
        </w:rPr>
        <w:t>条规定的情形外，本合同一经签订，甲乙双方不得擅自变更、中止或终止。</w:t>
      </w:r>
    </w:p>
    <w:p>
      <w:pPr>
        <w:snapToGrid w:val="0"/>
        <w:spacing w:line="360" w:lineRule="auto"/>
        <w:ind w:left="560"/>
        <w:rPr>
          <w:sz w:val="24"/>
          <w:highlight w:val="none"/>
        </w:rPr>
      </w:pPr>
      <w:r>
        <w:rPr>
          <w:sz w:val="24"/>
          <w:highlight w:val="none"/>
        </w:rPr>
        <w:t>2</w:t>
      </w:r>
      <w:r>
        <w:rPr>
          <w:rFonts w:hAnsi="宋体"/>
          <w:sz w:val="24"/>
          <w:highlight w:val="none"/>
        </w:rPr>
        <w:t>、乙方不得擅自转让（无进口资格的供应商委托进口货物除外）其应履行的合同义务。</w:t>
      </w:r>
    </w:p>
    <w:p>
      <w:pPr>
        <w:snapToGrid w:val="0"/>
        <w:spacing w:line="360" w:lineRule="auto"/>
        <w:ind w:firstLine="482" w:firstLineChars="200"/>
        <w:rPr>
          <w:sz w:val="24"/>
          <w:highlight w:val="none"/>
        </w:rPr>
      </w:pPr>
      <w:r>
        <w:rPr>
          <w:rFonts w:hAnsi="宋体"/>
          <w:b/>
          <w:sz w:val="24"/>
          <w:highlight w:val="none"/>
        </w:rPr>
        <w:t>第十一条</w:t>
      </w:r>
      <w:r>
        <w:rPr>
          <w:rFonts w:hint="eastAsia" w:hAnsi="宋体"/>
          <w:b/>
          <w:sz w:val="24"/>
          <w:highlight w:val="none"/>
          <w:lang w:val="en-US" w:eastAsia="zh-CN"/>
        </w:rPr>
        <w:t xml:space="preserve">  </w:t>
      </w:r>
      <w:r>
        <w:rPr>
          <w:rFonts w:hAnsi="宋体"/>
          <w:b/>
          <w:sz w:val="24"/>
          <w:highlight w:val="none"/>
        </w:rPr>
        <w:t>违约责任</w:t>
      </w:r>
    </w:p>
    <w:p>
      <w:pPr>
        <w:snapToGrid w:val="0"/>
        <w:spacing w:line="360" w:lineRule="auto"/>
        <w:ind w:firstLine="540" w:firstLineChars="225"/>
        <w:rPr>
          <w:sz w:val="24"/>
          <w:highlight w:val="none"/>
        </w:rPr>
      </w:pPr>
      <w:r>
        <w:rPr>
          <w:sz w:val="24"/>
          <w:highlight w:val="none"/>
        </w:rPr>
        <w:t>1</w:t>
      </w:r>
      <w:r>
        <w:rPr>
          <w:rFonts w:hAnsi="宋体"/>
          <w:sz w:val="24"/>
          <w:highlight w:val="none"/>
        </w:rPr>
        <w:t>、乙方所提供的货物规格、技术标准、材料等质量不合格的，应及时更换，更换不及时的按逾期交货处罚；因质量问题甲方不同意接收的或特殊情况甲方同意接收的，乙方应向甲方支付违约货款额</w:t>
      </w:r>
      <w:r>
        <w:rPr>
          <w:sz w:val="24"/>
          <w:highlight w:val="none"/>
        </w:rPr>
        <w:t xml:space="preserve"> 5%</w:t>
      </w:r>
      <w:r>
        <w:rPr>
          <w:rFonts w:hAnsi="宋体"/>
          <w:sz w:val="24"/>
          <w:highlight w:val="none"/>
        </w:rPr>
        <w:t>违约金并赔偿甲方经济损失。</w:t>
      </w:r>
    </w:p>
    <w:p>
      <w:pPr>
        <w:snapToGrid w:val="0"/>
        <w:spacing w:line="360" w:lineRule="auto"/>
        <w:ind w:firstLine="540" w:firstLineChars="225"/>
        <w:rPr>
          <w:sz w:val="24"/>
          <w:highlight w:val="none"/>
        </w:rPr>
      </w:pPr>
      <w:r>
        <w:rPr>
          <w:sz w:val="24"/>
          <w:highlight w:val="none"/>
        </w:rPr>
        <w:t>2</w:t>
      </w:r>
      <w:r>
        <w:rPr>
          <w:rFonts w:hAnsi="宋体"/>
          <w:sz w:val="24"/>
          <w:highlight w:val="none"/>
        </w:rPr>
        <w:t>、乙方提供的货物如侵犯了第三方合法权益而引发的任何纠纷或诉讼，均由乙方负责交涉并承担全部责任。</w:t>
      </w:r>
    </w:p>
    <w:p>
      <w:pPr>
        <w:snapToGrid w:val="0"/>
        <w:spacing w:line="360" w:lineRule="auto"/>
        <w:ind w:firstLine="480" w:firstLineChars="200"/>
        <w:rPr>
          <w:sz w:val="24"/>
          <w:highlight w:val="none"/>
        </w:rPr>
      </w:pPr>
      <w:r>
        <w:rPr>
          <w:sz w:val="24"/>
          <w:highlight w:val="none"/>
        </w:rPr>
        <w:t>3</w:t>
      </w:r>
      <w:r>
        <w:rPr>
          <w:rFonts w:hAnsi="宋体"/>
          <w:sz w:val="24"/>
          <w:highlight w:val="none"/>
        </w:rPr>
        <w:t>、因包装、运输引起的货物损坏，按质量不合格处罚。</w:t>
      </w:r>
    </w:p>
    <w:p>
      <w:pPr>
        <w:snapToGrid w:val="0"/>
        <w:spacing w:line="360" w:lineRule="auto"/>
        <w:ind w:firstLine="480" w:firstLineChars="200"/>
        <w:rPr>
          <w:sz w:val="24"/>
          <w:highlight w:val="none"/>
        </w:rPr>
      </w:pPr>
      <w:r>
        <w:rPr>
          <w:rFonts w:hint="eastAsia"/>
          <w:sz w:val="24"/>
          <w:highlight w:val="none"/>
        </w:rPr>
        <w:t>4</w:t>
      </w:r>
      <w:r>
        <w:rPr>
          <w:rFonts w:hAnsi="宋体"/>
          <w:sz w:val="24"/>
          <w:highlight w:val="none"/>
        </w:rPr>
        <w:t>、乙方未按本合同和</w:t>
      </w:r>
      <w:r>
        <w:rPr>
          <w:rFonts w:hint="eastAsia" w:hAnsi="宋体"/>
          <w:sz w:val="24"/>
          <w:highlight w:val="none"/>
          <w:lang w:eastAsia="zh-CN"/>
        </w:rPr>
        <w:t>响应</w:t>
      </w:r>
      <w:r>
        <w:rPr>
          <w:rFonts w:hAnsi="宋体"/>
          <w:sz w:val="24"/>
          <w:highlight w:val="none"/>
        </w:rPr>
        <w:t>文件中规定的服务承诺提供售后服务的，乙方应按本合同合计金额</w:t>
      </w:r>
      <w:r>
        <w:rPr>
          <w:sz w:val="24"/>
          <w:highlight w:val="none"/>
        </w:rPr>
        <w:t xml:space="preserve"> 5%</w:t>
      </w:r>
      <w:r>
        <w:rPr>
          <w:rFonts w:hAnsi="宋体"/>
          <w:sz w:val="24"/>
          <w:highlight w:val="none"/>
        </w:rPr>
        <w:t>向甲方支付违约金。</w:t>
      </w:r>
    </w:p>
    <w:p>
      <w:pPr>
        <w:snapToGrid w:val="0"/>
        <w:spacing w:line="360" w:lineRule="auto"/>
        <w:ind w:firstLine="480" w:firstLineChars="200"/>
        <w:rPr>
          <w:sz w:val="24"/>
          <w:highlight w:val="none"/>
        </w:rPr>
      </w:pPr>
      <w:r>
        <w:rPr>
          <w:rFonts w:hint="eastAsia"/>
          <w:sz w:val="24"/>
          <w:highlight w:val="none"/>
        </w:rPr>
        <w:t>5</w:t>
      </w:r>
      <w:r>
        <w:rPr>
          <w:rFonts w:hAnsi="宋体"/>
          <w:sz w:val="24"/>
          <w:highlight w:val="none"/>
        </w:rPr>
        <w:t>、乙方提供的货物在质量保证期内，因设计、工艺或材料的缺陷和其它质量原因造成的问题，由乙方负责。</w:t>
      </w:r>
    </w:p>
    <w:p>
      <w:pPr>
        <w:snapToGrid w:val="0"/>
        <w:spacing w:line="360" w:lineRule="auto"/>
        <w:ind w:firstLine="480" w:firstLineChars="200"/>
        <w:rPr>
          <w:sz w:val="24"/>
          <w:highlight w:val="none"/>
        </w:rPr>
      </w:pPr>
      <w:r>
        <w:rPr>
          <w:rFonts w:hint="eastAsia"/>
          <w:sz w:val="24"/>
          <w:highlight w:val="none"/>
        </w:rPr>
        <w:t>6</w:t>
      </w:r>
      <w:r>
        <w:rPr>
          <w:rFonts w:hAnsi="宋体"/>
          <w:sz w:val="24"/>
          <w:highlight w:val="none"/>
        </w:rPr>
        <w:t>、其它违约行为按违约货款额</w:t>
      </w:r>
      <w:r>
        <w:rPr>
          <w:sz w:val="24"/>
          <w:highlight w:val="none"/>
        </w:rPr>
        <w:t>5%</w:t>
      </w:r>
      <w:r>
        <w:rPr>
          <w:rFonts w:hAnsi="宋体"/>
          <w:sz w:val="24"/>
          <w:highlight w:val="none"/>
        </w:rPr>
        <w:t>收取违约金并赔偿经济损失。</w:t>
      </w:r>
    </w:p>
    <w:p>
      <w:pPr>
        <w:snapToGrid w:val="0"/>
        <w:spacing w:line="360" w:lineRule="auto"/>
        <w:ind w:firstLine="482" w:firstLineChars="200"/>
        <w:rPr>
          <w:rFonts w:hint="eastAsia" w:eastAsia="宋体"/>
          <w:sz w:val="24"/>
          <w:highlight w:val="none"/>
          <w:lang w:val="en-US" w:eastAsia="zh-CN"/>
        </w:rPr>
      </w:pPr>
      <w:r>
        <w:rPr>
          <w:rFonts w:hAnsi="宋体"/>
          <w:b/>
          <w:sz w:val="24"/>
          <w:highlight w:val="none"/>
        </w:rPr>
        <w:t>第十</w:t>
      </w:r>
      <w:r>
        <w:rPr>
          <w:rFonts w:hint="eastAsia" w:hAnsi="宋体"/>
          <w:b/>
          <w:sz w:val="24"/>
          <w:highlight w:val="none"/>
          <w:lang w:val="en-US" w:eastAsia="zh-CN"/>
        </w:rPr>
        <w:t>二</w:t>
      </w:r>
      <w:r>
        <w:rPr>
          <w:rFonts w:hAnsi="宋体"/>
          <w:b/>
          <w:sz w:val="24"/>
          <w:highlight w:val="none"/>
        </w:rPr>
        <w:t>条</w:t>
      </w:r>
      <w:r>
        <w:rPr>
          <w:rFonts w:hint="eastAsia" w:hAnsi="宋体"/>
          <w:b/>
          <w:sz w:val="24"/>
          <w:highlight w:val="none"/>
          <w:lang w:val="en-US" w:eastAsia="zh-CN"/>
        </w:rPr>
        <w:t xml:space="preserve">  不可抗力</w:t>
      </w:r>
    </w:p>
    <w:p>
      <w:pPr>
        <w:adjustRightInd w:val="0"/>
        <w:snapToGrid w:val="0"/>
        <w:spacing w:line="360" w:lineRule="auto"/>
        <w:ind w:firstLine="480" w:firstLineChars="200"/>
        <w:rPr>
          <w:rFonts w:hint="eastAsia" w:ascii="宋体"/>
          <w:color w:val="auto"/>
          <w:sz w:val="24"/>
          <w:highlight w:val="none"/>
        </w:rPr>
      </w:pPr>
      <w:r>
        <w:rPr>
          <w:rFonts w:hint="eastAsia" w:ascii="宋体"/>
          <w:color w:val="auto"/>
          <w:sz w:val="24"/>
          <w:highlight w:val="none"/>
        </w:rPr>
        <w:t>1、由于地震、台风、水灾、火灾、战争、罢工、疫情以及其他不能预见并且对其发生和后果不能防止或避免的事件（不可抗力事件）的影响，致使本合同不能履行或不能按时履行时，遇有上述不可抗力事件的一方，应立即以电报、电传或传真通知其另一方，并应在事件发生十五日内，提供不可抗力情况及本合同不能履行或部分不能履行，或需延期履行理由的有效证明文件，此项证明文件应由不可抗力发生地区的公证机构出具。</w:t>
      </w:r>
    </w:p>
    <w:p>
      <w:pPr>
        <w:adjustRightInd w:val="0"/>
        <w:snapToGrid w:val="0"/>
        <w:spacing w:line="360" w:lineRule="auto"/>
        <w:ind w:firstLine="480" w:firstLineChars="200"/>
        <w:rPr>
          <w:rFonts w:hAnsi="宋体"/>
          <w:b/>
          <w:color w:val="auto"/>
          <w:sz w:val="24"/>
          <w:highlight w:val="none"/>
        </w:rPr>
      </w:pPr>
      <w:r>
        <w:rPr>
          <w:rFonts w:hint="eastAsia" w:ascii="宋体"/>
          <w:color w:val="auto"/>
          <w:sz w:val="24"/>
          <w:highlight w:val="none"/>
        </w:rPr>
        <w:t>2、根据前述不可抗力事件对本合同履行影响的程度，由甲、乙双方协商是否解除合同，或者部分免除履行合同的责任，或者延期履行合同。</w:t>
      </w:r>
    </w:p>
    <w:p>
      <w:pPr>
        <w:snapToGrid w:val="0"/>
        <w:spacing w:line="360" w:lineRule="auto"/>
        <w:ind w:firstLine="482" w:firstLineChars="200"/>
        <w:rPr>
          <w:sz w:val="24"/>
          <w:highlight w:val="none"/>
        </w:rPr>
      </w:pPr>
      <w:r>
        <w:rPr>
          <w:rFonts w:hAnsi="宋体"/>
          <w:b/>
          <w:sz w:val="24"/>
          <w:highlight w:val="none"/>
        </w:rPr>
        <w:t>第十</w:t>
      </w:r>
      <w:r>
        <w:rPr>
          <w:rFonts w:hint="eastAsia" w:hAnsi="宋体"/>
          <w:b/>
          <w:sz w:val="24"/>
          <w:highlight w:val="none"/>
          <w:lang w:val="en-US" w:eastAsia="zh-CN"/>
        </w:rPr>
        <w:t>三</w:t>
      </w:r>
      <w:r>
        <w:rPr>
          <w:rFonts w:hAnsi="宋体"/>
          <w:b/>
          <w:sz w:val="24"/>
          <w:highlight w:val="none"/>
        </w:rPr>
        <w:t>条</w:t>
      </w:r>
      <w:r>
        <w:rPr>
          <w:rFonts w:hint="eastAsia" w:hAnsi="宋体"/>
          <w:b/>
          <w:sz w:val="24"/>
          <w:highlight w:val="none"/>
          <w:lang w:val="en-US" w:eastAsia="zh-CN"/>
        </w:rPr>
        <w:t xml:space="preserve">  </w:t>
      </w:r>
      <w:r>
        <w:rPr>
          <w:rFonts w:hAnsi="宋体"/>
          <w:b/>
          <w:sz w:val="24"/>
          <w:highlight w:val="none"/>
        </w:rPr>
        <w:t>合同争议解决</w:t>
      </w:r>
    </w:p>
    <w:p>
      <w:pPr>
        <w:snapToGrid w:val="0"/>
        <w:spacing w:line="360" w:lineRule="auto"/>
        <w:ind w:firstLine="480" w:firstLineChars="200"/>
        <w:rPr>
          <w:sz w:val="24"/>
          <w:highlight w:val="none"/>
        </w:rPr>
      </w:pPr>
      <w:r>
        <w:rPr>
          <w:sz w:val="24"/>
          <w:highlight w:val="none"/>
        </w:rPr>
        <w:t>1</w:t>
      </w:r>
      <w:r>
        <w:rPr>
          <w:rFonts w:hAnsi="宋体"/>
          <w:sz w:val="24"/>
          <w:highlight w:val="none"/>
        </w:rPr>
        <w:t>、因货物质量问题发生争议的，应邀请国家认可的质量检测机构对货物质量进行鉴定。货物符合标准的，鉴定费由甲方承担；货物不符合标准的，鉴定费由乙方承担。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80" w:firstLineChars="200"/>
        <w:rPr>
          <w:sz w:val="24"/>
          <w:highlight w:val="none"/>
        </w:rPr>
      </w:pPr>
      <w:r>
        <w:rPr>
          <w:sz w:val="24"/>
          <w:highlight w:val="none"/>
        </w:rPr>
        <w:t>2</w:t>
      </w:r>
      <w:r>
        <w:rPr>
          <w:rFonts w:hAnsi="宋体"/>
          <w:sz w:val="24"/>
          <w:highlight w:val="none"/>
        </w:rPr>
        <w:t>、因履行本合同引起的或与本合同有关的争议，甲乙双方应首先通过友好协商解决，如果协商不能解决，可向</w:t>
      </w:r>
      <w:r>
        <w:rPr>
          <w:rFonts w:hint="eastAsia" w:hAnsi="宋体"/>
          <w:sz w:val="24"/>
          <w:highlight w:val="none"/>
        </w:rPr>
        <w:t>甲方所在地</w:t>
      </w:r>
      <w:r>
        <w:rPr>
          <w:rFonts w:hAnsi="宋体"/>
          <w:sz w:val="24"/>
          <w:highlight w:val="none"/>
        </w:rPr>
        <w:t>人民法院提起诉讼。</w:t>
      </w:r>
    </w:p>
    <w:p>
      <w:pPr>
        <w:snapToGrid w:val="0"/>
        <w:spacing w:line="360" w:lineRule="auto"/>
        <w:ind w:firstLine="480" w:firstLineChars="200"/>
        <w:rPr>
          <w:rFonts w:hint="eastAsia" w:hAnsi="宋体"/>
          <w:sz w:val="24"/>
          <w:highlight w:val="none"/>
        </w:rPr>
      </w:pPr>
      <w:r>
        <w:rPr>
          <w:sz w:val="24"/>
          <w:highlight w:val="none"/>
        </w:rPr>
        <w:t>3</w:t>
      </w:r>
      <w:r>
        <w:rPr>
          <w:rFonts w:hAnsi="宋体"/>
          <w:sz w:val="24"/>
          <w:highlight w:val="none"/>
        </w:rPr>
        <w:t>、诉讼期间，本合同继续履行。</w:t>
      </w:r>
    </w:p>
    <w:p>
      <w:pPr>
        <w:snapToGrid w:val="0"/>
        <w:spacing w:line="360" w:lineRule="auto"/>
        <w:ind w:firstLine="480" w:firstLineChars="200"/>
        <w:rPr>
          <w:rFonts w:hAnsi="宋体"/>
          <w:sz w:val="24"/>
          <w:highlight w:val="none"/>
        </w:rPr>
      </w:pPr>
      <w:r>
        <w:rPr>
          <w:rFonts w:hint="eastAsia" w:hAnsi="宋体"/>
          <w:sz w:val="24"/>
          <w:highlight w:val="none"/>
        </w:rPr>
        <w:t>4、其他未在本合同中规定的事项以乙方</w:t>
      </w:r>
      <w:r>
        <w:rPr>
          <w:rFonts w:hint="eastAsia" w:hAnsi="宋体"/>
          <w:sz w:val="24"/>
          <w:highlight w:val="none"/>
          <w:lang w:eastAsia="zh-CN"/>
        </w:rPr>
        <w:t>响应</w:t>
      </w:r>
      <w:r>
        <w:rPr>
          <w:rFonts w:hint="eastAsia" w:hAnsi="宋体"/>
          <w:sz w:val="24"/>
          <w:highlight w:val="none"/>
        </w:rPr>
        <w:t>文件、甲方</w:t>
      </w:r>
      <w:r>
        <w:rPr>
          <w:rFonts w:hint="eastAsia" w:hAnsi="宋体"/>
          <w:sz w:val="24"/>
          <w:highlight w:val="none"/>
          <w:lang w:eastAsia="zh-CN"/>
        </w:rPr>
        <w:t>磋商</w:t>
      </w:r>
      <w:r>
        <w:rPr>
          <w:rFonts w:hint="eastAsia" w:hAnsi="宋体"/>
          <w:sz w:val="24"/>
          <w:highlight w:val="none"/>
        </w:rPr>
        <w:t>文件为准。</w:t>
      </w:r>
    </w:p>
    <w:p>
      <w:pPr>
        <w:snapToGrid w:val="0"/>
        <w:spacing w:line="360" w:lineRule="auto"/>
        <w:ind w:firstLine="482" w:firstLineChars="200"/>
        <w:rPr>
          <w:b/>
          <w:sz w:val="24"/>
          <w:highlight w:val="none"/>
        </w:rPr>
      </w:pPr>
      <w:r>
        <w:rPr>
          <w:rFonts w:hAnsi="宋体"/>
          <w:b/>
          <w:sz w:val="24"/>
          <w:highlight w:val="none"/>
        </w:rPr>
        <w:t>第十</w:t>
      </w:r>
      <w:r>
        <w:rPr>
          <w:rFonts w:hint="eastAsia" w:hAnsi="宋体"/>
          <w:b/>
          <w:sz w:val="24"/>
          <w:highlight w:val="none"/>
          <w:lang w:val="en-US" w:eastAsia="zh-CN"/>
        </w:rPr>
        <w:t>四</w:t>
      </w:r>
      <w:r>
        <w:rPr>
          <w:rFonts w:hAnsi="宋体"/>
          <w:b/>
          <w:sz w:val="24"/>
          <w:highlight w:val="none"/>
        </w:rPr>
        <w:t>条</w:t>
      </w:r>
      <w:r>
        <w:rPr>
          <w:rFonts w:hint="eastAsia" w:hAnsi="宋体"/>
          <w:b/>
          <w:sz w:val="24"/>
          <w:highlight w:val="none"/>
          <w:lang w:val="en-US" w:eastAsia="zh-CN"/>
        </w:rPr>
        <w:t xml:space="preserve">  </w:t>
      </w:r>
      <w:r>
        <w:rPr>
          <w:rFonts w:hAnsi="宋体"/>
          <w:b/>
          <w:sz w:val="24"/>
          <w:highlight w:val="none"/>
        </w:rPr>
        <w:t>签订本合同依据</w:t>
      </w:r>
    </w:p>
    <w:p>
      <w:pPr>
        <w:snapToGrid w:val="0"/>
        <w:spacing w:line="360" w:lineRule="auto"/>
        <w:ind w:firstLine="480" w:firstLineChars="200"/>
        <w:rPr>
          <w:sz w:val="24"/>
          <w:highlight w:val="none"/>
          <w:u w:val="single"/>
        </w:rPr>
      </w:pPr>
      <w:r>
        <w:rPr>
          <w:sz w:val="24"/>
          <w:highlight w:val="none"/>
        </w:rPr>
        <w:t>1</w:t>
      </w:r>
      <w:r>
        <w:rPr>
          <w:rFonts w:hAnsi="宋体"/>
          <w:sz w:val="24"/>
          <w:highlight w:val="none"/>
        </w:rPr>
        <w:t>、政府采购</w:t>
      </w:r>
      <w:r>
        <w:rPr>
          <w:rFonts w:hint="eastAsia" w:hAnsi="宋体"/>
          <w:sz w:val="24"/>
          <w:highlight w:val="none"/>
          <w:lang w:eastAsia="zh-CN"/>
        </w:rPr>
        <w:t>磋商</w:t>
      </w:r>
      <w:r>
        <w:rPr>
          <w:rFonts w:hAnsi="宋体"/>
          <w:sz w:val="24"/>
          <w:highlight w:val="none"/>
        </w:rPr>
        <w:t>文件；</w:t>
      </w:r>
      <w:r>
        <w:rPr>
          <w:sz w:val="24"/>
          <w:highlight w:val="none"/>
        </w:rPr>
        <w:t>2</w:t>
      </w:r>
      <w:r>
        <w:rPr>
          <w:rFonts w:hAnsi="宋体"/>
          <w:sz w:val="24"/>
          <w:highlight w:val="none"/>
        </w:rPr>
        <w:t>、乙方提供的</w:t>
      </w:r>
      <w:r>
        <w:rPr>
          <w:rFonts w:hint="eastAsia" w:hAnsi="宋体"/>
          <w:sz w:val="24"/>
          <w:highlight w:val="none"/>
          <w:lang w:eastAsia="zh-CN"/>
        </w:rPr>
        <w:t>响应</w:t>
      </w:r>
      <w:r>
        <w:rPr>
          <w:rFonts w:hAnsi="宋体"/>
          <w:sz w:val="24"/>
          <w:highlight w:val="none"/>
        </w:rPr>
        <w:t>文件；</w:t>
      </w:r>
      <w:r>
        <w:rPr>
          <w:sz w:val="24"/>
          <w:highlight w:val="none"/>
        </w:rPr>
        <w:t>3</w:t>
      </w:r>
      <w:r>
        <w:rPr>
          <w:rFonts w:hAnsi="宋体"/>
          <w:sz w:val="24"/>
          <w:highlight w:val="none"/>
        </w:rPr>
        <w:t>、投标承诺书；</w:t>
      </w:r>
      <w:r>
        <w:rPr>
          <w:sz w:val="24"/>
          <w:highlight w:val="none"/>
        </w:rPr>
        <w:t>4</w:t>
      </w:r>
      <w:r>
        <w:rPr>
          <w:rFonts w:hAnsi="宋体"/>
          <w:sz w:val="24"/>
          <w:highlight w:val="none"/>
        </w:rPr>
        <w:t>、中标或成交通知书。</w:t>
      </w:r>
    </w:p>
    <w:p>
      <w:pPr>
        <w:snapToGrid w:val="0"/>
        <w:spacing w:line="360" w:lineRule="auto"/>
        <w:ind w:firstLine="482" w:firstLineChars="200"/>
        <w:rPr>
          <w:sz w:val="24"/>
          <w:highlight w:val="none"/>
        </w:rPr>
      </w:pPr>
      <w:r>
        <w:rPr>
          <w:rFonts w:hAnsi="宋体"/>
          <w:b/>
          <w:sz w:val="24"/>
          <w:highlight w:val="none"/>
        </w:rPr>
        <w:t>第十</w:t>
      </w:r>
      <w:r>
        <w:rPr>
          <w:rFonts w:hint="eastAsia" w:hAnsi="宋体"/>
          <w:b/>
          <w:sz w:val="24"/>
          <w:highlight w:val="none"/>
          <w:lang w:val="en-US" w:eastAsia="zh-CN"/>
        </w:rPr>
        <w:t>五</w:t>
      </w:r>
      <w:r>
        <w:rPr>
          <w:rFonts w:hAnsi="宋体"/>
          <w:b/>
          <w:sz w:val="24"/>
          <w:highlight w:val="none"/>
        </w:rPr>
        <w:t>条</w:t>
      </w:r>
      <w:r>
        <w:rPr>
          <w:rFonts w:hint="eastAsia" w:hAnsi="宋体"/>
          <w:b/>
          <w:sz w:val="24"/>
          <w:highlight w:val="none"/>
          <w:lang w:val="en-US" w:eastAsia="zh-CN"/>
        </w:rPr>
        <w:t xml:space="preserve">  </w:t>
      </w:r>
      <w:r>
        <w:rPr>
          <w:rFonts w:hAnsi="宋体"/>
          <w:sz w:val="24"/>
          <w:highlight w:val="none"/>
        </w:rPr>
        <w:t>本合同一式四份，甲乙双方各</w:t>
      </w:r>
      <w:r>
        <w:rPr>
          <w:rFonts w:hint="eastAsia" w:hAnsi="宋体"/>
          <w:sz w:val="24"/>
          <w:highlight w:val="none"/>
        </w:rPr>
        <w:t>两</w:t>
      </w:r>
      <w:r>
        <w:rPr>
          <w:rFonts w:hAnsi="宋体"/>
          <w:sz w:val="24"/>
          <w:highlight w:val="none"/>
        </w:rPr>
        <w:t>份（可根据需要另增加）</w:t>
      </w:r>
      <w:r>
        <w:rPr>
          <w:rFonts w:hint="eastAsia" w:hAnsi="宋体"/>
          <w:sz w:val="24"/>
          <w:highlight w:val="none"/>
        </w:rPr>
        <w:t>，</w:t>
      </w:r>
      <w:r>
        <w:rPr>
          <w:rFonts w:hint="eastAsia" w:hAnsi="宋体"/>
          <w:sz w:val="24"/>
          <w:highlight w:val="none"/>
          <w:lang w:val="en-US" w:eastAsia="zh-CN"/>
        </w:rPr>
        <w:t>每份</w:t>
      </w:r>
      <w:r>
        <w:rPr>
          <w:rFonts w:hint="eastAsia" w:hAnsi="宋体"/>
          <w:sz w:val="24"/>
          <w:highlight w:val="none"/>
        </w:rPr>
        <w:t>合同附件与合同具有同等</w:t>
      </w:r>
      <w:r>
        <w:rPr>
          <w:rFonts w:hint="eastAsia" w:hAnsi="宋体"/>
          <w:sz w:val="24"/>
          <w:highlight w:val="none"/>
          <w:lang w:val="en-US" w:eastAsia="zh-CN"/>
        </w:rPr>
        <w:t>法律</w:t>
      </w:r>
      <w:r>
        <w:rPr>
          <w:rFonts w:hint="eastAsia" w:hAnsi="宋体"/>
          <w:sz w:val="24"/>
          <w:highlight w:val="none"/>
        </w:rPr>
        <w:t>效力</w:t>
      </w:r>
      <w:r>
        <w:rPr>
          <w:rFonts w:hAnsi="宋体"/>
          <w:sz w:val="24"/>
          <w:highlight w:val="none"/>
        </w:rPr>
        <w:t>。</w:t>
      </w:r>
    </w:p>
    <w:p>
      <w:pPr>
        <w:snapToGrid w:val="0"/>
        <w:spacing w:line="360" w:lineRule="auto"/>
        <w:ind w:firstLine="480" w:firstLineChars="200"/>
        <w:rPr>
          <w:rFonts w:hAnsi="宋体"/>
          <w:sz w:val="24"/>
          <w:highlight w:val="none"/>
        </w:rPr>
      </w:pPr>
      <w:r>
        <w:rPr>
          <w:rFonts w:hAnsi="宋体"/>
          <w:sz w:val="24"/>
          <w:highlight w:val="none"/>
        </w:rPr>
        <w:t>本合同甲乙双方签字盖章后生效。</w:t>
      </w:r>
    </w:p>
    <w:tbl>
      <w:tblPr>
        <w:tblStyle w:val="17"/>
        <w:tblW w:w="10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4"/>
        <w:gridCol w:w="4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3" w:hRule="atLeast"/>
        </w:trPr>
        <w:tc>
          <w:tcPr>
            <w:tcW w:w="5204" w:type="dxa"/>
            <w:noWrap/>
            <w:vAlign w:val="center"/>
          </w:tcPr>
          <w:p>
            <w:pPr>
              <w:snapToGrid w:val="0"/>
              <w:rPr>
                <w:rFonts w:hint="eastAsia"/>
                <w:sz w:val="24"/>
                <w:highlight w:val="none"/>
              </w:rPr>
            </w:pPr>
            <w:bookmarkStart w:id="6" w:name="bookmark17"/>
            <w:r>
              <w:rPr>
                <w:rFonts w:hint="eastAsia"/>
                <w:sz w:val="24"/>
                <w:highlight w:val="none"/>
              </w:rPr>
              <w:t>甲方（章）</w:t>
            </w:r>
          </w:p>
          <w:p>
            <w:pPr>
              <w:pStyle w:val="10"/>
              <w:rPr>
                <w:rFonts w:hint="eastAsia"/>
                <w:sz w:val="24"/>
                <w:highlight w:val="none"/>
              </w:rPr>
            </w:pPr>
          </w:p>
          <w:p>
            <w:pPr>
              <w:pStyle w:val="24"/>
              <w:ind w:left="0" w:leftChars="0" w:firstLine="0" w:firstLineChars="0"/>
              <w:rPr>
                <w:rFonts w:hint="eastAsia"/>
                <w:sz w:val="24"/>
                <w:highlight w:val="none"/>
              </w:rPr>
            </w:pPr>
          </w:p>
          <w:p>
            <w:pPr>
              <w:pStyle w:val="11"/>
              <w:rPr>
                <w:rFonts w:hint="eastAsia"/>
              </w:rPr>
            </w:pPr>
          </w:p>
          <w:p>
            <w:pPr>
              <w:pStyle w:val="10"/>
              <w:jc w:val="right"/>
              <w:rPr>
                <w:highlight w:val="none"/>
              </w:rPr>
            </w:pPr>
            <w:r>
              <w:rPr>
                <w:rFonts w:hint="eastAsia"/>
                <w:sz w:val="24"/>
                <w:highlight w:val="none"/>
                <w:u w:val="single"/>
              </w:rPr>
              <w:t>202</w:t>
            </w:r>
            <w:r>
              <w:rPr>
                <w:rFonts w:hint="eastAsia"/>
                <w:sz w:val="24"/>
                <w:highlight w:val="none"/>
                <w:u w:val="single"/>
                <w:lang w:val="en-US" w:eastAsia="zh-CN"/>
              </w:rPr>
              <w:t>3</w:t>
            </w:r>
            <w:r>
              <w:rPr>
                <w:rFonts w:hint="eastAsia"/>
                <w:sz w:val="24"/>
                <w:highlight w:val="none"/>
              </w:rPr>
              <w:t>年</w:t>
            </w:r>
            <w:r>
              <w:rPr>
                <w:rFonts w:hint="eastAsia"/>
                <w:sz w:val="24"/>
                <w:highlight w:val="none"/>
                <w:u w:val="single"/>
                <w:lang w:eastAsia="zh-CN"/>
              </w:rPr>
              <w:t xml:space="preserve"> </w:t>
            </w:r>
            <w:r>
              <w:rPr>
                <w:rFonts w:hint="eastAsia"/>
                <w:sz w:val="24"/>
                <w:highlight w:val="none"/>
                <w:u w:val="single"/>
                <w:lang w:val="en-US" w:eastAsia="zh-CN"/>
              </w:rPr>
              <w:t>12</w:t>
            </w:r>
            <w:r>
              <w:rPr>
                <w:rFonts w:hint="eastAsia"/>
                <w:sz w:val="24"/>
                <w:highlight w:val="none"/>
                <w:u w:val="single"/>
                <w:lang w:eastAsia="zh-CN"/>
              </w:rPr>
              <w:t xml:space="preserve"> </w:t>
            </w:r>
            <w:r>
              <w:rPr>
                <w:rFonts w:hint="eastAsia"/>
                <w:sz w:val="24"/>
                <w:highlight w:val="none"/>
                <w:u w:val="none"/>
                <w:lang w:eastAsia="zh-CN"/>
              </w:rPr>
              <w:t>月</w:t>
            </w:r>
            <w:r>
              <w:rPr>
                <w:rFonts w:hint="eastAsia"/>
                <w:sz w:val="24"/>
                <w:highlight w:val="none"/>
                <w:u w:val="single"/>
                <w:lang w:val="en-US" w:eastAsia="zh-CN"/>
              </w:rPr>
              <w:t xml:space="preserve">   </w:t>
            </w:r>
            <w:r>
              <w:rPr>
                <w:rFonts w:hint="eastAsia"/>
                <w:sz w:val="24"/>
                <w:highlight w:val="none"/>
                <w:u w:val="none"/>
                <w:lang w:eastAsia="zh-CN"/>
              </w:rPr>
              <w:t>日</w:t>
            </w:r>
          </w:p>
        </w:tc>
        <w:tc>
          <w:tcPr>
            <w:tcW w:w="4957" w:type="dxa"/>
            <w:noWrap/>
            <w:vAlign w:val="center"/>
          </w:tcPr>
          <w:p>
            <w:pPr>
              <w:snapToGrid w:val="0"/>
              <w:rPr>
                <w:sz w:val="24"/>
                <w:highlight w:val="none"/>
              </w:rPr>
            </w:pPr>
            <w:r>
              <w:rPr>
                <w:rFonts w:hAnsi="宋体"/>
                <w:sz w:val="24"/>
                <w:highlight w:val="none"/>
              </w:rPr>
              <w:t>乙方（章）</w:t>
            </w:r>
          </w:p>
          <w:p>
            <w:pPr>
              <w:snapToGrid w:val="0"/>
              <w:ind w:right="480"/>
              <w:rPr>
                <w:rFonts w:hint="eastAsia"/>
                <w:sz w:val="24"/>
                <w:highlight w:val="none"/>
              </w:rPr>
            </w:pPr>
          </w:p>
          <w:p>
            <w:pPr>
              <w:snapToGrid w:val="0"/>
              <w:ind w:right="480"/>
              <w:rPr>
                <w:rFonts w:hint="eastAsia"/>
                <w:sz w:val="24"/>
                <w:highlight w:val="none"/>
              </w:rPr>
            </w:pPr>
          </w:p>
          <w:p>
            <w:pPr>
              <w:pStyle w:val="23"/>
              <w:ind w:left="0" w:leftChars="0" w:firstLine="0" w:firstLineChars="0"/>
              <w:rPr>
                <w:rFonts w:hint="eastAsia"/>
                <w:sz w:val="24"/>
                <w:highlight w:val="none"/>
              </w:rPr>
            </w:pPr>
          </w:p>
          <w:p>
            <w:pPr>
              <w:snapToGrid w:val="0"/>
              <w:ind w:right="480"/>
              <w:rPr>
                <w:rFonts w:hint="eastAsia"/>
                <w:sz w:val="24"/>
                <w:highlight w:val="none"/>
              </w:rPr>
            </w:pPr>
          </w:p>
          <w:p>
            <w:pPr>
              <w:snapToGrid w:val="0"/>
              <w:ind w:right="480"/>
              <w:rPr>
                <w:rFonts w:hint="eastAsia"/>
                <w:sz w:val="24"/>
                <w:highlight w:val="none"/>
              </w:rPr>
            </w:pPr>
          </w:p>
          <w:p>
            <w:pPr>
              <w:snapToGrid w:val="0"/>
              <w:ind w:right="480"/>
              <w:rPr>
                <w:rFonts w:hint="eastAsia"/>
                <w:sz w:val="24"/>
                <w:highlight w:val="none"/>
              </w:rPr>
            </w:pPr>
          </w:p>
          <w:p>
            <w:pPr>
              <w:snapToGrid w:val="0"/>
              <w:jc w:val="right"/>
              <w:rPr>
                <w:sz w:val="24"/>
                <w:highlight w:val="none"/>
              </w:rPr>
            </w:pPr>
            <w:r>
              <w:rPr>
                <w:rFonts w:hint="eastAsia"/>
                <w:sz w:val="24"/>
                <w:highlight w:val="none"/>
                <w:u w:val="single"/>
              </w:rPr>
              <w:t>202</w:t>
            </w:r>
            <w:r>
              <w:rPr>
                <w:rFonts w:hint="eastAsia"/>
                <w:sz w:val="24"/>
                <w:highlight w:val="none"/>
                <w:u w:val="single"/>
                <w:lang w:val="en-US" w:eastAsia="zh-CN"/>
              </w:rPr>
              <w:t>3</w:t>
            </w:r>
            <w:r>
              <w:rPr>
                <w:rFonts w:hint="eastAsia"/>
                <w:sz w:val="24"/>
                <w:highlight w:val="none"/>
              </w:rPr>
              <w:t>年</w:t>
            </w:r>
            <w:r>
              <w:rPr>
                <w:rFonts w:hint="eastAsia"/>
                <w:sz w:val="24"/>
                <w:highlight w:val="none"/>
                <w:u w:val="single"/>
                <w:lang w:eastAsia="zh-CN"/>
              </w:rPr>
              <w:t xml:space="preserve"> </w:t>
            </w:r>
            <w:r>
              <w:rPr>
                <w:rFonts w:hint="eastAsia"/>
                <w:sz w:val="24"/>
                <w:highlight w:val="none"/>
                <w:u w:val="single"/>
                <w:lang w:val="en-US" w:eastAsia="zh-CN"/>
              </w:rPr>
              <w:t>12</w:t>
            </w:r>
            <w:r>
              <w:rPr>
                <w:rFonts w:hint="eastAsia"/>
                <w:sz w:val="24"/>
                <w:highlight w:val="none"/>
                <w:u w:val="single"/>
                <w:lang w:eastAsia="zh-CN"/>
              </w:rPr>
              <w:t xml:space="preserve"> </w:t>
            </w:r>
            <w:r>
              <w:rPr>
                <w:rFonts w:hint="eastAsia"/>
                <w:sz w:val="24"/>
                <w:highlight w:val="none"/>
                <w:u w:val="none"/>
                <w:lang w:eastAsia="zh-CN"/>
              </w:rPr>
              <w:t>月</w:t>
            </w:r>
            <w:r>
              <w:rPr>
                <w:rFonts w:hint="eastAsia"/>
                <w:sz w:val="24"/>
                <w:highlight w:val="none"/>
                <w:u w:val="single"/>
                <w:lang w:val="en-US" w:eastAsia="zh-CN"/>
              </w:rPr>
              <w:t xml:space="preserve">   </w:t>
            </w:r>
            <w:r>
              <w:rPr>
                <w:rFonts w:hint="eastAsia"/>
                <w:sz w:val="24"/>
                <w:highlight w:val="none"/>
                <w:u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204" w:type="dxa"/>
            <w:noWrap/>
            <w:vAlign w:val="center"/>
          </w:tcPr>
          <w:p>
            <w:pPr>
              <w:snapToGrid w:val="0"/>
              <w:rPr>
                <w:sz w:val="24"/>
                <w:highlight w:val="none"/>
              </w:rPr>
            </w:pPr>
            <w:r>
              <w:rPr>
                <w:rFonts w:hint="eastAsia" w:hAnsi="宋体"/>
                <w:sz w:val="24"/>
                <w:highlight w:val="none"/>
              </w:rPr>
              <w:t>单位地址：</w:t>
            </w:r>
            <w:r>
              <w:rPr>
                <w:rFonts w:hint="eastAsia" w:hAnsi="宋体"/>
                <w:sz w:val="24"/>
                <w:highlight w:val="none"/>
                <w:lang w:val="en-US" w:eastAsia="zh-CN"/>
              </w:rPr>
              <w:t>黑龙江省哈尔滨市道里区哈尔滨太平国际机场31栋</w:t>
            </w:r>
          </w:p>
        </w:tc>
        <w:tc>
          <w:tcPr>
            <w:tcW w:w="4957" w:type="dxa"/>
            <w:noWrap/>
            <w:vAlign w:val="center"/>
          </w:tcPr>
          <w:p>
            <w:pPr>
              <w:pStyle w:val="23"/>
              <w:ind w:firstLine="0"/>
              <w:jc w:val="left"/>
              <w:rPr>
                <w:rFonts w:ascii="Times New Roman" w:hAnsi="宋体" w:cs="Times New Roman"/>
                <w:sz w:val="24"/>
                <w:highlight w:val="none"/>
              </w:rPr>
            </w:pPr>
            <w:r>
              <w:rPr>
                <w:rFonts w:ascii="Times New Roman" w:hAnsi="宋体" w:cs="Times New Roman"/>
                <w:sz w:val="24"/>
                <w:highlight w:val="none"/>
              </w:rPr>
              <w:t>单</w:t>
            </w:r>
            <w:r>
              <w:rPr>
                <w:rFonts w:hint="eastAsia" w:ascii="Times New Roman" w:hAnsi="宋体" w:eastAsia="宋体" w:cs="Times New Roman"/>
                <w:kern w:val="2"/>
                <w:sz w:val="24"/>
                <w:szCs w:val="24"/>
                <w:highlight w:val="none"/>
                <w:lang w:val="en-US" w:eastAsia="zh-CN" w:bidi="ar-SA"/>
              </w:rPr>
              <w:t xml:space="preserve">位地址：哈尔滨市南岗区长江路209号中浩华尔街A栋9层7号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5204" w:type="dxa"/>
            <w:noWrap/>
            <w:vAlign w:val="center"/>
          </w:tcPr>
          <w:p>
            <w:pPr>
              <w:snapToGrid w:val="0"/>
              <w:rPr>
                <w:sz w:val="24"/>
                <w:highlight w:val="none"/>
              </w:rPr>
            </w:pPr>
            <w:r>
              <w:rPr>
                <w:rFonts w:hint="eastAsia" w:hAnsi="宋体"/>
                <w:sz w:val="24"/>
                <w:highlight w:val="none"/>
              </w:rPr>
              <w:t>法定代表人：</w:t>
            </w:r>
          </w:p>
        </w:tc>
        <w:tc>
          <w:tcPr>
            <w:tcW w:w="4957" w:type="dxa"/>
            <w:noWrap/>
            <w:vAlign w:val="center"/>
          </w:tcPr>
          <w:p>
            <w:pPr>
              <w:snapToGrid w:val="0"/>
              <w:rPr>
                <w:rFonts w:hint="eastAsia" w:hAnsi="宋体" w:eastAsia="宋体"/>
                <w:sz w:val="24"/>
                <w:highlight w:val="none"/>
                <w:lang w:val="en-US" w:eastAsia="zh-CN"/>
              </w:rPr>
            </w:pPr>
            <w:r>
              <w:rPr>
                <w:rFonts w:hAnsi="宋体"/>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5204" w:type="dxa"/>
            <w:noWrap/>
            <w:vAlign w:val="center"/>
          </w:tcPr>
          <w:p>
            <w:pPr>
              <w:snapToGrid w:val="0"/>
              <w:rPr>
                <w:sz w:val="24"/>
                <w:highlight w:val="none"/>
              </w:rPr>
            </w:pPr>
            <w:r>
              <w:rPr>
                <w:rFonts w:hint="eastAsia" w:hAnsi="宋体"/>
                <w:sz w:val="24"/>
                <w:highlight w:val="none"/>
              </w:rPr>
              <w:t>委托代理人：</w:t>
            </w:r>
          </w:p>
        </w:tc>
        <w:tc>
          <w:tcPr>
            <w:tcW w:w="4957" w:type="dxa"/>
            <w:noWrap/>
            <w:vAlign w:val="center"/>
          </w:tcPr>
          <w:p>
            <w:pPr>
              <w:snapToGrid w:val="0"/>
              <w:rPr>
                <w:rFonts w:hint="eastAsia" w:hAnsi="宋体" w:eastAsia="宋体"/>
                <w:sz w:val="24"/>
                <w:highlight w:val="none"/>
                <w:u w:val="none"/>
                <w:lang w:val="en-US" w:eastAsia="zh-CN"/>
              </w:rPr>
            </w:pPr>
            <w:r>
              <w:rPr>
                <w:rFonts w:hAnsi="宋体"/>
                <w:sz w:val="24"/>
                <w:highlight w:val="none"/>
                <w:u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5204" w:type="dxa"/>
            <w:noWrap/>
            <w:vAlign w:val="center"/>
          </w:tcPr>
          <w:p>
            <w:pPr>
              <w:snapToGrid w:val="0"/>
              <w:rPr>
                <w:rFonts w:hAnsi="宋体"/>
                <w:sz w:val="24"/>
                <w:highlight w:val="none"/>
              </w:rPr>
            </w:pPr>
            <w:r>
              <w:rPr>
                <w:rFonts w:hint="eastAsia" w:hAnsi="宋体"/>
                <w:sz w:val="24"/>
                <w:highlight w:val="none"/>
              </w:rPr>
              <w:t>电</w:t>
            </w:r>
            <w:r>
              <w:rPr>
                <w:rFonts w:hint="eastAsia" w:hAnsi="宋体"/>
                <w:sz w:val="24"/>
                <w:highlight w:val="none"/>
                <w:lang w:val="en-US" w:eastAsia="zh-CN"/>
              </w:rPr>
              <w:t xml:space="preserve">    </w:t>
            </w:r>
            <w:r>
              <w:rPr>
                <w:rFonts w:hint="eastAsia" w:hAnsi="宋体"/>
                <w:sz w:val="24"/>
                <w:highlight w:val="none"/>
              </w:rPr>
              <w:t>话：18946135353</w:t>
            </w:r>
          </w:p>
        </w:tc>
        <w:tc>
          <w:tcPr>
            <w:tcW w:w="4957" w:type="dxa"/>
            <w:noWrap/>
            <w:vAlign w:val="center"/>
          </w:tcPr>
          <w:p>
            <w:pPr>
              <w:snapToGrid w:val="0"/>
              <w:rPr>
                <w:rFonts w:ascii="Times New Roman" w:hAnsi="宋体" w:eastAsia="宋体" w:cs="Times New Roman"/>
                <w:sz w:val="24"/>
                <w:highlight w:val="none"/>
                <w:u w:val="none"/>
              </w:rPr>
            </w:pPr>
            <w:r>
              <w:rPr>
                <w:rFonts w:ascii="Times New Roman" w:hAnsi="宋体" w:eastAsia="宋体" w:cs="Times New Roman"/>
                <w:sz w:val="24"/>
                <w:highlight w:val="none"/>
                <w:u w:val="none"/>
              </w:rPr>
              <w:t>电</w:t>
            </w:r>
            <w:r>
              <w:rPr>
                <w:rFonts w:hint="eastAsia" w:ascii="Times New Roman" w:hAnsi="宋体" w:eastAsia="宋体" w:cs="Times New Roman"/>
                <w:sz w:val="24"/>
                <w:highlight w:val="none"/>
                <w:u w:val="none"/>
                <w:lang w:val="en-US" w:eastAsia="zh-CN"/>
              </w:rPr>
              <w:t xml:space="preserve">    </w:t>
            </w:r>
            <w:r>
              <w:rPr>
                <w:rFonts w:ascii="Times New Roman" w:hAnsi="宋体" w:eastAsia="宋体" w:cs="Times New Roman"/>
                <w:sz w:val="24"/>
                <w:highlight w:val="none"/>
                <w:u w:val="none"/>
              </w:rPr>
              <w:t>话</w:t>
            </w:r>
            <w:r>
              <w:rPr>
                <w:rFonts w:hint="eastAsia" w:ascii="Times New Roman" w:hAnsi="宋体" w:eastAsia="宋体" w:cs="Times New Roman"/>
                <w:sz w:val="24"/>
                <w:highlight w:val="none"/>
                <w:u w:val="none"/>
                <w:lang w:val="en-US" w:eastAsia="zh-CN"/>
              </w:rPr>
              <w:t>：</w:t>
            </w:r>
            <w:r>
              <w:rPr>
                <w:rFonts w:hint="eastAsia" w:ascii="Times New Roman" w:hAnsi="宋体" w:eastAsia="宋体" w:cs="Times New Roman"/>
                <w:kern w:val="2"/>
                <w:sz w:val="24"/>
                <w:szCs w:val="24"/>
                <w:highlight w:val="none"/>
                <w:lang w:val="en-US" w:eastAsia="zh-CN" w:bidi="ar-SA"/>
              </w:rPr>
              <w:t>13684616316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5204" w:type="dxa"/>
            <w:noWrap/>
            <w:vAlign w:val="center"/>
          </w:tcPr>
          <w:p>
            <w:pPr>
              <w:snapToGrid w:val="0"/>
              <w:rPr>
                <w:rFonts w:hAnsi="宋体"/>
                <w:sz w:val="24"/>
                <w:highlight w:val="none"/>
              </w:rPr>
            </w:pPr>
            <w:r>
              <w:rPr>
                <w:rFonts w:hint="eastAsia" w:hAnsi="宋体"/>
                <w:sz w:val="24"/>
                <w:highlight w:val="none"/>
              </w:rPr>
              <w:t>开户银行：</w:t>
            </w:r>
            <w:r>
              <w:rPr>
                <w:rFonts w:hint="eastAsia" w:hAnsi="宋体"/>
                <w:sz w:val="24"/>
                <w:highlight w:val="none"/>
                <w:lang w:val="en-US" w:eastAsia="zh-CN"/>
              </w:rPr>
              <w:t>中国银行哈尔滨新区分行</w:t>
            </w:r>
          </w:p>
        </w:tc>
        <w:tc>
          <w:tcPr>
            <w:tcW w:w="4957" w:type="dxa"/>
            <w:noWrap/>
            <w:vAlign w:val="center"/>
          </w:tcPr>
          <w:p>
            <w:pPr>
              <w:snapToGrid w:val="0"/>
              <w:rPr>
                <w:rFonts w:hint="eastAsia" w:ascii="Times New Roman" w:hAnsi="Times New Roman" w:eastAsia="宋体" w:cs="宋体"/>
                <w:sz w:val="24"/>
                <w:szCs w:val="24"/>
                <w:highlight w:val="none"/>
                <w:u w:val="none"/>
              </w:rPr>
            </w:pPr>
            <w:r>
              <w:rPr>
                <w:rFonts w:hint="eastAsia" w:ascii="Times New Roman" w:hAnsi="Times New Roman" w:eastAsia="宋体" w:cs="宋体"/>
                <w:sz w:val="24"/>
                <w:szCs w:val="24"/>
                <w:highlight w:val="none"/>
                <w:u w:val="none"/>
              </w:rPr>
              <w:t>开户银行：哈尔滨银行启明支行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5204" w:type="dxa"/>
            <w:noWrap/>
            <w:vAlign w:val="center"/>
          </w:tcPr>
          <w:p>
            <w:pPr>
              <w:snapToGrid w:val="0"/>
              <w:rPr>
                <w:rFonts w:hAnsi="宋体"/>
                <w:sz w:val="24"/>
                <w:highlight w:val="none"/>
              </w:rPr>
            </w:pPr>
            <w:r>
              <w:rPr>
                <w:rFonts w:hint="eastAsia" w:hAnsi="宋体"/>
                <w:sz w:val="24"/>
                <w:highlight w:val="none"/>
              </w:rPr>
              <w:t>账</w:t>
            </w:r>
            <w:r>
              <w:rPr>
                <w:rFonts w:hint="eastAsia" w:hAnsi="宋体"/>
                <w:sz w:val="24"/>
                <w:highlight w:val="none"/>
                <w:lang w:val="en-US" w:eastAsia="zh-CN"/>
              </w:rPr>
              <w:t xml:space="preserve">    </w:t>
            </w:r>
            <w:r>
              <w:rPr>
                <w:rFonts w:hint="eastAsia" w:hAnsi="宋体"/>
                <w:sz w:val="24"/>
                <w:highlight w:val="none"/>
              </w:rPr>
              <w:t>号：</w:t>
            </w:r>
            <w:r>
              <w:rPr>
                <w:rFonts w:hint="eastAsia" w:hAnsi="宋体"/>
                <w:sz w:val="24"/>
                <w:highlight w:val="none"/>
                <w:lang w:val="en-US" w:eastAsia="zh-CN"/>
              </w:rPr>
              <w:t>169002420794</w:t>
            </w:r>
          </w:p>
        </w:tc>
        <w:tc>
          <w:tcPr>
            <w:tcW w:w="4957" w:type="dxa"/>
            <w:noWrap/>
            <w:vAlign w:val="center"/>
          </w:tcPr>
          <w:p>
            <w:pPr>
              <w:snapToGrid w:val="0"/>
              <w:rPr>
                <w:rFonts w:hint="eastAsia" w:ascii="Times New Roman" w:hAnsi="Times New Roman" w:eastAsia="宋体" w:cs="宋体"/>
                <w:sz w:val="24"/>
                <w:szCs w:val="24"/>
                <w:highlight w:val="none"/>
                <w:u w:val="none"/>
                <w:lang w:eastAsia="zh-CN"/>
              </w:rPr>
            </w:pPr>
            <w:r>
              <w:rPr>
                <w:rFonts w:hint="eastAsia" w:ascii="Times New Roman" w:hAnsi="Times New Roman" w:eastAsia="宋体" w:cs="宋体"/>
                <w:sz w:val="24"/>
                <w:szCs w:val="24"/>
                <w:highlight w:val="none"/>
                <w:u w:val="none"/>
              </w:rPr>
              <w:t>账</w:t>
            </w:r>
            <w:r>
              <w:rPr>
                <w:rFonts w:hint="eastAsia" w:ascii="Times New Roman" w:hAnsi="Times New Roman" w:eastAsia="宋体" w:cs="宋体"/>
                <w:sz w:val="24"/>
                <w:szCs w:val="24"/>
                <w:highlight w:val="none"/>
                <w:u w:val="none"/>
                <w:lang w:val="en-US" w:eastAsia="zh-CN"/>
              </w:rPr>
              <w:t xml:space="preserve">    </w:t>
            </w:r>
            <w:r>
              <w:rPr>
                <w:rFonts w:hint="eastAsia" w:ascii="Times New Roman" w:hAnsi="Times New Roman" w:eastAsia="宋体" w:cs="宋体"/>
                <w:sz w:val="24"/>
                <w:szCs w:val="24"/>
                <w:highlight w:val="none"/>
                <w:u w:val="none"/>
              </w:rPr>
              <w:t xml:space="preserve">号：1218163968872486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5204" w:type="dxa"/>
            <w:noWrap/>
            <w:vAlign w:val="center"/>
          </w:tcPr>
          <w:p>
            <w:pPr>
              <w:snapToGrid w:val="0"/>
              <w:rPr>
                <w:rFonts w:hint="eastAsia" w:hAnsi="宋体" w:eastAsia="宋体"/>
                <w:sz w:val="24"/>
                <w:highlight w:val="none"/>
                <w:lang w:val="en-US" w:eastAsia="zh-CN"/>
              </w:rPr>
            </w:pPr>
            <w:r>
              <w:rPr>
                <w:rFonts w:hint="eastAsia" w:hAnsi="宋体"/>
                <w:sz w:val="24"/>
                <w:highlight w:val="none"/>
              </w:rPr>
              <w:t>邮政编码：15000</w:t>
            </w:r>
            <w:r>
              <w:rPr>
                <w:rFonts w:hint="eastAsia" w:hAnsi="宋体"/>
                <w:sz w:val="24"/>
                <w:highlight w:val="none"/>
                <w:lang w:val="en-US" w:eastAsia="zh-CN"/>
              </w:rPr>
              <w:t>1</w:t>
            </w:r>
          </w:p>
        </w:tc>
        <w:tc>
          <w:tcPr>
            <w:tcW w:w="4957" w:type="dxa"/>
            <w:noWrap/>
            <w:vAlign w:val="center"/>
          </w:tcPr>
          <w:p>
            <w:pPr>
              <w:snapToGrid w:val="0"/>
              <w:rPr>
                <w:rFonts w:hint="eastAsia" w:ascii="Times New Roman" w:hAnsi="宋体" w:eastAsia="宋体" w:cs="Times New Roman"/>
                <w:sz w:val="24"/>
                <w:highlight w:val="none"/>
                <w:lang w:val="en-US" w:eastAsia="zh-CN"/>
              </w:rPr>
            </w:pPr>
            <w:r>
              <w:rPr>
                <w:rFonts w:ascii="Times New Roman" w:hAnsi="宋体" w:eastAsia="宋体" w:cs="Times New Roman"/>
                <w:sz w:val="24"/>
                <w:highlight w:val="none"/>
              </w:rPr>
              <w:t>邮政编码：</w:t>
            </w:r>
            <w:r>
              <w:rPr>
                <w:rFonts w:hint="eastAsia" w:ascii="Times New Roman" w:hAnsi="宋体" w:eastAsia="宋体" w:cs="Times New Roman"/>
                <w:sz w:val="24"/>
                <w:highlight w:val="none"/>
              </w:rPr>
              <w:t>15000</w:t>
            </w:r>
            <w:r>
              <w:rPr>
                <w:rFonts w:hint="eastAsia" w:hAnsi="宋体" w:cs="Times New Roman"/>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5" w:hRule="atLeast"/>
        </w:trPr>
        <w:tc>
          <w:tcPr>
            <w:tcW w:w="10161" w:type="dxa"/>
            <w:gridSpan w:val="2"/>
            <w:noWrap/>
          </w:tcPr>
          <w:p>
            <w:pPr>
              <w:pStyle w:val="22"/>
              <w:ind w:firstLine="0" w:firstLineChars="0"/>
              <w:rPr>
                <w:highlight w:val="none"/>
              </w:rPr>
            </w:pPr>
            <w:r>
              <w:rPr>
                <w:rFonts w:hint="eastAsia"/>
                <w:highlight w:val="none"/>
              </w:rPr>
              <w:t>采购办审核（章）</w:t>
            </w:r>
          </w:p>
          <w:p>
            <w:pPr>
              <w:pStyle w:val="22"/>
              <w:ind w:firstLine="0" w:firstLineChars="0"/>
              <w:rPr>
                <w:highlight w:val="none"/>
              </w:rPr>
            </w:pPr>
          </w:p>
          <w:p>
            <w:pPr>
              <w:snapToGrid w:val="0"/>
              <w:rPr>
                <w:rFonts w:hAnsi="宋体"/>
                <w:sz w:val="24"/>
                <w:highlight w:val="none"/>
              </w:rPr>
            </w:pPr>
            <w:r>
              <w:rPr>
                <w:rFonts w:hint="eastAsia" w:hAnsi="宋体"/>
                <w:sz w:val="24"/>
                <w:highlight w:val="none"/>
              </w:rPr>
              <w:t xml:space="preserve"> 经办人：</w:t>
            </w:r>
          </w:p>
          <w:p>
            <w:pPr>
              <w:snapToGrid w:val="0"/>
              <w:ind w:firstLine="720" w:firstLineChars="300"/>
              <w:jc w:val="right"/>
              <w:rPr>
                <w:rFonts w:hAnsi="宋体"/>
                <w:sz w:val="24"/>
                <w:highlight w:val="none"/>
              </w:rPr>
            </w:pPr>
          </w:p>
          <w:p>
            <w:pPr>
              <w:snapToGrid w:val="0"/>
              <w:jc w:val="right"/>
              <w:rPr>
                <w:sz w:val="24"/>
                <w:highlight w:val="none"/>
              </w:rPr>
            </w:pPr>
            <w:r>
              <w:rPr>
                <w:rFonts w:hint="eastAsia"/>
                <w:sz w:val="24"/>
                <w:highlight w:val="none"/>
                <w:u w:val="single"/>
              </w:rPr>
              <w:t>202</w:t>
            </w:r>
            <w:r>
              <w:rPr>
                <w:rFonts w:hint="eastAsia"/>
                <w:sz w:val="24"/>
                <w:highlight w:val="none"/>
                <w:u w:val="single"/>
                <w:lang w:val="en-US" w:eastAsia="zh-CN"/>
              </w:rPr>
              <w:t>3</w:t>
            </w:r>
            <w:r>
              <w:rPr>
                <w:rFonts w:hint="eastAsia"/>
                <w:sz w:val="24"/>
                <w:highlight w:val="none"/>
              </w:rPr>
              <w:t>年</w:t>
            </w:r>
            <w:r>
              <w:rPr>
                <w:rFonts w:hint="eastAsia"/>
                <w:sz w:val="24"/>
                <w:highlight w:val="none"/>
                <w:u w:val="single"/>
                <w:lang w:eastAsia="zh-CN"/>
              </w:rPr>
              <w:t xml:space="preserve"> </w:t>
            </w:r>
            <w:r>
              <w:rPr>
                <w:rFonts w:hint="eastAsia"/>
                <w:sz w:val="24"/>
                <w:highlight w:val="none"/>
                <w:u w:val="single"/>
                <w:lang w:val="en-US" w:eastAsia="zh-CN"/>
              </w:rPr>
              <w:t>12</w:t>
            </w:r>
            <w:r>
              <w:rPr>
                <w:rFonts w:hint="eastAsia"/>
                <w:sz w:val="24"/>
                <w:highlight w:val="none"/>
                <w:u w:val="single"/>
                <w:lang w:eastAsia="zh-CN"/>
              </w:rPr>
              <w:t xml:space="preserve"> </w:t>
            </w:r>
            <w:r>
              <w:rPr>
                <w:rFonts w:hint="eastAsia"/>
                <w:sz w:val="24"/>
                <w:highlight w:val="none"/>
                <w:u w:val="none"/>
                <w:lang w:eastAsia="zh-CN"/>
              </w:rPr>
              <w:t>月</w:t>
            </w:r>
            <w:r>
              <w:rPr>
                <w:rFonts w:hint="eastAsia"/>
                <w:sz w:val="24"/>
                <w:highlight w:val="none"/>
                <w:u w:val="single"/>
                <w:lang w:val="en-US" w:eastAsia="zh-CN"/>
              </w:rPr>
              <w:t xml:space="preserve">   </w:t>
            </w:r>
            <w:r>
              <w:rPr>
                <w:rFonts w:hint="eastAsia"/>
                <w:sz w:val="24"/>
                <w:highlight w:val="none"/>
                <w:u w:val="none"/>
                <w:lang w:eastAsia="zh-CN"/>
              </w:rPr>
              <w:t>日</w:t>
            </w:r>
          </w:p>
        </w:tc>
      </w:tr>
      <w:bookmarkEnd w:id="6"/>
    </w:tbl>
    <w:p>
      <w:pPr>
        <w:snapToGrid w:val="0"/>
        <w:spacing w:line="360" w:lineRule="auto"/>
        <w:jc w:val="center"/>
        <w:rPr>
          <w:b/>
          <w:sz w:val="28"/>
          <w:szCs w:val="28"/>
          <w:highlight w:val="none"/>
        </w:rPr>
      </w:pPr>
      <w:r>
        <w:rPr>
          <w:sz w:val="28"/>
          <w:szCs w:val="28"/>
          <w:highlight w:val="none"/>
        </w:rPr>
        <w:br w:type="page"/>
      </w:r>
      <w:r>
        <w:rPr>
          <w:b/>
          <w:sz w:val="28"/>
          <w:szCs w:val="28"/>
          <w:highlight w:val="none"/>
        </w:rPr>
        <w:t>合 同 附 件</w:t>
      </w:r>
      <w:r>
        <w:rPr>
          <w:rFonts w:hint="eastAsia"/>
          <w:b/>
          <w:sz w:val="28"/>
          <w:szCs w:val="28"/>
          <w:highlight w:val="none"/>
        </w:rPr>
        <w:t>1</w:t>
      </w:r>
    </w:p>
    <w:tbl>
      <w:tblPr>
        <w:tblStyle w:val="17"/>
        <w:tblW w:w="0" w:type="auto"/>
        <w:tblInd w:w="0" w:type="dxa"/>
        <w:tblLayout w:type="fixed"/>
        <w:tblCellMar>
          <w:top w:w="0" w:type="dxa"/>
          <w:left w:w="108" w:type="dxa"/>
          <w:bottom w:w="0" w:type="dxa"/>
          <w:right w:w="108" w:type="dxa"/>
        </w:tblCellMar>
      </w:tblPr>
      <w:tblGrid>
        <w:gridCol w:w="4995"/>
        <w:gridCol w:w="5031"/>
      </w:tblGrid>
      <w:tr>
        <w:tblPrEx>
          <w:tblCellMar>
            <w:top w:w="0" w:type="dxa"/>
            <w:left w:w="108" w:type="dxa"/>
            <w:bottom w:w="0" w:type="dxa"/>
            <w:right w:w="108" w:type="dxa"/>
          </w:tblCellMar>
        </w:tblPrEx>
        <w:trPr>
          <w:trHeight w:val="3071" w:hRule="exact"/>
        </w:trPr>
        <w:tc>
          <w:tcPr>
            <w:tcW w:w="10026" w:type="dxa"/>
            <w:gridSpan w:val="2"/>
            <w:tcBorders>
              <w:top w:val="single" w:color="auto" w:sz="4" w:space="0"/>
              <w:left w:val="single" w:color="auto" w:sz="4" w:space="0"/>
              <w:bottom w:val="single" w:color="auto" w:sz="4" w:space="0"/>
              <w:right w:val="single" w:color="auto" w:sz="4" w:space="0"/>
            </w:tcBorders>
            <w:noWrap/>
          </w:tcPr>
          <w:p>
            <w:pPr>
              <w:snapToGrid w:val="0"/>
              <w:rPr>
                <w:sz w:val="24"/>
                <w:szCs w:val="19"/>
                <w:highlight w:val="none"/>
              </w:rPr>
            </w:pPr>
            <w:bookmarkStart w:id="7" w:name="bookmark18"/>
            <w:r>
              <w:rPr>
                <w:rFonts w:hint="eastAsia"/>
                <w:sz w:val="24"/>
                <w:szCs w:val="19"/>
                <w:highlight w:val="none"/>
              </w:rPr>
              <w:t>1、供应商承诺具体事项：</w:t>
            </w:r>
          </w:p>
          <w:p>
            <w:pPr>
              <w:rPr>
                <w:rFonts w:hint="eastAsia" w:ascii="Times New Roman" w:hAnsi="Times New Roman" w:eastAsia="宋体" w:cs="Times New Roman"/>
                <w:kern w:val="2"/>
                <w:sz w:val="24"/>
                <w:szCs w:val="19"/>
                <w:highlight w:val="none"/>
                <w:lang w:val="en-US" w:eastAsia="zh-CN" w:bidi="ar-SA"/>
              </w:rPr>
            </w:pPr>
            <w:r>
              <w:rPr>
                <w:rFonts w:hint="eastAsia" w:ascii="Times New Roman" w:hAnsi="Times New Roman" w:eastAsia="宋体" w:cs="Times New Roman"/>
                <w:kern w:val="2"/>
                <w:sz w:val="24"/>
                <w:szCs w:val="19"/>
                <w:highlight w:val="none"/>
                <w:lang w:val="en-US" w:eastAsia="zh-CN" w:bidi="ar-SA"/>
              </w:rPr>
              <w:t>我公司提供重大节日和事件工程师用户现场保障服务。</w:t>
            </w:r>
          </w:p>
          <w:p>
            <w:pPr>
              <w:rPr>
                <w:rFonts w:hint="eastAsia" w:ascii="Times New Roman" w:hAnsi="Times New Roman" w:eastAsia="宋体" w:cs="Times New Roman"/>
                <w:kern w:val="2"/>
                <w:sz w:val="24"/>
                <w:szCs w:val="19"/>
                <w:highlight w:val="none"/>
                <w:lang w:val="en-US" w:eastAsia="zh-CN" w:bidi="ar-SA"/>
              </w:rPr>
            </w:pPr>
            <w:r>
              <w:rPr>
                <w:rFonts w:hint="eastAsia" w:ascii="Times New Roman" w:hAnsi="Times New Roman" w:eastAsia="宋体" w:cs="Times New Roman"/>
                <w:kern w:val="2"/>
                <w:sz w:val="24"/>
                <w:szCs w:val="19"/>
                <w:highlight w:val="none"/>
                <w:lang w:val="en-US" w:eastAsia="zh-CN" w:bidi="ar-SA"/>
              </w:rPr>
              <w:t>我公司积极提供保障准备，售后服务:质保期：三年（提供1年内非人为原因设备重大故障换新服务）。</w:t>
            </w:r>
          </w:p>
          <w:p>
            <w:pPr>
              <w:rPr>
                <w:rFonts w:hint="eastAsia" w:ascii="Times New Roman" w:hAnsi="Times New Roman" w:eastAsia="宋体" w:cs="Times New Roman"/>
                <w:kern w:val="2"/>
                <w:sz w:val="24"/>
                <w:szCs w:val="19"/>
                <w:highlight w:val="none"/>
                <w:lang w:val="en-US" w:eastAsia="zh-CN" w:bidi="ar-SA"/>
              </w:rPr>
            </w:pPr>
            <w:r>
              <w:rPr>
                <w:rFonts w:hint="eastAsia" w:ascii="Times New Roman" w:hAnsi="Times New Roman" w:eastAsia="宋体" w:cs="Times New Roman"/>
                <w:kern w:val="2"/>
                <w:sz w:val="24"/>
                <w:szCs w:val="19"/>
                <w:highlight w:val="none"/>
                <w:lang w:val="en-US" w:eastAsia="zh-CN" w:bidi="ar-SA"/>
              </w:rPr>
              <w:t>提供7*24小时热线电话，设备故障发生后2小时内到达现场，1小时解决故障。</w:t>
            </w:r>
          </w:p>
          <w:p>
            <w:pPr>
              <w:rPr>
                <w:rFonts w:hint="eastAsia" w:ascii="Times New Roman" w:hAnsi="Times New Roman" w:eastAsia="宋体" w:cs="Times New Roman"/>
                <w:kern w:val="2"/>
                <w:sz w:val="24"/>
                <w:szCs w:val="19"/>
                <w:highlight w:val="none"/>
                <w:lang w:val="en-US" w:eastAsia="zh-CN" w:bidi="ar-SA"/>
              </w:rPr>
            </w:pPr>
            <w:r>
              <w:rPr>
                <w:rFonts w:hint="eastAsia" w:ascii="Times New Roman" w:hAnsi="Times New Roman" w:eastAsia="宋体" w:cs="Times New Roman"/>
                <w:kern w:val="2"/>
                <w:sz w:val="24"/>
                <w:szCs w:val="19"/>
                <w:highlight w:val="none"/>
                <w:lang w:val="en-US" w:eastAsia="zh-CN" w:bidi="ar-SA"/>
              </w:rPr>
              <w:t>承诺为本项目质保期内将提供工程师驻场维保服务1人1年服务，已提供运维工程师身份证复印件、为保障运维人员工作稳定性，提供近一年社保缴费证明。</w:t>
            </w:r>
          </w:p>
        </w:tc>
      </w:tr>
      <w:tr>
        <w:tblPrEx>
          <w:tblCellMar>
            <w:top w:w="0" w:type="dxa"/>
            <w:left w:w="108" w:type="dxa"/>
            <w:bottom w:w="0" w:type="dxa"/>
            <w:right w:w="108" w:type="dxa"/>
          </w:tblCellMar>
        </w:tblPrEx>
        <w:trPr>
          <w:trHeight w:val="2664" w:hRule="exact"/>
        </w:trPr>
        <w:tc>
          <w:tcPr>
            <w:tcW w:w="10026" w:type="dxa"/>
            <w:gridSpan w:val="2"/>
            <w:tcBorders>
              <w:top w:val="single" w:color="auto" w:sz="4" w:space="0"/>
              <w:left w:val="single" w:color="auto" w:sz="4" w:space="0"/>
              <w:bottom w:val="single" w:color="auto" w:sz="4" w:space="0"/>
              <w:right w:val="single" w:color="auto" w:sz="4" w:space="0"/>
            </w:tcBorders>
            <w:noWrap/>
          </w:tcPr>
          <w:p>
            <w:pPr>
              <w:snapToGrid w:val="0"/>
              <w:rPr>
                <w:sz w:val="24"/>
                <w:szCs w:val="19"/>
                <w:highlight w:val="none"/>
              </w:rPr>
            </w:pPr>
            <w:r>
              <w:rPr>
                <w:rFonts w:hint="eastAsia"/>
                <w:sz w:val="24"/>
                <w:szCs w:val="19"/>
                <w:highlight w:val="none"/>
              </w:rPr>
              <w:t>2、售后服务具体事项：</w:t>
            </w:r>
          </w:p>
          <w:p>
            <w:pPr>
              <w:rPr>
                <w:sz w:val="24"/>
                <w:highlight w:val="none"/>
              </w:rPr>
            </w:pPr>
            <w:r>
              <w:rPr>
                <w:rFonts w:hint="eastAsia" w:ascii="Times New Roman" w:hAnsi="Times New Roman" w:eastAsia="宋体" w:cs="Times New Roman"/>
                <w:kern w:val="2"/>
                <w:sz w:val="24"/>
                <w:szCs w:val="19"/>
                <w:highlight w:val="none"/>
                <w:lang w:val="en-US" w:eastAsia="zh-CN" w:bidi="ar-SA"/>
              </w:rPr>
              <w:t>提供7*24小时热线电话，设备故障发生后2小时内到达现场，1小时解决故障。对于重大事件活动，提供7*24小时现场值守，积极提供保障准备，我公司将成立现场任务保障组，专人负责等措施，保障期间系统的正常运行，我公司可应对保障期间系统的各类突发事件；满足售后服务要求:提供每季度3次设备巡检及系统软件更新维护服务，满足培训要求对所提供产品提供专业培训，实施完毕后提供系统设备使用故障调试解决方法并提供相关技术文档</w:t>
            </w:r>
            <w:r>
              <w:rPr>
                <w:rFonts w:hint="eastAsia" w:cs="Times New Roman"/>
                <w:kern w:val="2"/>
                <w:sz w:val="24"/>
                <w:szCs w:val="19"/>
                <w:highlight w:val="none"/>
                <w:lang w:val="en-US" w:eastAsia="zh-CN" w:bidi="ar-SA"/>
              </w:rPr>
              <w:t>。</w:t>
            </w:r>
          </w:p>
        </w:tc>
      </w:tr>
      <w:tr>
        <w:tblPrEx>
          <w:tblCellMar>
            <w:top w:w="0" w:type="dxa"/>
            <w:left w:w="108" w:type="dxa"/>
            <w:bottom w:w="0" w:type="dxa"/>
            <w:right w:w="108" w:type="dxa"/>
          </w:tblCellMar>
        </w:tblPrEx>
        <w:trPr>
          <w:trHeight w:val="2202" w:hRule="exact"/>
        </w:trPr>
        <w:tc>
          <w:tcPr>
            <w:tcW w:w="10026" w:type="dxa"/>
            <w:gridSpan w:val="2"/>
            <w:tcBorders>
              <w:top w:val="single" w:color="auto" w:sz="4" w:space="0"/>
              <w:left w:val="single" w:color="auto" w:sz="4" w:space="0"/>
              <w:bottom w:val="single" w:color="auto" w:sz="4" w:space="0"/>
              <w:right w:val="single" w:color="auto" w:sz="4" w:space="0"/>
            </w:tcBorders>
            <w:noWrap/>
          </w:tcPr>
          <w:p>
            <w:pPr>
              <w:snapToGrid w:val="0"/>
              <w:rPr>
                <w:sz w:val="24"/>
                <w:szCs w:val="19"/>
                <w:highlight w:val="none"/>
              </w:rPr>
            </w:pPr>
            <w:r>
              <w:rPr>
                <w:rFonts w:hint="eastAsia"/>
                <w:sz w:val="24"/>
                <w:szCs w:val="19"/>
                <w:highlight w:val="none"/>
              </w:rPr>
              <w:t>3、保修期责任：</w:t>
            </w:r>
          </w:p>
          <w:p>
            <w:pPr>
              <w:rPr>
                <w:highlight w:val="none"/>
              </w:rPr>
            </w:pPr>
            <w:r>
              <w:rPr>
                <w:rFonts w:hint="eastAsia" w:ascii="Times New Roman" w:hAnsi="Times New Roman" w:eastAsia="宋体" w:cs="Times New Roman"/>
                <w:kern w:val="2"/>
                <w:sz w:val="24"/>
                <w:szCs w:val="19"/>
                <w:highlight w:val="none"/>
                <w:lang w:val="en-US" w:eastAsia="zh-CN" w:bidi="ar-SA"/>
              </w:rPr>
              <w:t>提供7*24小时热线电话，设备故障发生后2小时内到达现场，1小时解决故障。对于重大事件活动，提供7*24小时现场值守，积极提供保障准备，我公司将成立现场任务保障组，专人负责等措施，保障期间系统的正常运行，我公司可应对保障期间系统的各类突发事件；质保期内每半年组织现场培训和交流；质保期内每季度进行3次设备巡检。</w:t>
            </w:r>
          </w:p>
        </w:tc>
      </w:tr>
      <w:tr>
        <w:tblPrEx>
          <w:tblCellMar>
            <w:top w:w="0" w:type="dxa"/>
            <w:left w:w="108" w:type="dxa"/>
            <w:bottom w:w="0" w:type="dxa"/>
            <w:right w:w="108" w:type="dxa"/>
          </w:tblCellMar>
        </w:tblPrEx>
        <w:trPr>
          <w:trHeight w:val="1356" w:hRule="exact"/>
        </w:trPr>
        <w:tc>
          <w:tcPr>
            <w:tcW w:w="10026" w:type="dxa"/>
            <w:gridSpan w:val="2"/>
            <w:tcBorders>
              <w:top w:val="single" w:color="auto" w:sz="4" w:space="0"/>
              <w:left w:val="single" w:color="auto" w:sz="4" w:space="0"/>
              <w:bottom w:val="single" w:color="auto" w:sz="4" w:space="0"/>
              <w:right w:val="single" w:color="auto" w:sz="4" w:space="0"/>
            </w:tcBorders>
            <w:noWrap/>
          </w:tcPr>
          <w:p>
            <w:pPr>
              <w:snapToGrid w:val="0"/>
              <w:rPr>
                <w:rFonts w:hint="eastAsia"/>
                <w:sz w:val="24"/>
                <w:highlight w:val="none"/>
              </w:rPr>
            </w:pPr>
            <w:r>
              <w:rPr>
                <w:rFonts w:hint="eastAsia"/>
                <w:sz w:val="24"/>
                <w:highlight w:val="none"/>
              </w:rPr>
              <w:t>4、其他具体事项：</w:t>
            </w:r>
          </w:p>
          <w:p>
            <w:pPr>
              <w:snapToGrid w:val="0"/>
              <w:rPr>
                <w:rFonts w:hint="default" w:eastAsia="宋体"/>
                <w:highlight w:val="none"/>
                <w:lang w:val="en-US" w:eastAsia="zh-CN"/>
              </w:rPr>
            </w:pPr>
            <w:r>
              <w:rPr>
                <w:rFonts w:hint="eastAsia" w:ascii="Times New Roman" w:hAnsi="Times New Roman" w:eastAsia="宋体" w:cs="Times New Roman"/>
                <w:sz w:val="24"/>
                <w:szCs w:val="19"/>
                <w:highlight w:val="none"/>
                <w:lang w:val="en-US" w:eastAsia="zh-CN"/>
              </w:rPr>
              <w:t>无</w:t>
            </w:r>
          </w:p>
        </w:tc>
      </w:tr>
      <w:tr>
        <w:tblPrEx>
          <w:tblCellMar>
            <w:top w:w="0" w:type="dxa"/>
            <w:left w:w="108" w:type="dxa"/>
            <w:bottom w:w="0" w:type="dxa"/>
            <w:right w:w="108" w:type="dxa"/>
          </w:tblCellMar>
        </w:tblPrEx>
        <w:trPr>
          <w:trHeight w:val="2833" w:hRule="atLeast"/>
        </w:trPr>
        <w:tc>
          <w:tcPr>
            <w:tcW w:w="4995" w:type="dxa"/>
            <w:tcBorders>
              <w:top w:val="single" w:color="auto" w:sz="4" w:space="0"/>
              <w:left w:val="single" w:color="auto" w:sz="4" w:space="0"/>
              <w:bottom w:val="single" w:color="auto" w:sz="4" w:space="0"/>
              <w:right w:val="single" w:color="auto" w:sz="4" w:space="0"/>
            </w:tcBorders>
            <w:noWrap/>
            <w:vAlign w:val="center"/>
          </w:tcPr>
          <w:p>
            <w:pPr>
              <w:snapToGrid w:val="0"/>
              <w:rPr>
                <w:sz w:val="24"/>
                <w:highlight w:val="none"/>
              </w:rPr>
            </w:pPr>
            <w:r>
              <w:rPr>
                <w:sz w:val="24"/>
                <w:highlight w:val="none"/>
              </w:rPr>
              <w:t>甲方（章）</w:t>
            </w: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pStyle w:val="23"/>
              <w:ind w:left="0" w:leftChars="0" w:firstLine="0" w:firstLineChars="0"/>
              <w:rPr>
                <w:rFonts w:hint="eastAsia" w:eastAsia="宋体"/>
                <w:sz w:val="24"/>
                <w:highlight w:val="none"/>
                <w:lang w:eastAsia="zh-CN"/>
              </w:rPr>
            </w:pPr>
          </w:p>
          <w:p>
            <w:pPr>
              <w:pStyle w:val="23"/>
              <w:ind w:left="0" w:leftChars="0" w:firstLine="0" w:firstLineChars="0"/>
              <w:rPr>
                <w:rFonts w:hint="eastAsia" w:eastAsia="宋体"/>
                <w:sz w:val="24"/>
                <w:highlight w:val="none"/>
                <w:lang w:eastAsia="zh-CN"/>
              </w:rPr>
            </w:pPr>
          </w:p>
          <w:p>
            <w:pPr>
              <w:snapToGrid w:val="0"/>
              <w:jc w:val="right"/>
              <w:rPr>
                <w:sz w:val="24"/>
                <w:highlight w:val="none"/>
              </w:rPr>
            </w:pPr>
            <w:r>
              <w:rPr>
                <w:rFonts w:hint="eastAsia"/>
                <w:sz w:val="24"/>
                <w:highlight w:val="none"/>
                <w:u w:val="single"/>
              </w:rPr>
              <w:t>202</w:t>
            </w:r>
            <w:r>
              <w:rPr>
                <w:rFonts w:hint="eastAsia"/>
                <w:sz w:val="24"/>
                <w:highlight w:val="none"/>
                <w:u w:val="single"/>
                <w:lang w:val="en-US" w:eastAsia="zh-CN"/>
              </w:rPr>
              <w:t>3</w:t>
            </w:r>
            <w:r>
              <w:rPr>
                <w:rFonts w:hint="eastAsia"/>
                <w:sz w:val="24"/>
                <w:highlight w:val="none"/>
              </w:rPr>
              <w:t>年</w:t>
            </w:r>
            <w:r>
              <w:rPr>
                <w:rFonts w:hint="eastAsia"/>
                <w:sz w:val="24"/>
                <w:highlight w:val="none"/>
                <w:u w:val="single"/>
                <w:lang w:eastAsia="zh-CN"/>
              </w:rPr>
              <w:t xml:space="preserve"> </w:t>
            </w:r>
            <w:r>
              <w:rPr>
                <w:rFonts w:hint="eastAsia"/>
                <w:sz w:val="24"/>
                <w:highlight w:val="none"/>
                <w:u w:val="single"/>
                <w:lang w:val="en-US" w:eastAsia="zh-CN"/>
              </w:rPr>
              <w:t>12</w:t>
            </w:r>
            <w:r>
              <w:rPr>
                <w:rFonts w:hint="eastAsia"/>
                <w:sz w:val="24"/>
                <w:highlight w:val="none"/>
                <w:u w:val="single"/>
                <w:lang w:eastAsia="zh-CN"/>
              </w:rPr>
              <w:t xml:space="preserve"> </w:t>
            </w:r>
            <w:r>
              <w:rPr>
                <w:rFonts w:hint="eastAsia"/>
                <w:sz w:val="24"/>
                <w:highlight w:val="none"/>
                <w:u w:val="none"/>
                <w:lang w:eastAsia="zh-CN"/>
              </w:rPr>
              <w:t>月</w:t>
            </w:r>
            <w:r>
              <w:rPr>
                <w:rFonts w:hint="eastAsia"/>
                <w:sz w:val="24"/>
                <w:highlight w:val="none"/>
                <w:u w:val="single"/>
                <w:lang w:val="en-US" w:eastAsia="zh-CN"/>
              </w:rPr>
              <w:t xml:space="preserve">   </w:t>
            </w:r>
            <w:r>
              <w:rPr>
                <w:rFonts w:hint="eastAsia"/>
                <w:sz w:val="24"/>
                <w:highlight w:val="none"/>
                <w:u w:val="none"/>
                <w:lang w:eastAsia="zh-CN"/>
              </w:rPr>
              <w:t>日</w:t>
            </w:r>
          </w:p>
        </w:tc>
        <w:tc>
          <w:tcPr>
            <w:tcW w:w="5031" w:type="dxa"/>
            <w:tcBorders>
              <w:top w:val="single" w:color="auto" w:sz="4" w:space="0"/>
              <w:left w:val="single" w:color="auto" w:sz="4" w:space="0"/>
              <w:bottom w:val="single" w:color="auto" w:sz="4" w:space="0"/>
              <w:right w:val="single" w:color="auto" w:sz="4" w:space="0"/>
            </w:tcBorders>
            <w:noWrap/>
            <w:vAlign w:val="center"/>
          </w:tcPr>
          <w:p>
            <w:pPr>
              <w:snapToGrid w:val="0"/>
              <w:rPr>
                <w:sz w:val="24"/>
                <w:highlight w:val="none"/>
              </w:rPr>
            </w:pPr>
            <w:r>
              <w:rPr>
                <w:sz w:val="24"/>
                <w:highlight w:val="none"/>
              </w:rPr>
              <w:t>乙方（章）</w:t>
            </w:r>
          </w:p>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pStyle w:val="23"/>
              <w:ind w:left="0" w:leftChars="0" w:firstLine="0" w:firstLineChars="0"/>
              <w:rPr>
                <w:sz w:val="24"/>
                <w:highlight w:val="none"/>
              </w:rPr>
            </w:pPr>
          </w:p>
          <w:p>
            <w:pPr>
              <w:pStyle w:val="23"/>
              <w:ind w:left="0" w:leftChars="0" w:firstLine="0" w:firstLineChars="0"/>
              <w:rPr>
                <w:sz w:val="24"/>
                <w:highlight w:val="none"/>
              </w:rPr>
            </w:pPr>
          </w:p>
          <w:p>
            <w:pPr>
              <w:snapToGrid w:val="0"/>
              <w:rPr>
                <w:sz w:val="24"/>
                <w:highlight w:val="none"/>
              </w:rPr>
            </w:pPr>
          </w:p>
          <w:p>
            <w:pPr>
              <w:snapToGrid w:val="0"/>
              <w:jc w:val="right"/>
              <w:rPr>
                <w:sz w:val="24"/>
                <w:highlight w:val="none"/>
              </w:rPr>
            </w:pPr>
            <w:r>
              <w:rPr>
                <w:rFonts w:hint="eastAsia"/>
                <w:sz w:val="24"/>
                <w:highlight w:val="none"/>
                <w:u w:val="single"/>
              </w:rPr>
              <w:t>202</w:t>
            </w:r>
            <w:r>
              <w:rPr>
                <w:rFonts w:hint="eastAsia"/>
                <w:sz w:val="24"/>
                <w:highlight w:val="none"/>
                <w:u w:val="single"/>
                <w:lang w:val="en-US" w:eastAsia="zh-CN"/>
              </w:rPr>
              <w:t>3</w:t>
            </w:r>
            <w:r>
              <w:rPr>
                <w:rFonts w:hint="eastAsia"/>
                <w:sz w:val="24"/>
                <w:highlight w:val="none"/>
              </w:rPr>
              <w:t>年</w:t>
            </w:r>
            <w:r>
              <w:rPr>
                <w:rFonts w:hint="eastAsia"/>
                <w:sz w:val="24"/>
                <w:highlight w:val="none"/>
                <w:u w:val="single"/>
                <w:lang w:eastAsia="zh-CN"/>
              </w:rPr>
              <w:t xml:space="preserve"> </w:t>
            </w:r>
            <w:r>
              <w:rPr>
                <w:rFonts w:hint="eastAsia"/>
                <w:sz w:val="24"/>
                <w:highlight w:val="none"/>
                <w:u w:val="single"/>
                <w:lang w:val="en-US" w:eastAsia="zh-CN"/>
              </w:rPr>
              <w:t>12</w:t>
            </w:r>
            <w:r>
              <w:rPr>
                <w:rFonts w:hint="eastAsia"/>
                <w:sz w:val="24"/>
                <w:highlight w:val="none"/>
                <w:u w:val="single"/>
                <w:lang w:eastAsia="zh-CN"/>
              </w:rPr>
              <w:t xml:space="preserve"> </w:t>
            </w:r>
            <w:r>
              <w:rPr>
                <w:rFonts w:hint="eastAsia"/>
                <w:sz w:val="24"/>
                <w:highlight w:val="none"/>
                <w:u w:val="none"/>
                <w:lang w:eastAsia="zh-CN"/>
              </w:rPr>
              <w:t>月</w:t>
            </w:r>
            <w:r>
              <w:rPr>
                <w:rFonts w:hint="eastAsia"/>
                <w:sz w:val="24"/>
                <w:highlight w:val="none"/>
                <w:u w:val="single"/>
                <w:lang w:val="en-US" w:eastAsia="zh-CN"/>
              </w:rPr>
              <w:t xml:space="preserve">   </w:t>
            </w:r>
            <w:r>
              <w:rPr>
                <w:rFonts w:hint="eastAsia"/>
                <w:sz w:val="24"/>
                <w:highlight w:val="none"/>
                <w:u w:val="none"/>
                <w:lang w:eastAsia="zh-CN"/>
              </w:rPr>
              <w:t>日</w:t>
            </w:r>
          </w:p>
        </w:tc>
      </w:tr>
      <w:bookmarkEnd w:id="7"/>
    </w:tbl>
    <w:p>
      <w:pPr>
        <w:keepNext w:val="0"/>
        <w:keepLines w:val="0"/>
        <w:widowControl/>
        <w:suppressLineNumbers w:val="0"/>
        <w:jc w:val="left"/>
        <w:rPr>
          <w:rFonts w:hint="eastAsia"/>
          <w:sz w:val="48"/>
          <w:szCs w:val="48"/>
          <w:highlight w:val="none"/>
          <w:lang w:val="en-US" w:eastAsia="zh-CN"/>
        </w:rPr>
      </w:pPr>
      <w:r>
        <w:rPr>
          <w:rFonts w:hint="eastAsia" w:ascii="Times New Roman" w:hAnsi="Times New Roman" w:eastAsia="宋体" w:cs="Times New Roman"/>
          <w:kern w:val="2"/>
          <w:sz w:val="24"/>
          <w:szCs w:val="19"/>
          <w:highlight w:val="none"/>
          <w:lang w:val="en-US" w:eastAsia="zh-CN" w:bidi="ar-SA"/>
        </w:rPr>
        <w:t xml:space="preserve"> 注：售后服务事项填不下时可另加附页</w:t>
      </w:r>
      <w:r>
        <w:rPr>
          <w:rFonts w:hint="eastAsia"/>
          <w:sz w:val="48"/>
          <w:szCs w:val="48"/>
          <w:highlight w:val="none"/>
        </w:rPr>
        <w:br w:type="page"/>
      </w:r>
      <w:r>
        <w:rPr>
          <w:rFonts w:hint="eastAsia" w:ascii="Times New Roman" w:hAnsi="Times New Roman" w:eastAsia="宋体" w:cs="Times New Roman"/>
          <w:b/>
          <w:sz w:val="28"/>
          <w:szCs w:val="28"/>
          <w:highlight w:val="none"/>
          <w:lang w:val="en-US" w:eastAsia="zh-CN"/>
        </w:rPr>
        <w:t>合同附件2</w:t>
      </w:r>
    </w:p>
    <w:p>
      <w:pPr>
        <w:jc w:val="center"/>
        <w:rPr>
          <w:rFonts w:hint="eastAsia" w:eastAsia="宋体"/>
          <w:b/>
          <w:bCs/>
          <w:sz w:val="36"/>
          <w:szCs w:val="32"/>
          <w:highlight w:val="none"/>
          <w:lang w:val="en-US" w:eastAsia="zh-CN"/>
        </w:rPr>
      </w:pPr>
      <w:r>
        <w:rPr>
          <w:rFonts w:hint="eastAsia"/>
          <w:b/>
          <w:bCs/>
          <w:sz w:val="36"/>
          <w:szCs w:val="32"/>
          <w:highlight w:val="none"/>
          <w:lang w:val="en-US" w:eastAsia="zh-CN"/>
        </w:rPr>
        <w:t>技术</w:t>
      </w:r>
      <w:r>
        <w:rPr>
          <w:rFonts w:hint="eastAsia"/>
          <w:b/>
          <w:bCs/>
          <w:sz w:val="36"/>
          <w:szCs w:val="32"/>
          <w:highlight w:val="none"/>
        </w:rPr>
        <w:t>详细配置明细</w:t>
      </w:r>
      <w:r>
        <w:rPr>
          <w:rFonts w:hint="eastAsia"/>
          <w:b/>
          <w:bCs/>
          <w:sz w:val="36"/>
          <w:szCs w:val="32"/>
          <w:highlight w:val="none"/>
          <w:lang w:val="en-US" w:eastAsia="zh-CN"/>
        </w:rPr>
        <w:t>表</w:t>
      </w:r>
    </w:p>
    <w:tbl>
      <w:tblPr>
        <w:tblStyle w:val="18"/>
        <w:tblW w:w="11364"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19"/>
        <w:gridCol w:w="852"/>
        <w:gridCol w:w="698"/>
        <w:gridCol w:w="727"/>
        <w:gridCol w:w="835"/>
        <w:gridCol w:w="657"/>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90" w:hRule="atLeast"/>
          <w:tblHeader/>
        </w:trPr>
        <w:tc>
          <w:tcPr>
            <w:tcW w:w="519" w:type="dxa"/>
            <w:shd w:val="clear" w:color="auto" w:fill="FFFFFF" w:themeFill="background1"/>
            <w:vAlign w:val="center"/>
          </w:tcPr>
          <w:p>
            <w:pPr>
              <w:pStyle w:val="29"/>
              <w:spacing w:before="48" w:line="240" w:lineRule="auto"/>
              <w:ind w:left="88" w:leftChars="0"/>
              <w:jc w:val="center"/>
              <w:rPr>
                <w:rFonts w:hint="eastAsia" w:ascii="宋体" w:hAnsi="宋体" w:eastAsia="宋体" w:cs="宋体"/>
                <w:color w:val="auto"/>
                <w:sz w:val="22"/>
                <w:szCs w:val="22"/>
                <w:highlight w:val="none"/>
                <w:vertAlign w:val="baseline"/>
                <w:lang w:eastAsia="zh-CN"/>
              </w:rPr>
            </w:pPr>
            <w:r>
              <w:rPr>
                <w:rFonts w:hint="eastAsia" w:ascii="宋体" w:hAnsi="宋体" w:eastAsia="宋体" w:cs="宋体"/>
                <w:b/>
                <w:color w:val="auto"/>
                <w:sz w:val="22"/>
                <w:szCs w:val="22"/>
                <w:highlight w:val="none"/>
              </w:rPr>
              <w:t>序号</w:t>
            </w:r>
          </w:p>
        </w:tc>
        <w:tc>
          <w:tcPr>
            <w:tcW w:w="852" w:type="dxa"/>
            <w:shd w:val="clear" w:color="auto" w:fill="FFFFFF" w:themeFill="background1"/>
            <w:vAlign w:val="center"/>
          </w:tcPr>
          <w:p>
            <w:pPr>
              <w:pStyle w:val="29"/>
              <w:spacing w:before="48" w:line="240" w:lineRule="auto"/>
              <w:jc w:val="center"/>
              <w:rPr>
                <w:rFonts w:hint="eastAsia" w:ascii="宋体" w:hAnsi="宋体" w:eastAsia="宋体" w:cs="宋体"/>
                <w:color w:val="auto"/>
                <w:sz w:val="22"/>
                <w:szCs w:val="22"/>
                <w:highlight w:val="none"/>
                <w:vertAlign w:val="baseline"/>
                <w:lang w:eastAsia="zh-CN"/>
              </w:rPr>
            </w:pPr>
            <w:r>
              <w:rPr>
                <w:rFonts w:hint="eastAsia" w:ascii="宋体" w:hAnsi="宋体" w:eastAsia="宋体" w:cs="宋体"/>
                <w:b/>
                <w:color w:val="auto"/>
                <w:sz w:val="22"/>
                <w:szCs w:val="22"/>
                <w:highlight w:val="none"/>
                <w:lang w:val="en-US" w:eastAsia="zh-CN"/>
              </w:rPr>
              <w:t>服务</w:t>
            </w:r>
            <w:r>
              <w:rPr>
                <w:rFonts w:hint="eastAsia" w:ascii="宋体" w:hAnsi="宋体" w:eastAsia="宋体" w:cs="宋体"/>
                <w:b/>
                <w:color w:val="auto"/>
                <w:sz w:val="22"/>
                <w:szCs w:val="22"/>
                <w:highlight w:val="none"/>
              </w:rPr>
              <w:t>名称</w:t>
            </w:r>
          </w:p>
        </w:tc>
        <w:tc>
          <w:tcPr>
            <w:tcW w:w="698" w:type="dxa"/>
            <w:shd w:val="clear" w:color="auto" w:fill="FFFFFF" w:themeFill="background1"/>
            <w:vAlign w:val="center"/>
          </w:tcPr>
          <w:p>
            <w:pPr>
              <w:pStyle w:val="29"/>
              <w:spacing w:before="48" w:line="240" w:lineRule="auto"/>
              <w:jc w:val="center"/>
              <w:rPr>
                <w:rFonts w:hint="default" w:ascii="宋体" w:hAnsi="宋体" w:eastAsia="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品牌</w:t>
            </w:r>
          </w:p>
        </w:tc>
        <w:tc>
          <w:tcPr>
            <w:tcW w:w="727" w:type="dxa"/>
            <w:shd w:val="clear" w:color="auto" w:fill="FFFFFF" w:themeFill="background1"/>
            <w:vAlign w:val="center"/>
          </w:tcPr>
          <w:p>
            <w:pPr>
              <w:pStyle w:val="29"/>
              <w:spacing w:before="48" w:line="240" w:lineRule="auto"/>
              <w:jc w:val="center"/>
              <w:rPr>
                <w:rFonts w:hint="default" w:ascii="宋体" w:hAnsi="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型号</w:t>
            </w:r>
          </w:p>
        </w:tc>
        <w:tc>
          <w:tcPr>
            <w:tcW w:w="835" w:type="dxa"/>
            <w:shd w:val="clear" w:color="auto" w:fill="FFFFFF" w:themeFill="background1"/>
            <w:vAlign w:val="center"/>
          </w:tcPr>
          <w:p>
            <w:pPr>
              <w:pStyle w:val="29"/>
              <w:keepNext w:val="0"/>
              <w:keepLines w:val="0"/>
              <w:pageBreakBefore w:val="0"/>
              <w:kinsoku/>
              <w:wordWrap w:val="0"/>
              <w:overflowPunct/>
              <w:topLinePunct w:val="0"/>
              <w:autoSpaceDE w:val="0"/>
              <w:autoSpaceDN w:val="0"/>
              <w:bidi w:val="0"/>
              <w:adjustRightInd/>
              <w:snapToGrid/>
              <w:spacing w:before="48" w:line="240" w:lineRule="auto"/>
              <w:jc w:val="center"/>
              <w:rPr>
                <w:rFonts w:hint="eastAsia" w:ascii="宋体" w:hAnsi="宋体" w:cs="宋体"/>
                <w:color w:val="auto"/>
                <w:sz w:val="20"/>
                <w:szCs w:val="20"/>
                <w:highlight w:val="none"/>
                <w:vertAlign w:val="baseli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制造商名称</w:t>
            </w:r>
          </w:p>
        </w:tc>
        <w:tc>
          <w:tcPr>
            <w:tcW w:w="657" w:type="dxa"/>
            <w:shd w:val="clear" w:color="auto" w:fill="FFFFFF" w:themeFill="background1"/>
            <w:vAlign w:val="center"/>
          </w:tcPr>
          <w:p>
            <w:pPr>
              <w:pStyle w:val="29"/>
              <w:keepNext w:val="0"/>
              <w:keepLines w:val="0"/>
              <w:pageBreakBefore w:val="0"/>
              <w:kinsoku/>
              <w:wordWrap w:val="0"/>
              <w:overflowPunct/>
              <w:topLinePunct w:val="0"/>
              <w:autoSpaceDE w:val="0"/>
              <w:autoSpaceDN w:val="0"/>
              <w:bidi w:val="0"/>
              <w:adjustRightInd/>
              <w:snapToGrid/>
              <w:spacing w:before="48" w:line="240" w:lineRule="auto"/>
              <w:jc w:val="center"/>
              <w:rPr>
                <w:rFonts w:hint="default" w:ascii="宋体" w:hAnsi="宋体" w:eastAsia="宋体" w:cs="宋体"/>
                <w:color w:val="auto"/>
                <w:sz w:val="22"/>
                <w:szCs w:val="22"/>
                <w:highlight w:val="none"/>
                <w:vertAlign w:val="baseline"/>
                <w:lang w:val="en-US" w:eastAsia="zh-CN"/>
              </w:rPr>
            </w:pPr>
            <w:r>
              <w:rPr>
                <w:rFonts w:hint="eastAsia" w:ascii="宋体" w:hAnsi="宋体" w:cs="宋体"/>
                <w:b/>
                <w:color w:val="auto"/>
                <w:sz w:val="22"/>
                <w:szCs w:val="22"/>
                <w:highlight w:val="none"/>
                <w:lang w:val="en-US" w:eastAsia="zh-CN"/>
              </w:rPr>
              <w:t>数量</w:t>
            </w:r>
          </w:p>
        </w:tc>
        <w:tc>
          <w:tcPr>
            <w:tcW w:w="7076" w:type="dxa"/>
            <w:shd w:val="clear" w:color="auto" w:fill="FFFFFF" w:themeFill="background1"/>
            <w:vAlign w:val="center"/>
          </w:tcPr>
          <w:p>
            <w:pPr>
              <w:pStyle w:val="29"/>
              <w:spacing w:before="48" w:line="240" w:lineRule="auto"/>
              <w:jc w:val="center"/>
              <w:rPr>
                <w:rFonts w:hint="eastAsia" w:ascii="宋体" w:hAnsi="宋体" w:eastAsia="宋体" w:cs="宋体"/>
                <w:color w:val="auto"/>
                <w:sz w:val="22"/>
                <w:szCs w:val="22"/>
                <w:highlight w:val="none"/>
                <w:vertAlign w:val="baseline"/>
                <w:lang w:eastAsia="zh-CN"/>
              </w:rPr>
            </w:pPr>
            <w:r>
              <w:rPr>
                <w:rFonts w:hint="eastAsia" w:ascii="宋体" w:hAnsi="宋体" w:eastAsia="宋体" w:cs="宋体"/>
                <w:b/>
                <w:color w:val="auto"/>
                <w:sz w:val="22"/>
                <w:szCs w:val="22"/>
                <w:highlight w:val="none"/>
              </w:rPr>
              <w:t>响应文件响应情况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bidi="ar"/>
              </w:rPr>
              <w:t>1</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i w:val="0"/>
                <w:iCs w:val="0"/>
                <w:color w:val="000000"/>
                <w:kern w:val="0"/>
                <w:sz w:val="20"/>
                <w:szCs w:val="20"/>
                <w:u w:val="none"/>
                <w:lang w:val="en-US" w:eastAsia="zh-CN" w:bidi="ar"/>
              </w:rPr>
              <w:t>移动执法综合管理平台</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InfoCom MLE</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1.1具备支持视频的实时预览功能，设备具备云台转动能力，可进行点位的预置点设置、巡航轨迹设置等。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1.2具备支持视频监控的录像回放功能，可支持高倍速、即时回放、倒放等一系列关于录像的功能。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1.3具备支持本级执法记录和视频设备仪接入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1.4具备支持对执法队员执法过程监督管理，包括执法队员信息管理，历史轨迹回溯、报警记录查询(设备报警、sos报警、偏离录像、出区域)、临时消息下发等应用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1.5具备支持资源（执法记录仪、监控点、移动球、单兵、车载）上图，实时定位，视频预览，通过地图框选方式 实现语音通讯、视频通讯、集群对讲功能；实现应急可视化指挥调度。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1.6支持提供各类资源图上展示及控制操作，在地图上可展示各类资源点的地理位置，通过接收资源点报警事件，实现报警信息可视化展示。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1.7具备支持地图配置能力，包含在线、离线GIS地图；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1.8支持资源上图配置能力，实现资源的地图可视化展示及控制操作，资源类型包含监控点、执法记录仪、单兵、车载、布控球等设备；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1.9具备支持事件可视化监控能力，实时展示报警事件，支持历史报警事件查询；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1.10具备支持针对移动GPS设备的轨迹回放能力，如单兵设备。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1.11具备执法记录仪拍摄上传的视频、音频和图片文件，以缩略图的形式按照日期进行分组展示，提供下载、预览、归档、评价等操作；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1.12具备支持执法对象名单库管理和标签特征标记并指定执法记录仪下发人员信息，现场执法过程中比对中重点名单时，可语音提醒执法人员关注，同时联动中心报警提示指挥人员</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1.13具备支持联系人管理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1.14具备支持终端间一对一或多对多实时音频通话；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1.15具备支持在通话过程中邀请群组内其他成员加入语音通话；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1.16具备支持主动加入/退出群组内的语音通话；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1.17具备支持语音通话中成员加入，离开消息通知；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1.18具备支持终端间一对一或多对多实时视频通话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1.19具备支持终端间一对一或多对多的即时消息的发送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1.20具备可以使用拨号盘输入号码发起音视频通话。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1.21★含系统配套服务器：具备配置128G内存，2颗10核高性能处理器，24寸屏幕品牌型号：联想HU20270FB0。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bidi="ar"/>
              </w:rPr>
              <w:t>2</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5G执法记录仪及配件</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DSJ-HIKN1A1/64G/5GIK</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70套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2.1、5G人脸抓拍执法记录仪，主机内置摄像机录像分辨率1920*1080，主相机图片拍摄3000万像素；执法记录仪质量220g；</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执法记录仪具备夜视功能，在开启夜视功能后，有效拍摄距离可满足说明书的要求，距离可达3m，有效拍摄距离处具备能看清人物面部特征，具有红外补光功能的设备，红外补光范围3m处支持覆盖摄录画面70%以上面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2.3执法记录仪可进行常见的文本格式浏览，包括但不限于txt、doc或pdf等格式；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2.4△无线传输功能：执法记录仪可通过无线通信方式以文件或流的形式传输数据，设备内置无线传输模块。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2.5△卫星定位功能：执法记录仪可接收卫星数据并提供定位信息，具备优先使用北斗卫星导航定位，设备内置具备北斗和GPS模块。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2.6执法记录仪的视频几何失真率控制在15.2%（2688*1512）；15.1%（1920*1080）；14.7%(1280*720) 之内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2.7执法记录仪拍摄的照片分辨力可达1000线（6400×4800）；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2.8高温试验：温度（55±2）℃，持续时间可达4h，试验期间执法记录仪处于工作状态，试验过程中不会发生状态改变，试验后执法记录仪支持能正常工作；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2.9低温试验：温度（-30±3）℃，持续时间：A级2h，B级1h，试验期间执法记录仪处于工作状态，试验过程中不会发生状态改变，试验后执法记录仪能正常工作；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2.10电池工作时间满足连续摄录时间可达11h</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2.11具备通过语音指令控制执法记录仪关机，开始/停止摄像，开始/停止录音，拍照，重要视频标记等操作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2.12△执法记录具备实现人脸比对，执法记录仪设备人脸库十万张。</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2.13具备支持设置编码格式为H.265。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2.14执法仪具备实现人脸抓拍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2.15包含磁吸背夹和充电底座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2.16★产品提供包含1年流量卡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bidi="ar"/>
              </w:rPr>
              <w:t>3</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人脸下发采集站</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ZCS-HIKH1/2T/32LS</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3.1支持32台执法终端同时接入；显示屏13.3寸液晶显示屏，分辨率1920*1080；内存：2G内存；内置存储硬盘： 2T硬盘，可扩展至 6块硬盘，单盘最大支持 8T，支持 RAID 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3.2△满足GA/T 947-2015相关标准。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3.3执法数据采集设备触摸屏尺寸13.3英寸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3.4执法数据采集设可通过 壁挂、桌面或者支架方式进行安装</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3.5△执法数据采集设备可通过扩展模块扩展至16/24/32/个 Mini USB执法记录仪专用接口。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3.6△可通过人脸识别验证登录，验证通过后支持对锁定的执法记录仪自动解锁。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3.7执法数据采集设备在接入能力满负荷条件下采集接口充电电流1300mA</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3.8执法数据采集设备平均无故障工作时间（MTBF）可达10000h</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3.9采用安卓和嵌入式双系统设计，安卓操作系统，操作方便快捷，嵌入式数据采集系统，数据更安全，设备更稳定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3.10三色条灯带设计，记录仪充电、采集状态一目了然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bidi="ar"/>
              </w:rPr>
              <w:t>4</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高清抓拍单元</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iDS-TCE900-CM/V2/16</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2套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4.1包含高清一体化嵌入式摄像机、高清镜头、室外防护罩、相机内置网络信号防雷器、电源适配器等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4.2支持相机和镜头一体化设计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4.3内置两个图像传感器，可分别输出黑白及彩色图像，设备支持对视频图像和抓拍图片进行融合输出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4.4支持主码流同时输出30路4096×2160、2Mbps的25帧/s图像以提供客户端浏览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4.5最大图像尺寸：4096×2160像素；字符叠加时最大可支持4096×2800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具备抓拍黄牌车、蓝牌车、绿牌车、渐变绿牌车、黑牌车、白牌车、黄绿双拼牌车和不启用抓拍八个设置选项。可对蓝色、黄色、绿色、渐变绿色、黑色、白色、黄绿双拼色以及其他不同颜色车牌的车辆进行选择抓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4.7支持车牌黑/白名单设置，最大可设置90万条黑/ 白名单。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4.8在车辆结构化属性清晰、无遮挡的情况下，客户端设备与受检设备直连进行测试，从抓拍图片到输出车牌信息的时间低于18ms。</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4.9支持识别车标类型460种；在天气晴朗无雾，车辆无遮挡，白天环境光照度200lx，夜晚辅助光照度低于30lx的情况下进行测试；白天车标识别准确率99%；晚上车标识别准确率99%。</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4.10宽动态功能有开启、关闭、自动三种设置，当设置为自动时，样品可根据环境照度自动开启或关闭宽动态功能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4.11具备识别通过监视画面中的机动车车牌号码，包括大型汽车号牌、挂车号牌、大型新能源汽车号牌、小型汽车号牌、小型新能源汽车号牌、武警车牌、军牌、港澳入出境车号牌、使馆汽车号牌、教练汽车号牌、民航车牌。可识别并抓拍垂直倾斜角度55°、水平倾斜角度35°、俯仰角度35°的机动车车牌号码。支持对80×25至1200 × 380像素的机动车车牌进行抓拍并识别号码。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4.12可在左右45°范围内识别机动车车辆特征，包括车牌号码、车身颜色、车辆类型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4.13可通过IE浏览器显示监视画面中鼠标所选区域水平及垂直方向的像素数。可通过IE浏览器设置室内、室外、白天、夜晚、普通、背光、顺光、低照度、高速运动、高度、超级夜景、自定义1-8场景模式的参数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4.14网络直连情况下，在只输出主码流、分辨率设置为1920 × 1080、帧率设置为25fps, 码率设置为1Mbps，网络协议为UDP、最短延时、智能分析关闭时，视频图像传输至客户端的延时时间70ms</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4.15△ 具备支持对机动车、非机动车、行人等混合目标进行检测。能同时检测140个混合的静态目标并对这些目标进行绿框跟踪；可同时对140个混合的静态目标进行优选、抓拍及属性分析。</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4.16△支持检测并跟踪指定区域内230个目标，目标包括机动车、非机动车以及行人等。。.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4.17△支持识别并显示50种车辆类型。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4.18△具备支持在补光亮度151x情况下，开启图像低照增强功能后，车内人员、车辆车身颜色、车辆号牌、车型可辨。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4.19支持33块感兴趣区域(ROI)增强编码功能，ROI区域压缩比0-100可设置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4.20正常违章行为优先级抓拍功能，支持根据现场违章抓拍需求通过web界面设置事件优先度，事件优先度1-18可设，设置后可按事件优先度进行违章抓拍及图片存储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4.21抓拍图片具备智能压缩技术，可以保证在主体目标清晰的情况下压缩图片整体大小，平均压缩率可达到原图大小的30%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4.22具备支持分别对车型（大货车、中货车、小货车、客车、小轿车、中客车、危险品运输车、校车、面包车、环卫车其他车型等）进行不同超速比设置，可设置12个超速比区间。在相同道路上，设备支持根据不同的超速比设置对不同车型进行超速抓拍，并输出不同的超速抓拍结果及违法代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4.23产品包含LED频闪灯一台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5</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交通辅助产品</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海康威视</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TLD-2016-N</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杭州海康威视数字技术股份有限公司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2套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5.1具有16路信号灯交流信号输入接口，可扩展22路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5.2具有4个RS485输出接口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5.3具有1路100M网口输出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5.4具有1个5VDC输出接口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5.5具有5路拨码开关，用来设置波特率、地址和上传模式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5.616路交通灯状态指示，可扩展22路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5.7检测、通讯单元采用微控制器设计，稳定可靠</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5.8输入接口采用压电保护、光电隔离等防护措施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5.9具备支持实时输出交通灯信号状态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5.10工作温度：温度-30℃～70℃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5.11电源：AC220V±10%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5.12工作湿度：湿度5%～95%@40℃，无凝结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5.13功耗：低于5W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6</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企业级路由器</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华为</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华为AR6280-S</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华为技术有限公司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6.1业务路由单元板,4*SIC,2*WSIC,2*XSIC,自带一个350W交流电源</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6.2带机量2000台PC，转发性能60Mpps-220Mpps，交换容量320Gbps。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7</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UPS电源系统</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商宇</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HP3360H</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深圳市商宇电子科技有限公司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7.1★符合本项目要求采用在线式双变换高频型UPS，三进三出，容量60kVA/54kW，数量为1台。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7.2输出为额定阻性负载时，输入电压范围：323～418VAC。</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7.3输入电压与频率为额定值时，输出为额定100%非线性负载时，输入功率因数低于0.99。</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7.4输出为空载和额定阻性负载，调节输入电压为UPS上、下限值时，其稳压精度0.1%。</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7.5额定输出功率因数0.9。</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7.6100%不平衡负载：输入电压与频率为额定值，输出任意一相为额定阻性负载，其余相空载，输出电压不平衡度0.5%。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7.7输入电压为额定值，输出为额定100%阻性负载时，系统效率95.5%。</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7.8过载能力：输入电压为额定值，输出为阻性负载，调节输出电流，使输出功率为额定值的125%，正常工作时间10min。</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7.9产品具备无电池开机功能：UPS主机在没有接入电池组或者电池组故障时，可直接通过市电直接开机。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7.10UPS主机人机界面配置LCD显示屏，同时具备配置LED故障、状态显示灯，方便现场运维。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7.11UPS主机具备自老化功能：在后端不接任何负载的情况下，UPS主机上电后可通过操作面板设置即可让其自行老化。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7.12△UPS主机满足YD/T1095-2018《通信用交流不间断电源（UPS）》标准要求，已提供本项目UPS主机同系列的泰尔认证证书复印件；提供本项目UPS主机同系列（送样UPS规格60kVA，低于80kVA）的泰尔检验报告复印件。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7.13△UPS主机满足CQC3108-2011《不间断电源节能认证技术规范》标准要求，已提供本项目UPS主机同系列、同规格的中国节能产品认证证书及中国节能产品认证试验报告复印件。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7.14△UPS主机符合GB/T 4208-2017《外壳防护等级（IP代码）》标准中IP21的要求，已提供本项目UPS主机同系列（送样UPS规格60kVA，低于80kVA）的防护等级检验报告复印件。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7.15本项目采用阀控式密封铅酸蓄电池，单节蓄电池标称电压12V，单节蓄电池容量：100Ah，数量为160块。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7.16为保证本项目现场联调方便，保证供货及时性及售后服务高效性，蓄电池与UPS主机同一品牌。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7.17蓄电池正常浮充状态下，其浮充设计寿命可达10年以上。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7.18单节蓄电池净重量可达30KG。</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7.19蓄电池极板支持采用板栅合金工艺，符合要求抗腐蚀性能及深循环性能良好，符合要求自放电小；接线板、终端接头采用导电性能优良的材料，并具有防腐蚀措施。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7.20蓄电池外观无变形、漏液、裂纹及污迹，标识清晰；正、负极端子有明显标志，便于连接。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7.21蓄电池阻燃性能支持符合YD/T799-2010中第6.4条的要求。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7.22蓄电池静置28天后容量保存率97.9%。</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7.23蓄电池密封反应效率96.8%。</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7.24蓄电池内阻3.2mΩ，同组蓄电池内阻偏差小于10.3%。</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7.25同组蓄电池10h率容量试验时，最大实际容量与最小实际容量差值2.3%</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7.26蓄电池符合YD/T 799-2010《通信用阀控式密封蓄电池》的要求。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7.27蓄电池各项参数在中国泰尔实验室检验判定合格。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7.28蓄电池符合YD 5083-2005《电信设备抗地震性能检测规范》及YD/T 5096-2016《通信用电源设备抗地震性能检测规范》的要求。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7.29提供具备安装本项目蓄电池数量的电池柜，每组蓄电池配套独立的蓄电池开关，含直流专用列头柜。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7.30本项目报价已包含蓄电池间的连接线缆，及电池组到UPS主机的连接线缆150米，市电线缆200米。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8</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精密空调</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商宇</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EM30U1</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深圳市商宇电子科技有限公司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8.1为本项目此产品采用单系统单压缩机，风冷型恒温恒湿机型精密空调，上前送风。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8.2★精密空调制冷量可达31.2KW，显热比为0.9，标准风量8500m³/h，以上参数已提供具有CMA及CNAS认证标识检测报告。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8.3精密空调整机全年能效比4.2。</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8.4加热量可达8KW，加湿量可达6kg/h。</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8.5具备高稳定性，超宽输入电压设计，三相电源机组运行电压波动范围380Vac±20%，并具有缺相保护功能。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8.6★空调整机制冷消耗功率11KW，显热比0.9。</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8.7室内机最大输入电流15A。</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8.8投标产品采用知名品牌涡旋高效压缩机，具有启动电流小，转动平滑，运行平稳，高可靠性，低震动，低噪音等功能。整机结构采用“数冲+专业开模”制造工艺，板材一体化成型，结构强度好，耐热性能强。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8.9具备标配G4空气过滤网，可清洗，便于维护，使用寿命长；具备标配过滤网风压差开关，可在过滤网发生堵塞时发出报警，提示过滤网清洗或更换，带有漏水检测功能。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8.10机组室内与室外的风侧换热器，均采用高效内螺纹铜管与蓝色亲水铝膜低压损翅片组合，能够使制冷剂换热接触面积更大、 换热更充分，效率提升20%,节能更耐用。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8.11为提高换热效率，具有更高的显热比，精密空调蒸发器可采用大面积“V”型或“A”型设计。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8.12采用电子膨胀阀，有利于精准控制，更加高效节能,不接受热力膨胀阀等其他形式，已在响应文件内提供由厂家出具的实物照片。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8.13考虑所投精密空调环保性能，符合要求使用R410A环保制冷剂，拒绝R22制冷剂。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8.14具备来电自动重启功能。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8.15具有智能群控功能，群控网络可实现32台机器组网运行。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8.16标配RS485通讯接口，通过后台通信系统可实现对空调机组远程控制、实时数据收集、远程参数设定等功能。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8.17具备告警等级功能，告警根据严重紧急程度分为三个等级，分别是严重告警、一般告警和提示，严重告警一般会导致机组停机或某些部件停止工作。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8.18室内机噪音可达65dB，室外机噪音可达64dB。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8.19精密空调机组人机界面配置支持全中文7寸触摸屏，具备多级密码保护，故障诊断等功能。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8.20精密空调当前告警记录可储存100条；历史告警记录可保存500条，在告警历史记录中存储告警类型、发生时间、持续时间。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8.21★室外风机采用压控式无级调速模式，具备根据冷凝压力自动调节风机转速。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8.22具备符合要求低温组件，延长组件。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8.23本项目精密空调的现场安装位置已经规划完成，精密空调室内机外形尺寸符合招标要求，室内机宽度980（mm），深度995（mm）。如因尺寸偏离而造成的安装影响和退货的费用，将全部由我公司负责。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8.24本项目报价已包含与精密空调安装相关的一切材料（铜管150m））及人工费用。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9</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视频视图库云存储设备</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CX1824-V2</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 24盘位云存储，4U高度，硬盘前面板热插拔维护，支持在线更换故障磁盘</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9.2△具备支持出现故障时通过指示灯、蜂鸣器（语音）、邮件、SNMP、短信、数码管进行告警。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9.3支持分布式块存储，无碎片，系统无存储空间和性能衰减；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9.4△支持单存储节点支持480块磁盘，支持单存储节点存储容量可达6000TB；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9.5△支持在现场实况、存储录像回放、以及下载录像上增加操作人员的IP地址、MAC地址、用户名称、时间等水印以确保信息安全可靠性。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10</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视频视图库多维数据服务器</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VS-MD9500</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10.1支持人脸图片/车辆图片接入及转发能力：入口带宽：512Mbps，出口带宽：1024Mbps</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10.2人脸/车辆小图以及结构化数据接入及转发性能：500条/秒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10.3人脸/车辆大图URL、MAC/RFID数据接入及转发性能：1500条/秒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10.4交流电源输入接口（电源PSU0）</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10.5交流电源输入：100～240V AC，50Hz/60Hz</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10.6电源扩展槽位（电源PSU1）：标配1个300W电源，可扩展1+1双电源冗余</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10.7操作系统：CentOS 7.3 64位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10.8网口：GE*3</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10.9串口：1个RS232口，1个RS232/RS485复用口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10.10USB接口：4个</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10.11硬盘：1TB *2</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10.12内存：32GB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10.13HDMI视频输出接口：1个</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10.14VGA视频输出接口：1个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11</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视频视图库数据库</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DB9500E-S-U-DB9500E</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11.1软件支持将当前建设大数据产品升级为性能更高产品，达到以下标准：人脸静态大库库容可达5000W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11.2过人库库容可达5000W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11.3人脸秒级检索范围可达5000W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11.4机动车库容总量可达500W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11.5机动车秒级检索范围可达500W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11.6人体/非机动车库容总量可达2500W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11.7人体/非机动车秒级检索范围可达2500W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11.8结构化数据库容总量可达10亿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11.9结构化秒级检索范围可达10亿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11.10过车数据写入性能可达128条/S</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11.11不含过车的其他数据写入性能可达256条/S</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11.12升级后支持各类结构化与半结构化数据混存，比例可配置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11.13支持实时机动车布控业务和大数据分析任务，满足各类大数据业务应用需求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11.14支持千万级以图搜图快速检索服务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12</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智能人脸抓拍摄像机</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"mailto:HIC2521-IR@IRA-Z-L-VF" \o "mailto:HIC2521-IR@IRA-Z-L-VF"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HIC2521-IR@IRA-Z-L-VF</w:t>
            </w:r>
            <w:r>
              <w:rPr>
                <w:rFonts w:hint="eastAsia" w:ascii="宋体" w:hAnsi="宋体" w:eastAsia="宋体" w:cs="宋体"/>
                <w:i w:val="0"/>
                <w:iCs w:val="0"/>
                <w:color w:val="auto"/>
                <w:kern w:val="0"/>
                <w:sz w:val="20"/>
                <w:szCs w:val="20"/>
                <w:u w:val="none"/>
                <w:lang w:val="en-US" w:eastAsia="zh-CN" w:bidi="ar"/>
              </w:rPr>
              <w:fldChar w:fldCharType="end"/>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20套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12.1★设备具备采用1/2.8靶面，200W像素镜头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12.2具备支持120dB光学宽动态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12.3具备设备支持150m红外补光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12.4具备支持2.7～13.5mm变焦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12.5具备支持自适应强光抑制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12.6具备支持自适应透雾，摄像机能根据雾霾严重程度，自适应调节透雾等级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12.7设备具备支持1路音频输入，1路音频输出，2路告警输入，1路告警输出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12.8支持过流保护；输入短路保护</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12.9设备防护等级可达IP67</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12.10设备具备支持温湿度-40℃～60℃，5%～95%RH (无冷凝)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12.11投标设备最多可同时检测40个人脸目标； 支持效果优先、速度优先、周期优选三种人脸抓拍优选模式，支持人脸角度过滤； 支持人脸、人体抓拍及关联，支持人脸属性提取； 人脸属性：性别、年龄段、戴眼镜、戴口罩</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12.12支持越界检测、区域入侵、进入区域、离开区域； 支持机动车、非机动车、行人目标分类检测抓拍及布防； 支持声音联动告警，内置告警语音，可设置告警时间和次数，支持自主导入告警语音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12.13支持总人数、进入人数、离开人数统计，支持滞留人数三级报警，支持人数统计清零； 人员密度检测：支持人员密度三级报警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12.14支持包含设备支架电源以及摄像机接入授权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13</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视频数据智能分析系统</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FB-IA15812</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13.1投标设备单板卡自带12颗GPU芯片；GPU：192 TOPS (INT8) 计算能力，显存：96GB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13.2CPU：4核，4线程，3.6GHz，内存：16GB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13.3硬盘：128GB SSD</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13.4接口：RJ45口3个 (FB15818另外多 2个万兆光口)，USB接口2个，VGA口1个</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13.5支持在单板卡上同时运行全结构化算法和行为分析算法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13.6△支持GPU模组芯片集群调度及故障保护；支持实时监测板卡分析能力和GPU芯片的运行状态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13.7单芯片支持10路人脸视频流分析（分辨率300W）；8路人脸视频流分析（300W＜分辨率≤500W）；6路人脸视频流分析（500W＜分辨率＜900W）；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13.8单芯片支持10路机非人视频流分析（分辨率300W）；8路机非人视频流分析（300W＜分辨率≤500W）；6路机非人视频流分析（500W＜分辨率＜900W）；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13.9单芯片支持11路视频流分析（分辨率300W）；8路视频流分析（300W＜分辨率≤500W）；6路视频流分析（500W＜分辨率&lt;900W）；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13.10△单板卡支持人脸建模速度可达500张/s。</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13.11包含100路视频结构化授权，共支持并发分析可达100路视频流或并发可达500张/秒人脸图片或并发量可达300张/秒结构化图片可达2500W/天结构化图片的二次分析。每路视频支持全结构化/人脸/机非人三种分析模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14</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智能网络摄像机</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"mailto:HIC28441-WH@X4-F40-VH1" \o "mailto:HIC28441-WH@X4-F40-VH1"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HIC28441-WH@X4-F40-VH1</w:t>
            </w:r>
            <w:r>
              <w:rPr>
                <w:rFonts w:hint="eastAsia" w:ascii="宋体" w:hAnsi="宋体" w:eastAsia="宋体" w:cs="宋体"/>
                <w:i w:val="0"/>
                <w:iCs w:val="0"/>
                <w:color w:val="auto"/>
                <w:kern w:val="0"/>
                <w:sz w:val="20"/>
                <w:szCs w:val="20"/>
                <w:u w:val="none"/>
                <w:lang w:val="en-US" w:eastAsia="zh-CN" w:bidi="ar"/>
              </w:rPr>
              <w:fldChar w:fldCharType="end"/>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46套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14.1设备为4MP超星光双摄筒型网络摄像机，支持单IP双通道技术，同时预览全景和细节双通道实况画面，在获取目标特征的同时保留目标动向及场景信息，目标抓拍和场景记录一机兼顾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14.2全景镜头支持可达400W像素1/1.8靶面4mm焦距；细节镜头支持可达400W像素1/1.8靶面8～32mm焦距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14.3内置双MIC，采用3D立体智能降噪算法，有效过滤环境噪音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14.4细节通道角度上下可调，便于安装维护</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14.5支持5种深度智能功能：混行检测-全结构化模式、人脸检测、人脸比对、周界布防、人数统计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14.6支持同时检测可达120个目标，支持机动车、非机动车、行人、人脸检测抓拍及布防</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14.7具备支持机动车、非机动车、行人、人脸属性提取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14.8具备支持行人属性：性别、年龄段、戴口罩、上衣颜色、下衣颜色、上衣款式、下衣款式、上衣纹理、携包、身姿、鞋子、发型、移动方向等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14.9支持车牌号码、车辆类型、车身颜色、车辆品牌、行驶方向、行驶速度、车牌颜色、车牌种类等车辆属性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14.10具备支持16个人脸库，100000人脸库容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14.11具备支持越界检测、区域入侵、进入区域、离开区域；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14.12具备支持机动车、非机动车、行人目标分类检测抓拍及布防；</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14.13支持声光联动告警，内置告警语音，可设置告警时间和次数，支持自主导入告警语音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14.14设备防护等级可达IP67</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14.15支持包含电源支架以及接入授权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15</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接入交换机</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新华三（H3C）</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S1850V2-28P-HPWR</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新华三技术有限公司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3套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15.1设备具备支持24口千兆电及4千兆光纤口二层WEB网管企业级网络交换机 POE供电370W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16</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存储设备</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"mailto:NI-VX1648-C@V3" \o "mailto:NI-VX1648-C@V3"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NI-VX1648-C@V3</w:t>
            </w:r>
            <w:r>
              <w:rPr>
                <w:rFonts w:hint="eastAsia" w:ascii="宋体" w:hAnsi="宋体" w:eastAsia="宋体" w:cs="宋体"/>
                <w:i w:val="0"/>
                <w:iCs w:val="0"/>
                <w:color w:val="auto"/>
                <w:kern w:val="0"/>
                <w:sz w:val="20"/>
                <w:szCs w:val="20"/>
                <w:u w:val="none"/>
                <w:lang w:val="en-US" w:eastAsia="zh-CN" w:bidi="ar"/>
              </w:rPr>
              <w:fldChar w:fldCharType="end"/>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16.1IP SAN存储，支持双电源冗余。设备支持双风扇、双BIOS模块。支持电源自动故障切换和在线故障电源的更换。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16.2具备支持千兆GE口和万兆10GE口。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16.3投标设备具备PCIE插槽，具备硬盘插槽数48。本次配置44块8T硬盘</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16.4△设备掉电后存储在缓存中的数据不丢失，支持通过数码管显示缓存数据的保存进度，可查看断电前1s的视频录像。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16.5△设备在当出现IP冲突、网口降速、电源故障、风扇故障、电池故障及RAID故障、磁盘故障、降级RAID无热备盘等故障时，通过数码管、指示灯、蜂鸣器告警、邮件告警、短信等告警方式进行告警。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16.6当RAID阵列中一块硬盘拔掉以后，在系统设定时间(1～100min)之内再插上，该硬盘能够恢复到原有RAID中，RAID阵列恢复正常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16.7RAID组重建支持只重建数据损坏的条带，将数据重建时间缩短到秒级</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16.8无需流媒体服务器即可将视频流直接写入存储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16.9设备可接入BBU电池模块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16.10设备启动时，磁盘可按预设顺序加电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16.11设备支持硬盘漫游功能，磁盘更换槽位后可支持在图形界面上面显示磁盘新的槽位，不影响RAID使用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16.12最大主机连接数1024，并配置所有连接许可。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16.13具备支持硬件环境监控功能，可对设备电压、主板温度、网络接口及CPU使用率等状态信息进行实时查看。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16.14具备支持风扇在不同温度下智能调速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16.15具备支持设备异常掉电，供电恢复后业务自动恢复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16.16具备支持包含IPSAN接入授权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17</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星光级违章检测一体球机</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t>宇视科技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i w:val="0"/>
                <w:iCs w:val="0"/>
                <w:color w:val="auto"/>
                <w:kern w:val="0"/>
                <w:sz w:val="20"/>
                <w:szCs w:val="20"/>
                <w:u w:val="none"/>
                <w:lang w:val="en-US" w:eastAsia="zh-CN" w:bidi="ar"/>
              </w:rPr>
              <w:fldChar w:fldCharType="begin"/>
            </w:r>
            <w:r>
              <w:rPr>
                <w:rFonts w:hint="eastAsia" w:ascii="宋体" w:hAnsi="宋体" w:eastAsia="宋体" w:cs="宋体"/>
                <w:i w:val="0"/>
                <w:iCs w:val="0"/>
                <w:color w:val="auto"/>
                <w:kern w:val="0"/>
                <w:sz w:val="20"/>
                <w:szCs w:val="20"/>
                <w:u w:val="none"/>
                <w:lang w:val="en-US" w:eastAsia="zh-CN" w:bidi="ar"/>
              </w:rPr>
              <w:instrText xml:space="preserve"> HYPERLINK "mailto:HIC6841-IR@L-X40-IT-VH1" \o "mailto:HIC6841-IR@L-X40-IT-VH1" </w:instrText>
            </w:r>
            <w:r>
              <w:rPr>
                <w:rFonts w:hint="eastAsia" w:ascii="宋体" w:hAnsi="宋体" w:eastAsia="宋体" w:cs="宋体"/>
                <w:i w:val="0"/>
                <w:iCs w:val="0"/>
                <w:color w:val="auto"/>
                <w:kern w:val="0"/>
                <w:sz w:val="20"/>
                <w:szCs w:val="20"/>
                <w:u w:val="none"/>
                <w:lang w:val="en-US" w:eastAsia="zh-CN" w:bidi="ar"/>
              </w:rPr>
              <w:fldChar w:fldCharType="separate"/>
            </w:r>
            <w:r>
              <w:rPr>
                <w:rStyle w:val="21"/>
                <w:rFonts w:hint="eastAsia" w:ascii="宋体" w:hAnsi="宋体" w:eastAsia="宋体" w:cs="宋体"/>
                <w:i w:val="0"/>
                <w:iCs w:val="0"/>
                <w:color w:val="auto"/>
                <w:sz w:val="20"/>
                <w:szCs w:val="20"/>
                <w:u w:val="none"/>
              </w:rPr>
              <w:t>HIC6841-IR@L-X40-IT-VH1</w:t>
            </w:r>
            <w:r>
              <w:rPr>
                <w:rFonts w:hint="eastAsia" w:ascii="宋体" w:hAnsi="宋体" w:eastAsia="宋体" w:cs="宋体"/>
                <w:i w:val="0"/>
                <w:iCs w:val="0"/>
                <w:color w:val="auto"/>
                <w:kern w:val="0"/>
                <w:sz w:val="20"/>
                <w:szCs w:val="20"/>
                <w:u w:val="none"/>
                <w:lang w:val="en-US" w:eastAsia="zh-CN" w:bidi="ar"/>
              </w:rPr>
              <w:fldChar w:fldCharType="end"/>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auto"/>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浙江宇视科技有限公司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4套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17.1△具备支持400W球型摄像机，内置CPU/GPU/NPU一体化芯片、8GBeMMC芯片，CMOS图像传感器靶面尺寸1/1.8英寸</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17.2具备支持电动变焦镜头，5.7～228mm焦距</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17.3具备支持多种违停类检测以及压线、逆行、占用车道等多种行车类违法检测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17.4支持多场景巡航检测、多种证据链形式、重复号牌过滤、违法手动抓拍等实用功能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17.5支持智能红外技术，根据画面亮度实时调整红外灯亮度，避免近景过曝现象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17.6△违法取证抓拍图片支持单张上传或者多张合成上传，合成图片使用的原始图片的数量可设置(3～6张可选)，且布局方式可设置 合成图片中每张原始图片的种类可分别选择远景图片、近景图片或特征图片 合成图片中每张原始图片的抓拍时间间隔可分别设置。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17.7具备支持同时记录过车、违法停车、逆行、压线、越线、倒车、异地牌照、占用专用车道、掉头信息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17.8具备开启/关闭违法车辆锁定功能，开启后预览画面中具有指示框锁定违法车辆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17.9支持违停预警功能，当车辆违法停车超过设定时间时，支持抓拍违停预警照片，最多可生成4张预警照片；且通过音柱语音通知即将产生的违法停车行为，并将预警信息和预警照片上传平台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17.10支持对违法车辆在核查证据图片上进行红色框选提示，特写图和过车图不叠加红框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17.11当摄像机受到剧烈打击时，可通过客户端软件给出语音及文字报警提示并可弹出实时监视画面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17.12★设备防护等级可达IP66</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17.13包含电源和支架以及摄像机接入授权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18</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无线手持话筒</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itc</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T-521UH</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18.1频率指标可达640-690MHz、740-790MHz、807-830MHz 共三段，调制方式：宽带FM，频道数目：500个频道间隔：250KHz。</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18.2产品配套有1台接收主机和2个无线手持话筒。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采用UHF超高频段双真分集接收，并采用PLL锁相环多信道频率合成技术；V/A显示屏在任何角度观察字体清晰同时显示信道号与工作频率。红外对频功能，使发射机与接收机频率同步，具有抗干扰能力，能有效抑制由外部带来的噪音干扰及同频干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18.4△支持带8级射频电平显示，8级音频电平显示，频道菜单显示，静音显示；具有SCAN 自动扫频功能，使用前按SET功能键自动找一个环境最干净的频点处停下来，此频率作为接收机的使用频率。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18.5平衡和非平衡两种选择输出端口，适应不同的设备连接需求。</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18.6接收机指标：采用二次变频超外差的接收机方式，灵敏度可达12dB μV（80dBS/N)，灵敏度调节范围可达12-32dB μV，频率响应可达到:80Hz-18KHz（±3dB）。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18.7发射机指标：音头采用动圈式麦克风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18.8输出功率:3mW～30mW。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19</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一拖四无线话筒</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itc</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TS-354</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3套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19.1采用先进PLL频率合成锁相环技术，微电脑集成中央处理器CPU总线控制系统。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19.2支持兼容手动选频和红外自动对频锁定频道， 杂讯锁定静噪控制及音码锁定静噪控制，信号更稳定。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19.3具备V/A显示屏在任何角度观察字体清晰同时显示信道号与工作频率。带8级射频电平显示，8级音频电平显示，频道菜单显示，静音显示。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19.4具备先进的滤波及抗干扰功能能够有效阻隔外界不良信号及手机信号的干扰。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19.5具备使用640-830MHZ频段，每台接收机拥有200个可调频率。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19.6采用传统按键操控，更省电，更经济实惠，性价比高，内置高性能的语音压扩技术，支持平衡和非平衡两种选择输出端口。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19.7系统指标：频率范围：640-690MHZ 740-790MHz  807-830MHz、频道数目：500个、音频响应：80HZ-18KHZ(±2dB)、信噪比：低于105dB、灵敏度 ：–105 dBm for 12 dB SINAD, typical、有效使用距离 ：空旷50米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19.8接收器指标：平衡200Ω 负载-13dBV，非平衡600Ω、音频输出阻抗： 平衡200Ω；1路合并非平衡600Ω；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19.9麦克风指标：输出功率 ：高功率30mW；低功率3mW</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19.10系统包括有一台主机+四台桌面式无线麦克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20</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话筒呼叫控制嵌入软件</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itc</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V1.32</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3套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20.1软件内嵌于话筒设备，实现话筒广播功能，支撑设备各项基本功能的运行。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20.2授权操作管理功能，服务器支持统一配置管理用户及密码。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20.3具备支持单独调节音量。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21</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天线分配器</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itc</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T-523A</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21.1具备支持两路天线信号接收到分配器的天线输入端，两路级联信号输出到下一台分配器的天线输入端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21.2具备覆盖UHF段内可达470-960M所有频率的无线接收机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21.3宽频段的对数周期偶极阵天线或双极化天线或全向的鞭式天线与放大器和分配器组成的系统具有拾取和放大信号再输出分配的作用。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21.4频带范围等同或优于： 640～960MHz，增益：12dB。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21.5输出/入阻抗：50Ω，端口形式： 连接BNC 输入端。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22</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话筒天线</w:t>
            </w:r>
          </w:p>
        </w:tc>
        <w:tc>
          <w:tcPr>
            <w:tcW w:w="698"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itc</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T-522S</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广东保伦电子股份有限公司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22.1采用UHF频段无线真分集接收机用的45度极化宽频全向天线，支持550MHz ～ 850MHz频率范围频段，具备8dBi的高指向特性的增益。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22.2最大功率支持50W，半功率波瓣宽度：H:76°±5°，V:76°±5°，前后比可达23dB，。</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22.3接头类型BNC，雷电保护：直流接地DC。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23</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技术服务</w:t>
            </w:r>
          </w:p>
        </w:tc>
        <w:tc>
          <w:tcPr>
            <w:tcW w:w="698"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永凯科技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技术服务</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哈尔滨永凯科技有限公司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1套</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23.1技术服务内包含安装调测及配套辅材电线电缆管材人工费等，安装点位装修破坏修复。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519" w:type="dxa"/>
            <w:shd w:val="clear" w:color="auto" w:fill="FFFFFF" w:themeFill="background1"/>
            <w:vAlign w:val="center"/>
          </w:tcPr>
          <w:p>
            <w:pPr>
              <w:widowControl/>
              <w:jc w:val="center"/>
              <w:textAlignment w:val="center"/>
              <w:rPr>
                <w:rFonts w:hint="eastAsia" w:ascii="宋体" w:hAnsi="宋体" w:cs="宋体"/>
                <w:i w:val="0"/>
                <w:iCs w:val="0"/>
                <w:color w:val="auto"/>
                <w:kern w:val="0"/>
                <w:sz w:val="24"/>
                <w:szCs w:val="24"/>
                <w:highlight w:val="none"/>
                <w:u w:val="none"/>
                <w:lang w:val="en-US" w:eastAsia="zh-CN" w:bidi="ar"/>
              </w:rPr>
            </w:pPr>
            <w:r>
              <w:rPr>
                <w:rFonts w:hint="eastAsia" w:ascii="宋体" w:hAnsi="宋体" w:eastAsia="宋体" w:cs="宋体"/>
                <w:color w:val="000000"/>
                <w:kern w:val="0"/>
                <w:sz w:val="24"/>
                <w:szCs w:val="24"/>
                <w:highlight w:val="none"/>
                <w:lang w:val="en-US" w:eastAsia="zh-CN" w:bidi="ar"/>
              </w:rPr>
              <w:t>24</w:t>
            </w:r>
          </w:p>
        </w:tc>
        <w:tc>
          <w:tcPr>
            <w:tcW w:w="852"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技术服务</w:t>
            </w:r>
          </w:p>
        </w:tc>
        <w:tc>
          <w:tcPr>
            <w:tcW w:w="698"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永凯科技</w:t>
            </w:r>
          </w:p>
        </w:tc>
        <w:tc>
          <w:tcPr>
            <w:tcW w:w="727" w:type="dxa"/>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技术服务</w:t>
            </w:r>
          </w:p>
        </w:tc>
        <w:tc>
          <w:tcPr>
            <w:tcW w:w="835" w:type="dxa"/>
            <w:shd w:val="clear" w:color="auto" w:fill="FFFFFF" w:themeFill="background1"/>
            <w:vAlign w:val="center"/>
          </w:tcPr>
          <w:p>
            <w:pPr>
              <w:keepNext w:val="0"/>
              <w:keepLines w:val="0"/>
              <w:widowControl/>
              <w:suppressLineNumbers w:val="0"/>
              <w:ind w:left="0" w:leftChars="0" w:right="0" w:rightChars="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auto"/>
                <w:kern w:val="0"/>
                <w:sz w:val="20"/>
                <w:szCs w:val="20"/>
                <w:highlight w:val="none"/>
                <w:u w:val="none"/>
                <w:lang w:val="en-US" w:eastAsia="zh-CN" w:bidi="ar"/>
              </w:rPr>
              <w:t>哈尔滨永凯科技有限公司</w:t>
            </w:r>
          </w:p>
        </w:tc>
        <w:tc>
          <w:tcPr>
            <w:tcW w:w="657"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color w:val="000000"/>
                <w:kern w:val="0"/>
                <w:sz w:val="28"/>
                <w:szCs w:val="28"/>
                <w:highlight w:val="none"/>
                <w:lang w:eastAsia="zh-CN" w:bidi="ar"/>
              </w:rPr>
            </w:pPr>
            <w:r>
              <w:rPr>
                <w:rFonts w:hint="eastAsia" w:ascii="宋体" w:hAnsi="宋体" w:eastAsia="宋体" w:cs="宋体"/>
                <w:i w:val="0"/>
                <w:iCs w:val="0"/>
                <w:color w:val="000000"/>
                <w:kern w:val="0"/>
                <w:sz w:val="22"/>
                <w:szCs w:val="22"/>
                <w:u w:val="none"/>
                <w:lang w:val="en-US" w:eastAsia="zh-CN" w:bidi="ar"/>
              </w:rPr>
              <w:t>1项/年</w:t>
            </w:r>
          </w:p>
        </w:tc>
        <w:tc>
          <w:tcPr>
            <w:tcW w:w="7076" w:type="dxa"/>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24.1△提供工程师驻场维保服务1人，已提供承诺函、运维工程师身份证复印件、为保障运维人员工作稳定性，已提供近一年社保缴费证明</w:t>
            </w:r>
          </w:p>
        </w:tc>
      </w:tr>
    </w:tbl>
    <w:p>
      <w:pPr>
        <w:pStyle w:val="10"/>
        <w:rPr>
          <w:highlight w:val="none"/>
        </w:rPr>
      </w:pPr>
    </w:p>
    <w:p>
      <w:pPr>
        <w:rPr>
          <w:rFonts w:hint="eastAsia"/>
          <w:highlight w:val="none"/>
        </w:rPr>
      </w:pPr>
      <w:r>
        <w:rPr>
          <w:rFonts w:hint="eastAsia"/>
          <w:highlight w:val="none"/>
        </w:rPr>
        <w:t xml:space="preserve">供应商名称（公章）： </w:t>
      </w:r>
      <w:r>
        <w:rPr>
          <w:rFonts w:hint="eastAsia"/>
          <w:highlight w:val="none"/>
          <w:u w:val="single"/>
        </w:rPr>
        <w:t>哈尔滨永凯科技有限公司</w:t>
      </w:r>
    </w:p>
    <w:p>
      <w:pPr>
        <w:spacing w:line="360" w:lineRule="auto"/>
        <w:jc w:val="both"/>
        <w:rPr>
          <w:rFonts w:hint="eastAsia"/>
          <w:highlight w:val="none"/>
          <w:lang w:eastAsia="zh-CN"/>
        </w:rPr>
      </w:pPr>
      <w:r>
        <w:rPr>
          <w:rFonts w:hint="eastAsia"/>
          <w:highlight w:val="none"/>
        </w:rPr>
        <w:t>2023 年</w:t>
      </w:r>
      <w:r>
        <w:rPr>
          <w:rFonts w:hint="eastAsia"/>
          <w:highlight w:val="none"/>
          <w:lang w:eastAsia="zh-CN"/>
        </w:rPr>
        <w:t xml:space="preserve"> </w:t>
      </w:r>
      <w:r>
        <w:rPr>
          <w:rFonts w:hint="eastAsia"/>
          <w:highlight w:val="none"/>
          <w:lang w:val="en-US" w:eastAsia="zh-CN"/>
        </w:rPr>
        <w:t>12</w:t>
      </w:r>
      <w:r>
        <w:rPr>
          <w:rFonts w:hint="eastAsia"/>
          <w:highlight w:val="none"/>
          <w:lang w:eastAsia="zh-CN"/>
        </w:rPr>
        <w:t xml:space="preserve"> 月 </w:t>
      </w:r>
      <w:r>
        <w:rPr>
          <w:rFonts w:hint="eastAsia"/>
          <w:highlight w:val="none"/>
          <w:lang w:val="en-US" w:eastAsia="zh-CN"/>
        </w:rPr>
        <w:t xml:space="preserve">   </w:t>
      </w:r>
      <w:r>
        <w:rPr>
          <w:rFonts w:hint="eastAsia"/>
          <w:highlight w:val="none"/>
          <w:lang w:eastAsia="zh-CN"/>
        </w:rPr>
        <w:t>日</w:t>
      </w:r>
    </w:p>
    <w:p>
      <w:pPr>
        <w:rPr>
          <w:rFonts w:hint="eastAsia"/>
          <w:highlight w:val="none"/>
          <w:lang w:eastAsia="zh-CN"/>
        </w:rPr>
      </w:pPr>
      <w:r>
        <w:rPr>
          <w:rFonts w:hint="eastAsia"/>
          <w:highlight w:val="none"/>
          <w:lang w:eastAsia="zh-CN"/>
        </w:rPr>
        <w:br w:type="page"/>
      </w:r>
    </w:p>
    <w:p>
      <w:pPr>
        <w:pStyle w:val="22"/>
        <w:rPr>
          <w:rFonts w:hint="eastAsia" w:cs="Times New Roman"/>
          <w:b/>
          <w:sz w:val="28"/>
          <w:szCs w:val="28"/>
          <w:highlight w:val="none"/>
          <w:lang w:val="en-US" w:eastAsia="zh-CN"/>
        </w:rPr>
      </w:pPr>
      <w:r>
        <w:rPr>
          <w:rFonts w:hint="eastAsia" w:ascii="Times New Roman" w:hAnsi="Times New Roman" w:eastAsia="宋体" w:cs="Times New Roman"/>
          <w:b/>
          <w:sz w:val="28"/>
          <w:szCs w:val="28"/>
          <w:highlight w:val="none"/>
          <w:lang w:val="en-US" w:eastAsia="zh-CN"/>
        </w:rPr>
        <w:t>合同附件</w:t>
      </w:r>
      <w:r>
        <w:rPr>
          <w:rFonts w:hint="eastAsia" w:cs="Times New Roman"/>
          <w:b/>
          <w:sz w:val="28"/>
          <w:szCs w:val="28"/>
          <w:highlight w:val="none"/>
          <w:lang w:val="en-US" w:eastAsia="zh-CN"/>
        </w:rPr>
        <w:t>3</w:t>
      </w:r>
    </w:p>
    <w:p>
      <w:pPr>
        <w:bidi w:val="0"/>
        <w:spacing w:line="240" w:lineRule="auto"/>
        <w:jc w:val="center"/>
        <w:rPr>
          <w:rFonts w:hint="eastAsia" w:ascii="Times New Roman" w:hAnsi="Times New Roman" w:eastAsia="宋体" w:cs="Times New Roman"/>
          <w:b/>
          <w:bCs/>
          <w:kern w:val="2"/>
          <w:sz w:val="36"/>
          <w:szCs w:val="36"/>
          <w:highlight w:val="none"/>
          <w:lang w:val="en-US" w:eastAsia="zh-CN" w:bidi="ar-SA"/>
        </w:rPr>
      </w:pPr>
      <w:bookmarkStart w:id="8" w:name="_Toc29808"/>
      <w:bookmarkStart w:id="9" w:name="_Toc11771"/>
      <w:bookmarkStart w:id="10" w:name="_Toc22920"/>
      <w:r>
        <w:rPr>
          <w:rFonts w:hint="eastAsia" w:ascii="Times New Roman" w:hAnsi="Times New Roman" w:eastAsia="宋体" w:cs="Times New Roman"/>
          <w:b/>
          <w:bCs/>
          <w:kern w:val="2"/>
          <w:sz w:val="36"/>
          <w:szCs w:val="36"/>
          <w:highlight w:val="none"/>
          <w:lang w:val="en-US" w:eastAsia="zh-CN" w:bidi="ar-SA"/>
        </w:rPr>
        <w:t>运维服务承诺</w:t>
      </w:r>
      <w:bookmarkEnd w:id="8"/>
      <w:bookmarkEnd w:id="9"/>
      <w:bookmarkEnd w:id="10"/>
    </w:p>
    <w:p>
      <w:pPr>
        <w:rPr>
          <w:rFonts w:hint="eastAsia"/>
          <w:highlight w:val="none"/>
        </w:rPr>
      </w:pPr>
    </w:p>
    <w:p>
      <w:pPr>
        <w:bidi w:val="0"/>
        <w:jc w:val="center"/>
        <w:rPr>
          <w:rFonts w:hint="default"/>
          <w:color w:val="auto"/>
          <w:sz w:val="28"/>
          <w:szCs w:val="28"/>
          <w:highlight w:val="none"/>
          <w:lang w:val="en-US" w:eastAsia="zh-CN"/>
        </w:rPr>
      </w:pPr>
      <w:r>
        <w:rPr>
          <w:rFonts w:hint="eastAsia"/>
          <w:color w:val="auto"/>
          <w:sz w:val="28"/>
          <w:szCs w:val="28"/>
          <w:highlight w:val="none"/>
          <w:lang w:val="en-US" w:eastAsia="zh-CN"/>
        </w:rPr>
        <w:t>驻场承诺书</w:t>
      </w:r>
    </w:p>
    <w:p>
      <w:pPr>
        <w:spacing w:line="360" w:lineRule="auto"/>
        <w:rPr>
          <w:color w:val="auto"/>
          <w:sz w:val="28"/>
          <w:szCs w:val="22"/>
          <w:highlight w:val="none"/>
        </w:rPr>
      </w:pPr>
    </w:p>
    <w:p>
      <w:pPr>
        <w:rPr>
          <w:rFonts w:hint="eastAsia"/>
          <w:color w:val="auto"/>
          <w:sz w:val="28"/>
          <w:szCs w:val="22"/>
          <w:highlight w:val="none"/>
        </w:rPr>
      </w:pPr>
      <w:r>
        <w:rPr>
          <w:rFonts w:hint="eastAsia"/>
          <w:color w:val="auto"/>
          <w:sz w:val="28"/>
          <w:szCs w:val="22"/>
          <w:highlight w:val="none"/>
        </w:rPr>
        <w:t xml:space="preserve">至：黑龙江省公安厅机场公安局、黑龙江省政府采购中心 </w:t>
      </w:r>
    </w:p>
    <w:p>
      <w:pPr>
        <w:rPr>
          <w:rFonts w:hint="eastAsia"/>
          <w:color w:val="auto"/>
          <w:sz w:val="28"/>
          <w:szCs w:val="22"/>
          <w:highlight w:val="none"/>
        </w:rPr>
      </w:pPr>
    </w:p>
    <w:p>
      <w:pPr>
        <w:rPr>
          <w:rFonts w:hint="default"/>
          <w:color w:val="auto"/>
          <w:sz w:val="28"/>
          <w:szCs w:val="22"/>
          <w:highlight w:val="none"/>
          <w:lang w:val="en-US"/>
        </w:rPr>
      </w:pPr>
      <w:r>
        <w:rPr>
          <w:rFonts w:hint="eastAsia"/>
          <w:color w:val="auto"/>
          <w:sz w:val="28"/>
          <w:szCs w:val="22"/>
          <w:highlight w:val="none"/>
          <w:lang w:val="en-US" w:eastAsia="zh-CN"/>
        </w:rPr>
        <w:t>如我公司有幸中标我公司将按照以下条款执行本次项目，承诺为本项目质保期内将提供工程师驻场维保服务1人1年服务，已提供运维工程师身份证复印件、为保障运维人员工作稳定性，提供近一年社保缴费证明。</w:t>
      </w:r>
    </w:p>
    <w:p>
      <w:pPr>
        <w:rPr>
          <w:rFonts w:hint="eastAsia"/>
          <w:color w:val="auto"/>
          <w:sz w:val="28"/>
          <w:szCs w:val="22"/>
          <w:highlight w:val="none"/>
        </w:rPr>
      </w:pPr>
      <w:r>
        <w:rPr>
          <w:rFonts w:hint="eastAsia"/>
          <w:color w:val="auto"/>
          <w:sz w:val="28"/>
          <w:szCs w:val="22"/>
          <w:highlight w:val="none"/>
        </w:rPr>
        <w:t>提供7*24小时热线电话，设备故障发生后2小时内到达现场，1小时解决故障。对于重大事件活动，提供7*24小时现场值守，积极提供保障准备，我公司将成立现场任务保障组，专人负责等措施，保障期间系统的正常运行，我公司可应对保障期间系统的各类突发事件；质保期内每半年组织现场培训和交流；质保期内每季度进行3次设备巡检。满足售后服务要求:提供每季度3次设备巡检及系统软件更新维护服务，满足培训要求对所提供产品提供专业培训，实施完毕后提供系统设备使用故障调试解决方法并提供相关技术文档。</w:t>
      </w:r>
    </w:p>
    <w:p>
      <w:pPr>
        <w:rPr>
          <w:rFonts w:hint="eastAsia"/>
          <w:color w:val="auto"/>
          <w:sz w:val="28"/>
          <w:szCs w:val="22"/>
          <w:highlight w:val="none"/>
        </w:rPr>
      </w:pPr>
    </w:p>
    <w:p>
      <w:pPr>
        <w:rPr>
          <w:rFonts w:hint="eastAsia"/>
          <w:color w:val="auto"/>
          <w:sz w:val="28"/>
          <w:szCs w:val="22"/>
          <w:highlight w:val="none"/>
        </w:rPr>
      </w:pPr>
      <w:r>
        <w:rPr>
          <w:rFonts w:hint="eastAsia"/>
          <w:color w:val="auto"/>
          <w:sz w:val="28"/>
          <w:szCs w:val="22"/>
          <w:highlight w:val="none"/>
        </w:rPr>
        <w:t>特此声明</w:t>
      </w:r>
    </w:p>
    <w:p>
      <w:pPr>
        <w:rPr>
          <w:rFonts w:hint="eastAsia"/>
          <w:color w:val="auto"/>
          <w:sz w:val="28"/>
          <w:szCs w:val="22"/>
          <w:highlight w:val="none"/>
        </w:rPr>
      </w:pPr>
    </w:p>
    <w:p>
      <w:pPr>
        <w:rPr>
          <w:rFonts w:hint="eastAsia"/>
          <w:color w:val="auto"/>
          <w:sz w:val="22"/>
          <w:szCs w:val="22"/>
          <w:highlight w:val="none"/>
        </w:rPr>
      </w:pPr>
    </w:p>
    <w:p>
      <w:pPr>
        <w:rPr>
          <w:rFonts w:hint="eastAsia"/>
          <w:color w:val="auto"/>
          <w:sz w:val="28"/>
          <w:szCs w:val="22"/>
          <w:highlight w:val="none"/>
        </w:rPr>
      </w:pPr>
      <w:r>
        <w:rPr>
          <w:rFonts w:hint="eastAsia"/>
          <w:color w:val="auto"/>
          <w:sz w:val="28"/>
          <w:szCs w:val="22"/>
          <w:highlight w:val="none"/>
        </w:rPr>
        <w:t xml:space="preserve">供应商名称（公章）： </w:t>
      </w:r>
      <w:r>
        <w:rPr>
          <w:rFonts w:hint="eastAsia"/>
          <w:color w:val="auto"/>
          <w:sz w:val="28"/>
          <w:szCs w:val="22"/>
          <w:highlight w:val="none"/>
          <w:u w:val="single"/>
        </w:rPr>
        <w:t>哈尔滨永凯科技有限公司</w:t>
      </w:r>
    </w:p>
    <w:p>
      <w:pPr>
        <w:rPr>
          <w:rFonts w:hint="eastAsia"/>
          <w:color w:val="auto"/>
          <w:sz w:val="28"/>
          <w:szCs w:val="22"/>
          <w:highlight w:val="none"/>
          <w:lang w:eastAsia="zh-CN"/>
        </w:rPr>
      </w:pPr>
      <w:r>
        <w:rPr>
          <w:rFonts w:hint="eastAsia"/>
          <w:sz w:val="28"/>
          <w:szCs w:val="22"/>
          <w:highlight w:val="none"/>
          <w:u w:val="none"/>
          <w:lang w:val="en-US" w:eastAsia="zh-CN"/>
        </w:rPr>
        <w:t>日期：</w:t>
      </w:r>
      <w:r>
        <w:rPr>
          <w:rFonts w:hint="eastAsia" w:eastAsia="等线"/>
          <w:color w:val="auto"/>
          <w:sz w:val="28"/>
          <w:szCs w:val="22"/>
          <w:highlight w:val="none"/>
          <w:lang w:eastAsia="zh-CN"/>
        </w:rPr>
        <w:t>2023 年 12 月 8 日</w:t>
      </w:r>
    </w:p>
    <w:p>
      <w:pPr>
        <w:pStyle w:val="22"/>
        <w:ind w:left="0" w:leftChars="0" w:firstLine="0" w:firstLineChars="0"/>
        <w:jc w:val="both"/>
        <w:rPr>
          <w:rFonts w:hint="eastAsia"/>
          <w:highlight w:val="none"/>
          <w:u w:val="none"/>
          <w:lang w:eastAsia="zh-CN"/>
        </w:rPr>
      </w:pPr>
    </w:p>
    <w:p>
      <w:pPr>
        <w:pStyle w:val="22"/>
        <w:ind w:left="0" w:leftChars="0" w:firstLine="0" w:firstLineChars="0"/>
        <w:jc w:val="center"/>
        <w:rPr>
          <w:rFonts w:hint="eastAsia"/>
          <w:highlight w:val="none"/>
          <w:u w:val="none"/>
          <w:lang w:eastAsia="zh-CN"/>
        </w:rPr>
      </w:pPr>
      <w:r>
        <w:rPr>
          <w:rFonts w:hint="eastAsia"/>
          <w:highlight w:val="none"/>
          <w:u w:val="none"/>
          <w:lang w:eastAsia="zh-CN"/>
        </w:rPr>
        <w:drawing>
          <wp:inline distT="0" distB="0" distL="114300" distR="114300">
            <wp:extent cx="2317750" cy="1524000"/>
            <wp:effectExtent l="0" t="0" r="6350" b="0"/>
            <wp:docPr id="77" name="图片 77" descr="cd88e51987b35b5053bced2c10529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cd88e51987b35b5053bced2c105290e"/>
                    <pic:cNvPicPr>
                      <a:picLocks noChangeAspect="1"/>
                    </pic:cNvPicPr>
                  </pic:nvPicPr>
                  <pic:blipFill>
                    <a:blip r:embed="rId6"/>
                    <a:stretch>
                      <a:fillRect/>
                    </a:stretch>
                  </pic:blipFill>
                  <pic:spPr>
                    <a:xfrm>
                      <a:off x="0" y="0"/>
                      <a:ext cx="2317750" cy="1524000"/>
                    </a:xfrm>
                    <a:prstGeom prst="rect">
                      <a:avLst/>
                    </a:prstGeom>
                  </pic:spPr>
                </pic:pic>
              </a:graphicData>
            </a:graphic>
          </wp:inline>
        </w:drawing>
      </w:r>
      <w:r>
        <w:rPr>
          <w:rFonts w:hint="eastAsia"/>
          <w:highlight w:val="none"/>
          <w:u w:val="none"/>
          <w:lang w:val="en-US" w:eastAsia="zh-CN"/>
        </w:rPr>
        <w:t xml:space="preserve">    </w:t>
      </w:r>
      <w:r>
        <w:rPr>
          <w:rFonts w:hint="eastAsia"/>
          <w:highlight w:val="none"/>
          <w:u w:val="none"/>
          <w:lang w:eastAsia="zh-CN"/>
        </w:rPr>
        <w:drawing>
          <wp:inline distT="0" distB="0" distL="114300" distR="114300">
            <wp:extent cx="2311400" cy="1524000"/>
            <wp:effectExtent l="0" t="0" r="12700" b="0"/>
            <wp:docPr id="79" name="图片 79" descr="a67942f525ab295bd691eccc89aa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a67942f525ab295bd691eccc89aabe4"/>
                    <pic:cNvPicPr>
                      <a:picLocks noChangeAspect="1"/>
                    </pic:cNvPicPr>
                  </pic:nvPicPr>
                  <pic:blipFill>
                    <a:blip r:embed="rId7"/>
                    <a:stretch>
                      <a:fillRect/>
                    </a:stretch>
                  </pic:blipFill>
                  <pic:spPr>
                    <a:xfrm>
                      <a:off x="0" y="0"/>
                      <a:ext cx="2311400" cy="1524000"/>
                    </a:xfrm>
                    <a:prstGeom prst="rect">
                      <a:avLst/>
                    </a:prstGeom>
                  </pic:spPr>
                </pic:pic>
              </a:graphicData>
            </a:graphic>
          </wp:inline>
        </w:drawing>
      </w:r>
    </w:p>
    <w:p>
      <w:pPr>
        <w:rPr>
          <w:rFonts w:hint="eastAsia"/>
          <w:highlight w:val="none"/>
          <w:u w:val="none"/>
          <w:lang w:eastAsia="zh-CN"/>
        </w:rPr>
      </w:pPr>
      <w:r>
        <w:rPr>
          <w:rFonts w:hint="eastAsia"/>
          <w:highlight w:val="none"/>
          <w:u w:val="none"/>
          <w:lang w:eastAsia="zh-CN"/>
        </w:rPr>
        <w:br w:type="page"/>
      </w:r>
    </w:p>
    <w:p>
      <w:pPr>
        <w:pStyle w:val="22"/>
        <w:ind w:left="0" w:leftChars="0" w:firstLine="0" w:firstLineChars="0"/>
        <w:jc w:val="both"/>
        <w:rPr>
          <w:rFonts w:hint="eastAsia"/>
          <w:highlight w:val="none"/>
          <w:u w:val="none"/>
          <w:lang w:eastAsia="zh-CN"/>
        </w:rPr>
      </w:pPr>
      <w:r>
        <w:rPr>
          <w:rFonts w:hint="eastAsia"/>
          <w:highlight w:val="none"/>
          <w:u w:val="none"/>
          <w:lang w:eastAsia="zh-CN"/>
        </w:rPr>
        <w:drawing>
          <wp:inline distT="0" distB="0" distL="114300" distR="114300">
            <wp:extent cx="6273800" cy="4189095"/>
            <wp:effectExtent l="0" t="0" r="12700" b="1905"/>
            <wp:docPr id="365" name="图片 365" descr="b65eeb2bf748ab4be200c76c5dbc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descr="b65eeb2bf748ab4be200c76c5dbc2e8"/>
                    <pic:cNvPicPr>
                      <a:picLocks noChangeAspect="1"/>
                    </pic:cNvPicPr>
                  </pic:nvPicPr>
                  <pic:blipFill>
                    <a:blip r:embed="rId8"/>
                    <a:stretch>
                      <a:fillRect/>
                    </a:stretch>
                  </pic:blipFill>
                  <pic:spPr>
                    <a:xfrm>
                      <a:off x="0" y="0"/>
                      <a:ext cx="6273800" cy="4189095"/>
                    </a:xfrm>
                    <a:prstGeom prst="rect">
                      <a:avLst/>
                    </a:prstGeom>
                  </pic:spPr>
                </pic:pic>
              </a:graphicData>
            </a:graphic>
          </wp:inline>
        </w:drawing>
      </w:r>
    </w:p>
    <w:p>
      <w:pPr>
        <w:rPr>
          <w:rFonts w:hint="default" w:cs="Times New Roman"/>
          <w:b/>
          <w:sz w:val="28"/>
          <w:szCs w:val="28"/>
          <w:highlight w:val="none"/>
          <w:lang w:val="en-US" w:eastAsia="zh-CN"/>
        </w:rPr>
      </w:pPr>
      <w:r>
        <w:rPr>
          <w:rFonts w:hint="default" w:cs="Times New Roman"/>
          <w:b/>
          <w:sz w:val="28"/>
          <w:szCs w:val="28"/>
          <w:highlight w:val="none"/>
          <w:lang w:val="en-US" w:eastAsia="zh-CN"/>
        </w:rPr>
        <w:br w:type="page"/>
      </w:r>
    </w:p>
    <w:p>
      <w:pPr>
        <w:pStyle w:val="22"/>
        <w:rPr>
          <w:rFonts w:hint="eastAsia" w:cs="Times New Roman"/>
          <w:b/>
          <w:sz w:val="28"/>
          <w:szCs w:val="28"/>
          <w:highlight w:val="none"/>
          <w:lang w:val="en-US" w:eastAsia="zh-CN"/>
        </w:rPr>
      </w:pPr>
      <w:r>
        <w:rPr>
          <w:rFonts w:hint="eastAsia" w:ascii="Times New Roman" w:hAnsi="Times New Roman" w:eastAsia="宋体" w:cs="Times New Roman"/>
          <w:b/>
          <w:sz w:val="28"/>
          <w:szCs w:val="28"/>
          <w:highlight w:val="none"/>
          <w:lang w:val="en-US" w:eastAsia="zh-CN"/>
        </w:rPr>
        <w:t>合同附件</w:t>
      </w:r>
      <w:r>
        <w:rPr>
          <w:rFonts w:hint="eastAsia" w:cs="Times New Roman"/>
          <w:b/>
          <w:sz w:val="28"/>
          <w:szCs w:val="28"/>
          <w:highlight w:val="none"/>
          <w:lang w:val="en-US" w:eastAsia="zh-CN"/>
        </w:rPr>
        <w:t>4</w:t>
      </w:r>
    </w:p>
    <w:p>
      <w:pPr>
        <w:pStyle w:val="5"/>
        <w:numPr>
          <w:ilvl w:val="2"/>
          <w:numId w:val="4"/>
        </w:numPr>
        <w:bidi w:val="0"/>
        <w:ind w:left="709" w:leftChars="0" w:hanging="709" w:firstLineChars="0"/>
        <w:outlineLvl w:val="2"/>
        <w:rPr>
          <w:rFonts w:hint="eastAsia" w:ascii="等线" w:hAnsi="等线" w:eastAsia="等线" w:cs="等线"/>
          <w:b w:val="0"/>
          <w:highlight w:val="none"/>
          <w:lang w:val="en-US" w:eastAsia="zh-CN"/>
        </w:rPr>
      </w:pPr>
      <w:bookmarkStart w:id="11" w:name="_Toc19359"/>
      <w:bookmarkStart w:id="12" w:name="_Toc13486"/>
      <w:bookmarkStart w:id="13" w:name="_Toc23739"/>
      <w:r>
        <w:rPr>
          <w:rFonts w:hint="eastAsia" w:ascii="等线" w:hAnsi="等线" w:eastAsia="等线" w:cs="等线"/>
          <w:b w:val="0"/>
          <w:highlight w:val="none"/>
          <w:lang w:val="en-US" w:eastAsia="zh-CN"/>
        </w:rPr>
        <w:t>培训计划</w:t>
      </w:r>
      <w:bookmarkEnd w:id="11"/>
      <w:bookmarkEnd w:id="12"/>
      <w:bookmarkEnd w:id="13"/>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cs="等线"/>
          <w:sz w:val="22"/>
          <w:szCs w:val="21"/>
          <w:highlight w:val="none"/>
          <w:lang w:val="en-US" w:eastAsia="zh-CN" w:bidi="ar"/>
        </w:rPr>
        <w:t>为采购方提供</w:t>
      </w:r>
      <w:r>
        <w:rPr>
          <w:rFonts w:hint="eastAsia" w:ascii="等线" w:hAnsi="等线" w:eastAsia="等线" w:cs="等线"/>
          <w:sz w:val="22"/>
          <w:szCs w:val="21"/>
          <w:highlight w:val="none"/>
          <w:lang w:val="en-US" w:eastAsia="zh-CN" w:bidi="ar"/>
        </w:rPr>
        <w:t>培训</w:t>
      </w:r>
      <w:r>
        <w:rPr>
          <w:rFonts w:hint="eastAsia" w:cs="等线"/>
          <w:sz w:val="22"/>
          <w:szCs w:val="21"/>
          <w:highlight w:val="none"/>
          <w:lang w:val="en-US" w:eastAsia="zh-CN" w:bidi="ar"/>
        </w:rPr>
        <w:t>，将</w:t>
      </w:r>
      <w:r>
        <w:rPr>
          <w:rFonts w:hint="eastAsia" w:ascii="等线" w:hAnsi="等线" w:eastAsia="等线" w:cs="等线"/>
          <w:sz w:val="22"/>
          <w:szCs w:val="21"/>
          <w:highlight w:val="none"/>
          <w:lang w:val="en-US" w:eastAsia="zh-CN" w:bidi="ar"/>
        </w:rPr>
        <w:t>分为现场演示及集中培训两种形式，互为互补，增进效果。现场演示能够结合真实环境，单独辅导，通过测试数据的采集，一方面测试系统功能，同时也可以确保每名系统使用者能够掌握吃透本系统的使用，并能够发现问题及时提出；集中培训更倾向于理论知识的讲授，主要从技术层面出发，深入挖掘系统内涵，更好的推动本系统的应用。</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作为专业的系统集成咨询服务提供者，我公司的培训体系是针对客户不同层次的需求而设计的，是全面融合了技术和管理要素的专业培训体系。借助各项培训课程，我们的专业培训人员将向客户传授从一般性的感官意识、到具体的设备操作、再到高级的设备管理在内的全方位的知识和技能，从而提升客户在信息系统实践当中“人”这个决定因素的关键作用，提供有效的信息系统安全保障。</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培训特色</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标准化：我公司经过多年的培训积累，形成了一套成熟的培训流程、完善的培训教材和专业而富有经验的培训专家，包含相关法律、法规、标准的培训。</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实用化：注重实际技能培训，重点是积极防范技术、产品维护方法等。</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专业化：由公司安全专家、安全专业人员、专业讲师等组成的专业化培训师资队伍，培训讲师均具有丰富的理论体系和技术操作等方面的专业知识；</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系统化：通过标准体系、产品培训，重在提高全面的信息系统操作的技术水平。</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客户化：是针对客户的具体需求所定制的培训，培训课程将会根据客户派遣参加培训的学员的具体情况进行调整。</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先进的培训理念</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重视实践的培训理念：我公司的信息系统培训，重视对学员动手能力的培养。所有级别的技术认证培训，都设有实验环节，丰富的应用方案和案例教学，让信息系统知识更易于理解和掌握。</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先进专业的实验环境：我公司采用最先进的实验室解决方案，采用最先进的设备和最全面的技术，将实际环境的搭建全部移植到实验室，真正使学生在实验室中打造一身过硬的真功夫。</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针对性的培训内容</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针对用户的实际特点并结合国际培训惯例，我们根据培训对象的不同将课程分为：操作层面的现场培训；技术层面的集中培训和专业机构认证培训。</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操作层面的现场培训</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现场培训是我公司针对具体负责信息系统运维的管理人员，针对项目中涉及的设备专项技术培训，包括：产品的特点、功能、产品故障识别处理、产品日常管理等内容，在设备安装前和安装过程中进行，地点是安装现场。通过现场培训，使参加培训的人员能够详细了解产品功能，具备独立使用和维护的能力。</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技术层面的集中培训</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集中培训是我公司针对具体负责网络安全运维的管理人员，进行封闭式的系统化的专业培训，培训内容包括安全体系、基础、原理，以及产品的原理、安装、配置及运行维护等方面的详细培训，并结合实验室上机试验，使参加培训的人员能够熟练的掌握产品的运行维护方法，能够独立管理和维护设备，同时对信息系统标准体系有较全面的了解。</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技术层面的专业机构培训</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根据用户实际需求，选派相关资深技术人员，安排专业机构的认证培训，培训课程覆盖了本项目中投标的全部产品。除了产品的技术特点、功能特点等介绍外、还有大量的安装、调试、纠错等技术内容。使通过认证的工程师不仅是本次项目产品的技术专家，同时也具备一定的专业技术水平，为进一步对信息技术的学习奠定了基础。</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专业的培训讲师团队</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我公司拥有一支由内部资深专家及核心技术人员打造的专业培训讲师团队。培训讲师均拥有丰富的技术经验，长期从事技术研究、项目实施、项目管理工作，具有资深的技术底蕴和专业背景。凭借雄厚的技术实力和强大的培训师资，我公司多年来的培训工作受到用户的好评，彰显了我公司健全的培训体系及强大的技术力量。</w:t>
      </w:r>
    </w:p>
    <w:p>
      <w:pPr>
        <w:spacing w:line="240" w:lineRule="auto"/>
        <w:ind w:firstLine="440" w:firstLineChars="200"/>
        <w:rPr>
          <w:rFonts w:hint="eastAsia" w:ascii="等线" w:hAnsi="等线" w:eastAsia="等线" w:cs="等线"/>
          <w:sz w:val="22"/>
          <w:szCs w:val="21"/>
          <w:highlight w:val="none"/>
          <w:lang w:val="en-US" w:eastAsia="zh-CN" w:bidi="ar"/>
        </w:rPr>
      </w:pPr>
      <w:r>
        <w:rPr>
          <w:rFonts w:hint="eastAsia" w:ascii="等线" w:hAnsi="等线" w:eastAsia="等线" w:cs="等线"/>
          <w:sz w:val="22"/>
          <w:szCs w:val="21"/>
          <w:highlight w:val="none"/>
          <w:lang w:val="en-US" w:eastAsia="zh-CN" w:bidi="ar"/>
        </w:rPr>
        <w:t>我公司</w:t>
      </w:r>
      <w:r>
        <w:rPr>
          <w:rFonts w:hint="eastAsia" w:cs="等线"/>
          <w:sz w:val="22"/>
          <w:szCs w:val="21"/>
          <w:highlight w:val="none"/>
          <w:lang w:val="en-US" w:eastAsia="zh-CN" w:bidi="ar"/>
        </w:rPr>
        <w:t>将</w:t>
      </w:r>
      <w:r>
        <w:rPr>
          <w:rFonts w:hint="eastAsia" w:ascii="等线" w:hAnsi="等线" w:eastAsia="等线" w:cs="等线"/>
          <w:sz w:val="22"/>
          <w:szCs w:val="21"/>
          <w:highlight w:val="none"/>
          <w:lang w:val="en-US" w:eastAsia="zh-CN" w:bidi="ar"/>
        </w:rPr>
        <w:t>为用户技术人员、公司内部技术人员</w:t>
      </w:r>
      <w:r>
        <w:rPr>
          <w:rFonts w:hint="eastAsia" w:cs="等线"/>
          <w:sz w:val="22"/>
          <w:szCs w:val="21"/>
          <w:highlight w:val="none"/>
          <w:lang w:val="en-US" w:eastAsia="zh-CN" w:bidi="ar"/>
        </w:rPr>
        <w:t>在</w:t>
      </w:r>
      <w:r>
        <w:rPr>
          <w:rFonts w:hint="eastAsia" w:ascii="等线" w:hAnsi="等线" w:eastAsia="等线" w:cs="等线"/>
          <w:sz w:val="22"/>
          <w:szCs w:val="21"/>
          <w:highlight w:val="none"/>
          <w:lang w:val="en-US" w:eastAsia="zh-CN" w:bidi="ar"/>
        </w:rPr>
        <w:t>质保期内每半年组织现场培训和交流；，提升了众多技术人员在的专业水平。</w:t>
      </w:r>
    </w:p>
    <w:p>
      <w:pPr>
        <w:spacing w:line="360" w:lineRule="auto"/>
        <w:ind w:firstLine="480" w:firstLineChars="200"/>
        <w:rPr>
          <w:rFonts w:hint="eastAsia" w:ascii="等线" w:hAnsi="等线" w:eastAsia="等线" w:cs="等线"/>
          <w:sz w:val="24"/>
          <w:szCs w:val="22"/>
          <w:highlight w:val="none"/>
          <w:lang w:val="en-US" w:eastAsia="zh-CN" w:bidi="ar"/>
        </w:rPr>
      </w:pPr>
    </w:p>
    <w:p>
      <w:pPr>
        <w:rPr>
          <w:rFonts w:hint="eastAsia"/>
          <w:color w:val="auto"/>
          <w:sz w:val="24"/>
          <w:szCs w:val="24"/>
          <w:highlight w:val="none"/>
        </w:rPr>
      </w:pPr>
    </w:p>
    <w:p>
      <w:pPr>
        <w:rPr>
          <w:rFonts w:hint="eastAsia"/>
          <w:color w:val="auto"/>
          <w:highlight w:val="none"/>
        </w:rPr>
      </w:pPr>
      <w:r>
        <w:rPr>
          <w:rFonts w:hint="eastAsia"/>
          <w:color w:val="auto"/>
          <w:highlight w:val="none"/>
        </w:rPr>
        <w:t>供应商名称（公章）： 哈尔滨永凯科技有限公司</w:t>
      </w:r>
    </w:p>
    <w:p>
      <w:pPr>
        <w:rPr>
          <w:rFonts w:hint="default" w:cs="Times New Roman"/>
          <w:b/>
          <w:sz w:val="28"/>
          <w:szCs w:val="28"/>
          <w:highlight w:val="none"/>
          <w:lang w:val="en-US" w:eastAsia="zh-CN"/>
        </w:rPr>
      </w:pPr>
      <w:r>
        <w:rPr>
          <w:rFonts w:hint="eastAsia"/>
          <w:color w:val="auto"/>
          <w:highlight w:val="none"/>
          <w:u w:val="none"/>
          <w:lang w:val="en-US" w:eastAsia="zh-CN"/>
        </w:rPr>
        <w:t>日期：</w:t>
      </w:r>
      <w:r>
        <w:rPr>
          <w:rFonts w:hint="eastAsia"/>
          <w:color w:val="auto"/>
          <w:highlight w:val="none"/>
          <w:u w:val="none"/>
          <w:lang w:eastAsia="zh-CN"/>
        </w:rPr>
        <w:t xml:space="preserve">2023 年 </w:t>
      </w:r>
      <w:r>
        <w:rPr>
          <w:rFonts w:hint="eastAsia"/>
          <w:color w:val="auto"/>
          <w:highlight w:val="none"/>
          <w:u w:val="none"/>
          <w:lang w:val="en-US" w:eastAsia="zh-CN"/>
        </w:rPr>
        <w:t>12</w:t>
      </w:r>
      <w:r>
        <w:rPr>
          <w:rFonts w:hint="eastAsia"/>
          <w:color w:val="auto"/>
          <w:highlight w:val="none"/>
          <w:u w:val="none"/>
          <w:lang w:eastAsia="zh-CN"/>
        </w:rPr>
        <w:t xml:space="preserve"> 月 8 日</w:t>
      </w:r>
    </w:p>
    <w:sectPr>
      <w:footerReference r:id="rId3" w:type="default"/>
      <w:footerReference r:id="rId4" w:type="even"/>
      <w:pgSz w:w="11907" w:h="16840"/>
      <w:pgMar w:top="907" w:right="907" w:bottom="907" w:left="907" w:header="737" w:footer="587" w:gutter="0"/>
      <w:pgBorders>
        <w:top w:val="none" w:sz="0" w:space="0"/>
        <w:left w:val="none" w:sz="0" w:space="0"/>
        <w:bottom w:val="none" w:sz="0" w:space="0"/>
        <w:right w:val="none" w:sz="0" w:space="0"/>
      </w:pgBorders>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3pt;height:144pt;width:144pt;mso-position-horizontal:center;mso-position-horizontal-relative:margin;mso-wrap-style:none;z-index:251659264;mso-width-relative:page;mso-height-relative:page;" filled="f" stroked="f" coordsize="21600,21600" o:gfxdata="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QxQHSzMMBESn3p0Qrt&#10;vh347E1xBk1n+jnxlm9qlLJlPjwwh8FA+Xg64R5LKQ1SmsGipDLuy7/OYzz6BS8lDQYtpxrvihL5&#10;XqOPAAyj4UZjPxr6qO4MJhe9QS2diQsuyNEsnVGf8Z5WMQdcTHNkymkYzbvQDzveIxerVRd0tK4+&#10;VP0FTKFlYat3lsc0USpvV8cAaTvFo0C9KuhU3GAOu54NbyYO+p/7LurxP7H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jYvuHTAAAABgEAAA8AAAAAAAAAAQAgAAAAIgAAAGRycy9kb3ducmV2Lnht&#10;bFBLAQIUABQAAAAIAIdO4kC9dBt2NwIAAG8EAAAOAAAAAAAAAAEAIAAAACIBAABkcnMvZTJvRG9j&#10;LnhtbFBLBQYAAAAABgAGAFkBAADLBQAAAAA=&#10;">
              <v:fill on="f" focussize="0,0"/>
              <v:stroke on="f" weight="0.5pt"/>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7D6E36"/>
    <w:multiLevelType w:val="multilevel"/>
    <w:tmpl w:val="A67D6E36"/>
    <w:lvl w:ilvl="0" w:tentative="0">
      <w:start w:val="1"/>
      <w:numFmt w:val="chineseCounting"/>
      <w:pStyle w:val="2"/>
      <w:suff w:val="nothing"/>
      <w:lvlText w:val="第%1章 "/>
      <w:lvlJc w:val="left"/>
      <w:pPr>
        <w:ind w:left="432" w:hanging="432"/>
      </w:pPr>
      <w:rPr>
        <w:rFonts w:hint="eastAsia"/>
      </w:rPr>
    </w:lvl>
    <w:lvl w:ilvl="1" w:tentative="0">
      <w:start w:val="1"/>
      <w:numFmt w:val="decimal"/>
      <w:pStyle w:val="4"/>
      <w:isLgl/>
      <w:lvlText w:val="%1.%2."/>
      <w:lvlJc w:val="left"/>
      <w:pPr>
        <w:ind w:left="575" w:hanging="575"/>
      </w:pPr>
      <w:rPr>
        <w:rFonts w:hint="eastAsia" w:ascii="宋体" w:hAnsi="宋体" w:eastAsia="宋体" w:cs="宋体"/>
      </w:rPr>
    </w:lvl>
    <w:lvl w:ilvl="2" w:tentative="0">
      <w:start w:val="1"/>
      <w:numFmt w:val="decimal"/>
      <w:pStyle w:val="5"/>
      <w:isLgl/>
      <w:lvlText w:val="4.6.%3."/>
      <w:lvlJc w:val="left"/>
      <w:pPr>
        <w:ind w:left="2120" w:hanging="720"/>
      </w:pPr>
      <w:rPr>
        <w:rFonts w:hint="eastAsia" w:ascii="宋体" w:hAnsi="宋体" w:eastAsia="宋体" w:cs="宋体"/>
      </w:rPr>
    </w:lvl>
    <w:lvl w:ilvl="3" w:tentative="0">
      <w:start w:val="1"/>
      <w:numFmt w:val="none"/>
      <w:lvlText w:val=""/>
      <w:lvlJc w:val="left"/>
      <w:pPr>
        <w:ind w:left="864" w:hanging="864"/>
      </w:pPr>
      <w:rPr>
        <w:rFonts w:hint="eastAsia" w:ascii="宋体" w:hAnsi="宋体" w:eastAsia="宋体" w:cs="宋体"/>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DB9261C7"/>
    <w:multiLevelType w:val="multilevel"/>
    <w:tmpl w:val="DB9261C7"/>
    <w:lvl w:ilvl="0" w:tentative="0">
      <w:start w:val="1"/>
      <w:numFmt w:val="chineseCounting"/>
      <w:suff w:val="nothing"/>
      <w:lvlText w:val="第%1章 "/>
      <w:lvlJc w:val="left"/>
      <w:pPr>
        <w:ind w:left="425" w:hanging="425"/>
      </w:pPr>
      <w:rPr>
        <w:rFonts w:hint="eastAsia"/>
      </w:rPr>
    </w:lvl>
    <w:lvl w:ilvl="1" w:tentative="0">
      <w:start w:val="1"/>
      <w:numFmt w:val="decimal"/>
      <w:isLgl/>
      <w:lvlText w:val="%1.%2."/>
      <w:lvlJc w:val="left"/>
      <w:pPr>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2">
    <w:nsid w:val="3456173F"/>
    <w:multiLevelType w:val="multilevel"/>
    <w:tmpl w:val="3456173F"/>
    <w:lvl w:ilvl="0" w:tentative="0">
      <w:start w:val="1"/>
      <w:numFmt w:val="decimal"/>
      <w:lvlText w:val="%1、"/>
      <w:lvlJc w:val="left"/>
      <w:pPr>
        <w:tabs>
          <w:tab w:val="left" w:pos="840"/>
        </w:tabs>
        <w:ind w:left="840" w:hanging="360"/>
      </w:pPr>
      <w:rPr>
        <w:rFonts w:hint="default" w:hAnsi="Times New Roman"/>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367D0D9A"/>
    <w:multiLevelType w:val="multilevel"/>
    <w:tmpl w:val="367D0D9A"/>
    <w:lvl w:ilvl="0" w:tentative="0">
      <w:start w:val="1"/>
      <w:numFmt w:val="japaneseCounting"/>
      <w:pStyle w:val="31"/>
      <w:lvlText w:val="%1、"/>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NmIyZTJkYjZmMDliOGU2NjNjYjNhODNhMzk2YWYifQ=="/>
  </w:docVars>
  <w:rsids>
    <w:rsidRoot w:val="648345DE"/>
    <w:rsid w:val="000255F1"/>
    <w:rsid w:val="00043F19"/>
    <w:rsid w:val="00081333"/>
    <w:rsid w:val="000C5A99"/>
    <w:rsid w:val="000E475B"/>
    <w:rsid w:val="00204F4C"/>
    <w:rsid w:val="00421229"/>
    <w:rsid w:val="004F440F"/>
    <w:rsid w:val="00635640"/>
    <w:rsid w:val="006E14C6"/>
    <w:rsid w:val="007710C5"/>
    <w:rsid w:val="007B1173"/>
    <w:rsid w:val="008726D9"/>
    <w:rsid w:val="00905C72"/>
    <w:rsid w:val="0092434E"/>
    <w:rsid w:val="009B3E77"/>
    <w:rsid w:val="00A645C3"/>
    <w:rsid w:val="00AB20CB"/>
    <w:rsid w:val="00B402D3"/>
    <w:rsid w:val="00C157F3"/>
    <w:rsid w:val="00CE0C69"/>
    <w:rsid w:val="00D107EC"/>
    <w:rsid w:val="00ED6DFD"/>
    <w:rsid w:val="00F04889"/>
    <w:rsid w:val="00FA5C8A"/>
    <w:rsid w:val="00FF0C86"/>
    <w:rsid w:val="010E3D53"/>
    <w:rsid w:val="01D36151"/>
    <w:rsid w:val="0259038F"/>
    <w:rsid w:val="02A75FDE"/>
    <w:rsid w:val="03323B24"/>
    <w:rsid w:val="046B2E69"/>
    <w:rsid w:val="057F487E"/>
    <w:rsid w:val="06231E4A"/>
    <w:rsid w:val="077F47F7"/>
    <w:rsid w:val="07A94708"/>
    <w:rsid w:val="0894691B"/>
    <w:rsid w:val="0A1733DF"/>
    <w:rsid w:val="0BC53DFE"/>
    <w:rsid w:val="0C351FA6"/>
    <w:rsid w:val="0FA9329A"/>
    <w:rsid w:val="113A44DE"/>
    <w:rsid w:val="12247EEE"/>
    <w:rsid w:val="12F53326"/>
    <w:rsid w:val="13135E04"/>
    <w:rsid w:val="1BDC3310"/>
    <w:rsid w:val="1CB06D08"/>
    <w:rsid w:val="1E196F0E"/>
    <w:rsid w:val="1F542020"/>
    <w:rsid w:val="1F982582"/>
    <w:rsid w:val="22BE5985"/>
    <w:rsid w:val="25C35FC3"/>
    <w:rsid w:val="26AB75C6"/>
    <w:rsid w:val="27A87332"/>
    <w:rsid w:val="292F1A54"/>
    <w:rsid w:val="2D5333EC"/>
    <w:rsid w:val="2EBD728D"/>
    <w:rsid w:val="312024A0"/>
    <w:rsid w:val="31D57CD5"/>
    <w:rsid w:val="31DC7156"/>
    <w:rsid w:val="325B2382"/>
    <w:rsid w:val="35392F12"/>
    <w:rsid w:val="3744782D"/>
    <w:rsid w:val="37757F6C"/>
    <w:rsid w:val="3936125D"/>
    <w:rsid w:val="3A23021F"/>
    <w:rsid w:val="3A6227E3"/>
    <w:rsid w:val="3AF91ACA"/>
    <w:rsid w:val="3C1C66C9"/>
    <w:rsid w:val="3CCE0368"/>
    <w:rsid w:val="3DCE4A6A"/>
    <w:rsid w:val="41D741AA"/>
    <w:rsid w:val="41F00DC8"/>
    <w:rsid w:val="43654CB3"/>
    <w:rsid w:val="43C30D9E"/>
    <w:rsid w:val="44684ECD"/>
    <w:rsid w:val="447A22D6"/>
    <w:rsid w:val="45317451"/>
    <w:rsid w:val="45A173A4"/>
    <w:rsid w:val="46761547"/>
    <w:rsid w:val="46F17015"/>
    <w:rsid w:val="485242E2"/>
    <w:rsid w:val="4C043151"/>
    <w:rsid w:val="4C6D01BA"/>
    <w:rsid w:val="4CC65777"/>
    <w:rsid w:val="4D0A3498"/>
    <w:rsid w:val="4D5E70CF"/>
    <w:rsid w:val="4E2E6A5D"/>
    <w:rsid w:val="51031ECB"/>
    <w:rsid w:val="515F36BD"/>
    <w:rsid w:val="52F17409"/>
    <w:rsid w:val="54D32CB1"/>
    <w:rsid w:val="55091486"/>
    <w:rsid w:val="554964BF"/>
    <w:rsid w:val="55D65B5E"/>
    <w:rsid w:val="56EF0FFB"/>
    <w:rsid w:val="574C494D"/>
    <w:rsid w:val="58D34CA5"/>
    <w:rsid w:val="5C627606"/>
    <w:rsid w:val="5EB72BF2"/>
    <w:rsid w:val="63CF21A3"/>
    <w:rsid w:val="648345DE"/>
    <w:rsid w:val="65BB05E3"/>
    <w:rsid w:val="65EC24E0"/>
    <w:rsid w:val="66B227B8"/>
    <w:rsid w:val="67360E10"/>
    <w:rsid w:val="683E49D4"/>
    <w:rsid w:val="69B7073F"/>
    <w:rsid w:val="6A372705"/>
    <w:rsid w:val="6A3B5146"/>
    <w:rsid w:val="6D67773A"/>
    <w:rsid w:val="6F60130A"/>
    <w:rsid w:val="6FED119C"/>
    <w:rsid w:val="70412848"/>
    <w:rsid w:val="774D54F1"/>
    <w:rsid w:val="77877DBE"/>
    <w:rsid w:val="796058F2"/>
    <w:rsid w:val="7A65732D"/>
    <w:rsid w:val="7B002E5C"/>
    <w:rsid w:val="7C936862"/>
    <w:rsid w:val="7E6E68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qFormat="1" w:uiPriority="99"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3"/>
    <w:qFormat/>
    <w:uiPriority w:val="0"/>
    <w:pPr>
      <w:keepNext/>
      <w:keepLines/>
      <w:numPr>
        <w:ilvl w:val="0"/>
        <w:numId w:val="1"/>
      </w:numPr>
      <w:ind w:left="432" w:hanging="432"/>
      <w:outlineLvl w:val="0"/>
    </w:pPr>
    <w:rPr>
      <w:rFonts w:cs="黑体"/>
      <w:b/>
      <w:kern w:val="44"/>
      <w:sz w:val="52"/>
    </w:rPr>
  </w:style>
  <w:style w:type="paragraph" w:styleId="4">
    <w:name w:val="heading 2"/>
    <w:basedOn w:val="1"/>
    <w:next w:val="1"/>
    <w:unhideWhenUsed/>
    <w:qFormat/>
    <w:uiPriority w:val="0"/>
    <w:pPr>
      <w:keepNext/>
      <w:keepLines/>
      <w:numPr>
        <w:ilvl w:val="1"/>
        <w:numId w:val="1"/>
      </w:numPr>
      <w:ind w:left="575" w:hanging="575"/>
      <w:outlineLvl w:val="1"/>
    </w:pPr>
    <w:rPr>
      <w:b/>
      <w:sz w:val="44"/>
    </w:rPr>
  </w:style>
  <w:style w:type="paragraph" w:styleId="5">
    <w:name w:val="heading 3"/>
    <w:basedOn w:val="1"/>
    <w:next w:val="1"/>
    <w:unhideWhenUsed/>
    <w:qFormat/>
    <w:uiPriority w:val="0"/>
    <w:pPr>
      <w:keepNext/>
      <w:keepLines/>
      <w:numPr>
        <w:ilvl w:val="2"/>
        <w:numId w:val="1"/>
      </w:numPr>
      <w:ind w:left="720" w:hanging="720"/>
      <w:outlineLvl w:val="2"/>
    </w:pPr>
    <w:rPr>
      <w:rFonts w:ascii="宋体" w:hAnsi="宋体"/>
      <w:b/>
      <w:sz w:val="32"/>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3">
    <w:name w:val="段落"/>
    <w:qFormat/>
    <w:uiPriority w:val="0"/>
    <w:pPr>
      <w:adjustRightInd w:val="0"/>
      <w:snapToGrid w:val="0"/>
      <w:spacing w:before="120" w:after="120" w:line="360" w:lineRule="auto"/>
      <w:ind w:left="-2" w:leftChars="-1" w:firstLine="427" w:firstLineChars="178"/>
      <w:jc w:val="both"/>
    </w:pPr>
    <w:rPr>
      <w:rFonts w:ascii="仿宋_GB2312" w:hAnsi="Times New Roman" w:eastAsia="仿宋_GB2312" w:cs="Times New Roman"/>
      <w:kern w:val="2"/>
      <w:sz w:val="28"/>
      <w:szCs w:val="24"/>
      <w:lang w:val="en-US" w:eastAsia="zh-CN" w:bidi="ar-SA"/>
    </w:rPr>
  </w:style>
  <w:style w:type="paragraph" w:styleId="7">
    <w:name w:val="Note Heading"/>
    <w:basedOn w:val="1"/>
    <w:next w:val="1"/>
    <w:unhideWhenUsed/>
    <w:qFormat/>
    <w:uiPriority w:val="99"/>
    <w:pPr>
      <w:widowControl/>
      <w:jc w:val="center"/>
    </w:pPr>
    <w:rPr>
      <w:rFonts w:eastAsia="仿宋_GB2312"/>
      <w:sz w:val="28"/>
    </w:rPr>
  </w:style>
  <w:style w:type="paragraph" w:styleId="8">
    <w:name w:val="annotation text"/>
    <w:basedOn w:val="1"/>
    <w:qFormat/>
    <w:uiPriority w:val="0"/>
    <w:pPr>
      <w:jc w:val="left"/>
    </w:pPr>
  </w:style>
  <w:style w:type="paragraph" w:styleId="9">
    <w:name w:val="Body Text 3"/>
    <w:basedOn w:val="1"/>
    <w:qFormat/>
    <w:uiPriority w:val="0"/>
    <w:rPr>
      <w:sz w:val="18"/>
      <w:szCs w:val="20"/>
    </w:rPr>
  </w:style>
  <w:style w:type="paragraph" w:styleId="10">
    <w:name w:val="Body Text"/>
    <w:basedOn w:val="1"/>
    <w:next w:val="11"/>
    <w:qFormat/>
    <w:uiPriority w:val="1"/>
    <w:rPr>
      <w:sz w:val="19"/>
      <w:szCs w:val="19"/>
    </w:rPr>
  </w:style>
  <w:style w:type="paragraph" w:styleId="11">
    <w:name w:val="Body Text 2"/>
    <w:basedOn w:val="1"/>
    <w:next w:val="7"/>
    <w:qFormat/>
    <w:uiPriority w:val="0"/>
    <w:pPr>
      <w:spacing w:line="480" w:lineRule="auto"/>
    </w:pPr>
  </w:style>
  <w:style w:type="paragraph" w:styleId="12">
    <w:name w:val="Body Text Indent"/>
    <w:basedOn w:val="1"/>
    <w:semiHidden/>
    <w:unhideWhenUsed/>
    <w:qFormat/>
    <w:uiPriority w:val="99"/>
    <w:pPr>
      <w:spacing w:after="120"/>
      <w:ind w:left="420" w:leftChars="200"/>
    </w:pPr>
  </w:style>
  <w:style w:type="paragraph" w:styleId="13">
    <w:name w:val="Plain Text"/>
    <w:basedOn w:val="1"/>
    <w:next w:val="1"/>
    <w:qFormat/>
    <w:uiPriority w:val="0"/>
    <w:rPr>
      <w:rFonts w:hAnsi="Courier New" w:eastAsia="宋体"/>
      <w:kern w:val="2"/>
      <w:sz w:val="21"/>
      <w:lang w:eastAsia="zh-CN"/>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Body Text First Indent 2"/>
    <w:basedOn w:val="12"/>
    <w:unhideWhenUsed/>
    <w:qFormat/>
    <w:uiPriority w:val="99"/>
    <w:pPr>
      <w:ind w:firstLine="42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正文＋小四＋缩进2字符"/>
    <w:basedOn w:val="1"/>
    <w:qFormat/>
    <w:uiPriority w:val="0"/>
    <w:pPr>
      <w:spacing w:line="360" w:lineRule="auto"/>
      <w:ind w:firstLine="200" w:firstLineChars="200"/>
    </w:pPr>
    <w:rPr>
      <w:sz w:val="24"/>
    </w:rPr>
  </w:style>
  <w:style w:type="paragraph" w:customStyle="1" w:styleId="23">
    <w:name w:val="列出段落1"/>
    <w:basedOn w:val="1"/>
    <w:qFormat/>
    <w:uiPriority w:val="0"/>
    <w:pPr>
      <w:ind w:firstLine="420"/>
    </w:pPr>
    <w:rPr>
      <w:rFonts w:ascii="Arial" w:hAnsi="Arial" w:cs="Arial"/>
    </w:rPr>
  </w:style>
  <w:style w:type="paragraph" w:customStyle="1" w:styleId="24">
    <w:name w:val="目录 81"/>
    <w:next w:val="1"/>
    <w:qFormat/>
    <w:uiPriority w:val="0"/>
    <w:pPr>
      <w:wordWrap w:val="0"/>
      <w:ind w:left="2975"/>
      <w:jc w:val="both"/>
    </w:pPr>
    <w:rPr>
      <w:rFonts w:ascii="Times New Roman" w:hAnsi="Times New Roman" w:eastAsia="宋体" w:cs="Times New Roman"/>
      <w:sz w:val="21"/>
      <w:lang w:val="en-US" w:eastAsia="zh-CN" w:bidi="ar-SA"/>
    </w:rPr>
  </w:style>
  <w:style w:type="paragraph" w:customStyle="1" w:styleId="25">
    <w:name w:val="TOC 81"/>
    <w:next w:val="1"/>
    <w:qFormat/>
    <w:uiPriority w:val="0"/>
    <w:pPr>
      <w:wordWrap w:val="0"/>
      <w:ind w:left="2975"/>
      <w:jc w:val="both"/>
    </w:pPr>
    <w:rPr>
      <w:rFonts w:ascii="Times New Roman" w:hAnsi="Times New Roman" w:eastAsia="宋体" w:cs="Times New Roman"/>
      <w:sz w:val="21"/>
      <w:lang w:val="en-US" w:eastAsia="zh-CN" w:bidi="ar-SA"/>
    </w:rPr>
  </w:style>
  <w:style w:type="character" w:customStyle="1" w:styleId="26">
    <w:name w:val="font11"/>
    <w:basedOn w:val="19"/>
    <w:qFormat/>
    <w:uiPriority w:val="0"/>
    <w:rPr>
      <w:rFonts w:hint="default" w:ascii="Times New Roman" w:hAnsi="Times New Roman" w:cs="Times New Roman"/>
      <w:color w:val="000000"/>
      <w:sz w:val="24"/>
      <w:szCs w:val="24"/>
      <w:u w:val="none"/>
    </w:rPr>
  </w:style>
  <w:style w:type="character" w:customStyle="1" w:styleId="27">
    <w:name w:val="font31"/>
    <w:basedOn w:val="19"/>
    <w:qFormat/>
    <w:uiPriority w:val="0"/>
    <w:rPr>
      <w:rFonts w:hint="eastAsia" w:ascii="宋体" w:hAnsi="宋体" w:eastAsia="宋体" w:cs="宋体"/>
      <w:color w:val="000000"/>
      <w:sz w:val="24"/>
      <w:szCs w:val="24"/>
      <w:u w:val="none"/>
    </w:rPr>
  </w:style>
  <w:style w:type="character" w:customStyle="1" w:styleId="28">
    <w:name w:val="font01"/>
    <w:basedOn w:val="19"/>
    <w:qFormat/>
    <w:uiPriority w:val="0"/>
    <w:rPr>
      <w:rFonts w:hint="eastAsia" w:ascii="宋体" w:hAnsi="宋体" w:eastAsia="宋体" w:cs="宋体"/>
      <w:color w:val="000000"/>
      <w:sz w:val="22"/>
      <w:szCs w:val="22"/>
      <w:u w:val="none"/>
    </w:rPr>
  </w:style>
  <w:style w:type="paragraph" w:customStyle="1" w:styleId="29">
    <w:name w:val="Table Paragraph"/>
    <w:basedOn w:val="1"/>
    <w:qFormat/>
    <w:uiPriority w:val="1"/>
  </w:style>
  <w:style w:type="paragraph" w:customStyle="1" w:styleId="30">
    <w:name w:val="表格样式居左"/>
    <w:qFormat/>
    <w:uiPriority w:val="99"/>
    <w:pPr>
      <w:adjustRightInd w:val="0"/>
      <w:snapToGrid w:val="0"/>
      <w:spacing w:line="360" w:lineRule="exact"/>
      <w:jc w:val="center"/>
    </w:pPr>
    <w:rPr>
      <w:rFonts w:ascii="Times New Roman" w:hAnsi="Times New Roman" w:eastAsia="宋体" w:cs="Times New Roman"/>
      <w:bCs/>
      <w:sz w:val="21"/>
      <w:szCs w:val="44"/>
      <w:lang w:val="en-US" w:eastAsia="zh-CN" w:bidi="ar-SA"/>
    </w:rPr>
  </w:style>
  <w:style w:type="paragraph" w:customStyle="1" w:styleId="31">
    <w:name w:val="一级缩进"/>
    <w:qFormat/>
    <w:uiPriority w:val="0"/>
    <w:pPr>
      <w:numPr>
        <w:ilvl w:val="0"/>
        <w:numId w:val="2"/>
      </w:numPr>
      <w:tabs>
        <w:tab w:val="left" w:pos="568"/>
      </w:tabs>
      <w:adjustRightInd w:val="0"/>
      <w:snapToGrid w:val="0"/>
      <w:spacing w:before="120" w:after="120" w:line="360" w:lineRule="auto"/>
      <w:jc w:val="both"/>
    </w:pPr>
    <w:rPr>
      <w:rFonts w:ascii="Times New Roman" w:hAnsi="Times New Roman" w:eastAsia="仿宋_GB2312" w:cs="Times New Roman"/>
      <w:kern w:val="2"/>
      <w:sz w:val="24"/>
      <w:szCs w:val="24"/>
      <w:lang w:val="en-US" w:eastAsia="zh-CN" w:bidi="ar-SA"/>
    </w:rPr>
  </w:style>
  <w:style w:type="paragraph" w:customStyle="1" w:styleId="32">
    <w:name w:val="表格样式居中"/>
    <w:qFormat/>
    <w:uiPriority w:val="0"/>
    <w:pPr>
      <w:adjustRightInd w:val="0"/>
      <w:snapToGrid w:val="0"/>
      <w:jc w:val="center"/>
    </w:pPr>
    <w:rPr>
      <w:rFonts w:ascii="Times New Roman" w:hAnsi="Times New Roman" w:eastAsia="仿宋_GB2312" w:cs="Times New Roman"/>
      <w:bCs/>
      <w:kern w:val="44"/>
      <w:sz w:val="21"/>
      <w:szCs w:val="44"/>
      <w:lang w:val="en-US" w:eastAsia="zh-CN" w:bidi="ar-SA"/>
    </w:rPr>
  </w:style>
  <w:style w:type="paragraph" w:customStyle="1" w:styleId="33">
    <w:name w:val="标正文"/>
    <w:basedOn w:val="1"/>
    <w:qFormat/>
    <w:uiPriority w:val="0"/>
    <w:pPr>
      <w:widowControl/>
      <w:ind w:firstLine="200" w:firstLineChars="200"/>
    </w:pPr>
    <w:rPr>
      <w:rFonts w:ascii="Calibri"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17</Pages>
  <Words>12777</Words>
  <Characters>15959</Characters>
  <Lines>8</Lines>
  <Paragraphs>7</Paragraphs>
  <TotalTime>11</TotalTime>
  <ScaleCrop>false</ScaleCrop>
  <LinksUpToDate>false</LinksUpToDate>
  <CharactersWithSpaces>16130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2022-09-22T08:34:00Z</dcterms:created>
  <dc:creator>迷尔公爵静子</dc:creator>
  <cp:lastModifiedBy>Administrator</cp:lastModifiedBy>
  <cp:lastPrinted>2022-09-22T07:23:00Z</cp:lastPrinted>
  <dcterms:modified xsi:type="dcterms:W3CDTF">2023-12-18T07:26:07Z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40FF0AEEDA9447B99E8EE40967155002_13</vt:lpwstr>
  </property>
</Properties>
</file>