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480" w:firstLine="6000" w:firstLineChars="2500"/>
        <w:rPr>
          <w:rFonts w:eastAsia="华文中宋"/>
          <w:bCs/>
          <w:sz w:val="24"/>
          <w:highlight w:val="none"/>
          <w:u w:val="single"/>
        </w:rPr>
      </w:pPr>
      <w:r>
        <w:rPr>
          <w:rFonts w:eastAsia="华文中宋"/>
          <w:bCs/>
          <w:sz w:val="24"/>
          <w:highlight w:val="none"/>
        </w:rPr>
        <w:t>合同编号：</w:t>
      </w:r>
      <w:bookmarkStart w:id="0" w:name="bookmark1"/>
      <w:r>
        <w:rPr>
          <w:rFonts w:hint="eastAsia" w:eastAsia="华文中宋"/>
          <w:bCs/>
          <w:sz w:val="24"/>
          <w:highlight w:val="none"/>
        </w:rPr>
        <w:t xml:space="preserve">    </w:t>
      </w:r>
      <w:bookmarkEnd w:id="0"/>
    </w:p>
    <w:p>
      <w:pPr>
        <w:snapToGrid w:val="0"/>
        <w:ind w:firstLine="600" w:firstLineChars="250"/>
        <w:rPr>
          <w:rFonts w:eastAsia="华文中宋"/>
          <w:bCs/>
          <w:sz w:val="24"/>
          <w:highlight w:val="none"/>
        </w:rPr>
      </w:pPr>
    </w:p>
    <w:p>
      <w:pPr>
        <w:snapToGrid w:val="0"/>
        <w:jc w:val="center"/>
        <w:rPr>
          <w:rFonts w:ascii="华文中宋" w:hAnsi="华文中宋" w:eastAsia="华文中宋"/>
          <w:bCs/>
          <w:sz w:val="44"/>
          <w:szCs w:val="44"/>
          <w:highlight w:val="none"/>
        </w:rPr>
      </w:pPr>
      <w:r>
        <w:rPr>
          <w:rFonts w:ascii="华文中宋" w:hAnsi="华文中宋" w:eastAsia="华文中宋"/>
          <w:bCs/>
          <w:sz w:val="44"/>
          <w:szCs w:val="44"/>
          <w:highlight w:val="none"/>
        </w:rPr>
        <w:t>《黑龙江省政府采购合同》</w:t>
      </w:r>
      <w:r>
        <w:rPr>
          <w:rFonts w:ascii="华文中宋" w:hAnsi="华文中宋" w:eastAsia="华文中宋"/>
          <w:sz w:val="44"/>
          <w:szCs w:val="44"/>
          <w:highlight w:val="none"/>
        </w:rPr>
        <w:t>（试行）文本</w:t>
      </w:r>
    </w:p>
    <w:p>
      <w:pPr>
        <w:snapToGrid w:val="0"/>
        <w:ind w:firstLine="2700" w:firstLineChars="900"/>
        <w:rPr>
          <w:rFonts w:hAnsi="宋体"/>
          <w:sz w:val="30"/>
          <w:szCs w:val="30"/>
          <w:highlight w:val="none"/>
        </w:rPr>
      </w:pPr>
    </w:p>
    <w:p>
      <w:pPr>
        <w:snapToGrid w:val="0"/>
        <w:ind w:firstLine="3600" w:firstLineChars="1200"/>
        <w:rPr>
          <w:sz w:val="30"/>
          <w:szCs w:val="30"/>
          <w:highlight w:val="none"/>
        </w:rPr>
      </w:pPr>
      <w:r>
        <w:rPr>
          <w:rFonts w:hAnsi="宋体"/>
          <w:sz w:val="30"/>
          <w:szCs w:val="30"/>
          <w:highlight w:val="none"/>
        </w:rPr>
        <w:t>一般</w:t>
      </w:r>
      <w:r>
        <w:rPr>
          <w:rFonts w:hint="eastAsia" w:hAnsi="宋体"/>
          <w:sz w:val="30"/>
          <w:szCs w:val="30"/>
          <w:highlight w:val="none"/>
          <w:lang w:eastAsia="zh-CN"/>
        </w:rPr>
        <w:t>服务</w:t>
      </w:r>
      <w:r>
        <w:rPr>
          <w:rFonts w:hAnsi="宋体"/>
          <w:sz w:val="30"/>
          <w:szCs w:val="30"/>
          <w:highlight w:val="none"/>
        </w:rPr>
        <w:t>类</w:t>
      </w:r>
    </w:p>
    <w:p>
      <w:pPr>
        <w:snapToGrid w:val="0"/>
        <w:ind w:firstLine="2700" w:firstLineChars="900"/>
        <w:rPr>
          <w:sz w:val="30"/>
          <w:szCs w:val="30"/>
          <w:highlight w:val="none"/>
        </w:rPr>
      </w:pPr>
    </w:p>
    <w:p>
      <w:pPr>
        <w:snapToGrid w:val="0"/>
        <w:spacing w:line="360" w:lineRule="auto"/>
        <w:rPr>
          <w:sz w:val="24"/>
          <w:highlight w:val="none"/>
          <w:u w:val="single"/>
        </w:rPr>
      </w:pPr>
      <w:r>
        <w:rPr>
          <w:rFonts w:hAnsi="宋体"/>
          <w:sz w:val="24"/>
          <w:highlight w:val="none"/>
        </w:rPr>
        <w:t>采购单位（甲方）</w:t>
      </w:r>
      <w:r>
        <w:rPr>
          <w:sz w:val="24"/>
          <w:highlight w:val="none"/>
          <w:u w:val="single"/>
        </w:rPr>
        <w:t xml:space="preserve">  </w:t>
      </w:r>
      <w:r>
        <w:rPr>
          <w:rFonts w:hint="eastAsia"/>
          <w:sz w:val="24"/>
          <w:highlight w:val="none"/>
          <w:u w:val="single"/>
        </w:rPr>
        <w:t xml:space="preserve">黑龙江省公安厅 </w:t>
      </w:r>
      <w:r>
        <w:rPr>
          <w:sz w:val="24"/>
          <w:highlight w:val="none"/>
          <w:u w:val="single"/>
        </w:rPr>
        <w:t xml:space="preserve">     </w:t>
      </w:r>
      <w:r>
        <w:rPr>
          <w:sz w:val="24"/>
          <w:highlight w:val="none"/>
          <w:u w:val="none"/>
        </w:rPr>
        <w:t xml:space="preserve"> </w:t>
      </w:r>
      <w:r>
        <w:rPr>
          <w:rFonts w:hAnsi="宋体"/>
          <w:spacing w:val="-20"/>
          <w:sz w:val="24"/>
          <w:highlight w:val="none"/>
        </w:rPr>
        <w:t>采</w:t>
      </w:r>
      <w:r>
        <w:rPr>
          <w:spacing w:val="-20"/>
          <w:sz w:val="24"/>
          <w:highlight w:val="none"/>
        </w:rPr>
        <w:t xml:space="preserve"> </w:t>
      </w:r>
      <w:r>
        <w:rPr>
          <w:rFonts w:hAnsi="宋体"/>
          <w:spacing w:val="-20"/>
          <w:sz w:val="24"/>
          <w:highlight w:val="none"/>
        </w:rPr>
        <w:t>购</w:t>
      </w:r>
      <w:r>
        <w:rPr>
          <w:spacing w:val="-20"/>
          <w:sz w:val="24"/>
          <w:highlight w:val="none"/>
        </w:rPr>
        <w:t xml:space="preserve"> </w:t>
      </w:r>
      <w:r>
        <w:rPr>
          <w:rFonts w:hAnsi="宋体"/>
          <w:spacing w:val="-20"/>
          <w:sz w:val="24"/>
          <w:highlight w:val="none"/>
        </w:rPr>
        <w:t>计</w:t>
      </w:r>
      <w:r>
        <w:rPr>
          <w:spacing w:val="-20"/>
          <w:sz w:val="24"/>
          <w:highlight w:val="none"/>
        </w:rPr>
        <w:t xml:space="preserve"> </w:t>
      </w:r>
      <w:r>
        <w:rPr>
          <w:rFonts w:hAnsi="宋体"/>
          <w:spacing w:val="-20"/>
          <w:sz w:val="24"/>
          <w:highlight w:val="none"/>
        </w:rPr>
        <w:t>划</w:t>
      </w:r>
      <w:r>
        <w:rPr>
          <w:spacing w:val="-20"/>
          <w:sz w:val="24"/>
          <w:highlight w:val="none"/>
        </w:rPr>
        <w:t xml:space="preserve"> </w:t>
      </w:r>
      <w:r>
        <w:rPr>
          <w:rFonts w:hAnsi="宋体"/>
          <w:spacing w:val="-20"/>
          <w:sz w:val="24"/>
          <w:highlight w:val="none"/>
        </w:rPr>
        <w:t>号</w:t>
      </w:r>
      <w:r>
        <w:rPr>
          <w:sz w:val="24"/>
          <w:highlight w:val="none"/>
          <w:u w:val="single"/>
        </w:rPr>
        <w:t xml:space="preserve"> </w:t>
      </w:r>
      <w:r>
        <w:rPr>
          <w:rFonts w:hint="eastAsia" w:ascii="宋体" w:hAnsi="宋体" w:eastAsia="宋体" w:cs="宋体"/>
          <w:sz w:val="24"/>
          <w:highlight w:val="none"/>
          <w:u w:val="single"/>
          <w:lang w:val="en-US" w:eastAsia="zh-CN"/>
        </w:rPr>
        <w:t>[2021]13956</w:t>
      </w:r>
      <w:r>
        <w:rPr>
          <w:rFonts w:hint="eastAsia"/>
          <w:sz w:val="24"/>
          <w:highlight w:val="none"/>
          <w:u w:val="single"/>
          <w:lang w:val="en-US" w:eastAsia="zh-CN"/>
        </w:rPr>
        <w:t xml:space="preserve">  </w:t>
      </w:r>
      <w:r>
        <w:rPr>
          <w:rFonts w:hint="eastAsia" w:hAnsi="宋体"/>
          <w:sz w:val="24"/>
          <w:highlight w:val="none"/>
          <w:u w:val="single"/>
        </w:rPr>
        <w:t xml:space="preserve"> </w:t>
      </w:r>
      <w:r>
        <w:rPr>
          <w:sz w:val="24"/>
          <w:highlight w:val="none"/>
          <w:u w:val="single"/>
        </w:rPr>
        <w:t xml:space="preserve">     </w:t>
      </w:r>
    </w:p>
    <w:p>
      <w:pPr>
        <w:snapToGrid w:val="0"/>
        <w:spacing w:line="360" w:lineRule="auto"/>
        <w:rPr>
          <w:rFonts w:hint="default" w:eastAsia="宋体"/>
          <w:sz w:val="24"/>
          <w:highlight w:val="none"/>
          <w:u w:val="single"/>
          <w:lang w:val="en-US" w:eastAsia="zh-CN"/>
        </w:rPr>
      </w:pPr>
      <w:r>
        <w:rPr>
          <w:rFonts w:hAnsi="宋体"/>
          <w:sz w:val="24"/>
          <w:highlight w:val="none"/>
        </w:rPr>
        <w:t>供</w:t>
      </w:r>
      <w:r>
        <w:rPr>
          <w:sz w:val="24"/>
          <w:highlight w:val="none"/>
        </w:rPr>
        <w:t xml:space="preserve"> </w:t>
      </w:r>
      <w:r>
        <w:rPr>
          <w:rFonts w:hAnsi="宋体"/>
          <w:sz w:val="24"/>
          <w:highlight w:val="none"/>
        </w:rPr>
        <w:t>应</w:t>
      </w:r>
      <w:r>
        <w:rPr>
          <w:sz w:val="24"/>
          <w:highlight w:val="none"/>
        </w:rPr>
        <w:t xml:space="preserve"> </w:t>
      </w:r>
      <w:r>
        <w:rPr>
          <w:rFonts w:hAnsi="宋体"/>
          <w:sz w:val="24"/>
          <w:highlight w:val="none"/>
        </w:rPr>
        <w:t>商（乙方）</w:t>
      </w:r>
      <w:r>
        <w:rPr>
          <w:rFonts w:hint="eastAsia" w:ascii="Times New Roman" w:hAnsi="Times New Roman" w:cs="Times New Roman"/>
          <w:sz w:val="20"/>
          <w:szCs w:val="20"/>
          <w:highlight w:val="none"/>
          <w:u w:val="single"/>
        </w:rPr>
        <w:t>北京博思致新互联网科技有限责任公司</w:t>
      </w:r>
      <w:r>
        <w:rPr>
          <w:sz w:val="24"/>
          <w:highlight w:val="none"/>
          <w:u w:val="none"/>
        </w:rPr>
        <w:t xml:space="preserve"> </w:t>
      </w:r>
      <w:r>
        <w:rPr>
          <w:rFonts w:hAnsi="宋体"/>
          <w:sz w:val="24"/>
          <w:highlight w:val="none"/>
        </w:rPr>
        <w:t>招</w:t>
      </w:r>
      <w:r>
        <w:rPr>
          <w:rFonts w:hint="eastAsia" w:hAnsi="宋体"/>
          <w:sz w:val="24"/>
          <w:highlight w:val="none"/>
          <w:lang w:val="en-US" w:eastAsia="zh-CN"/>
        </w:rPr>
        <w:t xml:space="preserve"> </w:t>
      </w:r>
      <w:r>
        <w:rPr>
          <w:rFonts w:hAnsi="宋体"/>
          <w:sz w:val="24"/>
          <w:highlight w:val="none"/>
        </w:rPr>
        <w:t>标</w:t>
      </w:r>
      <w:r>
        <w:rPr>
          <w:rFonts w:hint="eastAsia" w:hAnsi="宋体"/>
          <w:sz w:val="24"/>
          <w:highlight w:val="none"/>
          <w:lang w:val="en-US" w:eastAsia="zh-CN"/>
        </w:rPr>
        <w:t xml:space="preserve"> </w:t>
      </w:r>
      <w:r>
        <w:rPr>
          <w:rFonts w:hAnsi="宋体"/>
          <w:sz w:val="24"/>
          <w:highlight w:val="none"/>
        </w:rPr>
        <w:t>编</w:t>
      </w:r>
      <w:r>
        <w:rPr>
          <w:rFonts w:hint="eastAsia" w:hAnsi="宋体"/>
          <w:sz w:val="24"/>
          <w:highlight w:val="none"/>
          <w:lang w:val="en-US" w:eastAsia="zh-CN"/>
        </w:rPr>
        <w:t xml:space="preserve"> </w:t>
      </w:r>
      <w:r>
        <w:rPr>
          <w:rFonts w:hAnsi="宋体"/>
          <w:sz w:val="24"/>
          <w:highlight w:val="none"/>
        </w:rPr>
        <w:t>号</w:t>
      </w:r>
      <w:r>
        <w:rPr>
          <w:rFonts w:hint="eastAsia" w:ascii="宋体" w:hAnsi="宋体" w:eastAsia="宋体" w:cs="宋体"/>
          <w:sz w:val="24"/>
          <w:highlight w:val="none"/>
          <w:u w:val="single"/>
          <w:lang w:val="en-US" w:eastAsia="zh-CN"/>
        </w:rPr>
        <w:t>RKZJ21CG051</w:t>
      </w:r>
    </w:p>
    <w:p>
      <w:pPr>
        <w:snapToGrid w:val="0"/>
        <w:spacing w:line="360" w:lineRule="auto"/>
        <w:rPr>
          <w:rFonts w:hint="default" w:eastAsia="宋体"/>
          <w:sz w:val="24"/>
          <w:highlight w:val="none"/>
          <w:u w:val="single"/>
          <w:lang w:val="en-US" w:eastAsia="zh-CN"/>
        </w:rPr>
      </w:pPr>
      <w:r>
        <w:rPr>
          <w:rFonts w:hAnsi="宋体"/>
          <w:sz w:val="24"/>
          <w:highlight w:val="none"/>
        </w:rPr>
        <w:t>签</w:t>
      </w:r>
      <w:r>
        <w:rPr>
          <w:sz w:val="24"/>
          <w:highlight w:val="none"/>
        </w:rPr>
        <w:t xml:space="preserve">  </w:t>
      </w:r>
      <w:r>
        <w:rPr>
          <w:rFonts w:hAnsi="宋体"/>
          <w:sz w:val="24"/>
          <w:highlight w:val="none"/>
        </w:rPr>
        <w:t>订</w:t>
      </w:r>
      <w:r>
        <w:rPr>
          <w:sz w:val="24"/>
          <w:highlight w:val="none"/>
        </w:rPr>
        <w:t xml:space="preserve">  </w:t>
      </w:r>
      <w:r>
        <w:rPr>
          <w:rFonts w:hAnsi="宋体"/>
          <w:sz w:val="24"/>
          <w:highlight w:val="none"/>
        </w:rPr>
        <w:t>地</w:t>
      </w:r>
      <w:r>
        <w:rPr>
          <w:sz w:val="24"/>
          <w:highlight w:val="none"/>
        </w:rPr>
        <w:t xml:space="preserve">  </w:t>
      </w:r>
      <w:r>
        <w:rPr>
          <w:rFonts w:hAnsi="宋体"/>
          <w:sz w:val="24"/>
          <w:highlight w:val="none"/>
        </w:rPr>
        <w:t>点</w:t>
      </w:r>
      <w:r>
        <w:rPr>
          <w:sz w:val="24"/>
          <w:highlight w:val="none"/>
        </w:rPr>
        <w:t xml:space="preserve"> </w:t>
      </w:r>
      <w:bookmarkStart w:id="1" w:name="bookmark2"/>
      <w:r>
        <w:rPr>
          <w:rFonts w:hint="eastAsia" w:ascii="宋体" w:hAnsi="宋体" w:cs="Arial"/>
          <w:sz w:val="22"/>
          <w:szCs w:val="22"/>
          <w:highlight w:val="none"/>
          <w:u w:val="single"/>
        </w:rPr>
        <w:t>哈尔滨市南岗区中山路145号</w:t>
      </w:r>
      <w:bookmarkEnd w:id="1"/>
      <w:r>
        <w:rPr>
          <w:rFonts w:hint="eastAsia" w:ascii="宋体" w:hAnsi="宋体" w:cs="Arial"/>
          <w:sz w:val="22"/>
          <w:szCs w:val="22"/>
          <w:highlight w:val="none"/>
          <w:u w:val="none"/>
          <w:lang w:val="en-US" w:eastAsia="zh-CN"/>
        </w:rPr>
        <w:t xml:space="preserve"> </w:t>
      </w:r>
      <w:r>
        <w:rPr>
          <w:rFonts w:hAnsi="宋体"/>
          <w:sz w:val="24"/>
          <w:highlight w:val="none"/>
        </w:rPr>
        <w:t>签</w:t>
      </w:r>
      <w:r>
        <w:rPr>
          <w:rFonts w:hint="eastAsia" w:hAnsi="宋体"/>
          <w:sz w:val="24"/>
          <w:highlight w:val="none"/>
        </w:rPr>
        <w:t xml:space="preserve"> </w:t>
      </w:r>
      <w:r>
        <w:rPr>
          <w:rFonts w:hAnsi="宋体"/>
          <w:sz w:val="24"/>
          <w:highlight w:val="none"/>
        </w:rPr>
        <w:t>订</w:t>
      </w:r>
      <w:r>
        <w:rPr>
          <w:rFonts w:hint="eastAsia" w:hAnsi="宋体"/>
          <w:sz w:val="24"/>
          <w:highlight w:val="none"/>
        </w:rPr>
        <w:t xml:space="preserve"> </w:t>
      </w:r>
      <w:r>
        <w:rPr>
          <w:rFonts w:hAnsi="宋体"/>
          <w:sz w:val="24"/>
          <w:highlight w:val="none"/>
        </w:rPr>
        <w:t>时</w:t>
      </w:r>
      <w:r>
        <w:rPr>
          <w:rFonts w:hint="eastAsia" w:hAnsi="宋体"/>
          <w:sz w:val="24"/>
          <w:highlight w:val="none"/>
        </w:rPr>
        <w:t xml:space="preserve"> </w:t>
      </w:r>
      <w:r>
        <w:rPr>
          <w:rFonts w:hAnsi="宋体"/>
          <w:sz w:val="24"/>
          <w:highlight w:val="none"/>
        </w:rPr>
        <w:t>间</w:t>
      </w:r>
      <w:bookmarkStart w:id="2" w:name="bookmark3"/>
      <w:r>
        <w:rPr>
          <w:sz w:val="24"/>
          <w:highlight w:val="none"/>
          <w:u w:val="single"/>
        </w:rPr>
        <w:t xml:space="preserve"> </w:t>
      </w:r>
      <w:r>
        <w:rPr>
          <w:rFonts w:hint="eastAsia" w:ascii="宋体" w:hAnsi="宋体" w:cs="宋体"/>
          <w:sz w:val="24"/>
          <w:highlight w:val="none"/>
          <w:u w:val="single"/>
          <w:lang w:val="en-US" w:eastAsia="zh-CN"/>
        </w:rPr>
        <w:t xml:space="preserve"> </w:t>
      </w:r>
      <w:bookmarkEnd w:id="2"/>
      <w:r>
        <w:rPr>
          <w:rFonts w:hint="eastAsia" w:ascii="宋体" w:hAnsi="宋体" w:cs="宋体"/>
          <w:sz w:val="24"/>
          <w:highlight w:val="none"/>
          <w:u w:val="single"/>
          <w:lang w:val="en-US" w:eastAsia="zh-CN"/>
        </w:rPr>
        <w:t xml:space="preserve">                 </w:t>
      </w:r>
    </w:p>
    <w:p>
      <w:pPr>
        <w:snapToGrid w:val="0"/>
        <w:spacing w:line="360" w:lineRule="auto"/>
        <w:ind w:firstLine="560" w:firstLineChars="200"/>
        <w:rPr>
          <w:sz w:val="28"/>
          <w:szCs w:val="28"/>
          <w:highlight w:val="none"/>
        </w:rPr>
      </w:pPr>
    </w:p>
    <w:p>
      <w:pPr>
        <w:snapToGrid w:val="0"/>
        <w:spacing w:line="360" w:lineRule="auto"/>
        <w:ind w:firstLine="480" w:firstLineChars="200"/>
        <w:rPr>
          <w:sz w:val="24"/>
          <w:highlight w:val="none"/>
        </w:rPr>
      </w:pPr>
      <w:r>
        <w:rPr>
          <w:rFonts w:hAnsi="宋体"/>
          <w:sz w:val="24"/>
          <w:highlight w:val="none"/>
        </w:rPr>
        <w:t>根据《中华人民共和国政府采购法》、《中华人民共和国</w:t>
      </w:r>
      <w:r>
        <w:rPr>
          <w:rFonts w:hint="eastAsia" w:hAnsi="宋体"/>
          <w:sz w:val="24"/>
          <w:highlight w:val="none"/>
        </w:rPr>
        <w:t>民法典</w:t>
      </w:r>
      <w:r>
        <w:rPr>
          <w:rFonts w:hAnsi="宋体"/>
          <w:sz w:val="24"/>
          <w:highlight w:val="none"/>
        </w:rPr>
        <w:t>》等法律、法规规定，按照招投标文件规定条款和中标供应商承诺，甲乙双方签订本合同。</w:t>
      </w:r>
    </w:p>
    <w:p>
      <w:pPr>
        <w:snapToGrid w:val="0"/>
        <w:spacing w:line="360" w:lineRule="auto"/>
        <w:ind w:firstLine="482" w:firstLineChars="200"/>
        <w:rPr>
          <w:b/>
          <w:sz w:val="24"/>
          <w:highlight w:val="none"/>
        </w:rPr>
      </w:pPr>
      <w:r>
        <w:rPr>
          <w:rFonts w:hAnsi="宋体"/>
          <w:b/>
          <w:sz w:val="24"/>
          <w:highlight w:val="none"/>
        </w:rPr>
        <w:t>第一条　合同标的</w:t>
      </w:r>
    </w:p>
    <w:p>
      <w:pPr>
        <w:snapToGrid w:val="0"/>
        <w:spacing w:line="360" w:lineRule="auto"/>
        <w:ind w:firstLine="480" w:firstLineChars="200"/>
        <w:rPr>
          <w:rFonts w:hAnsi="宋体"/>
          <w:sz w:val="24"/>
          <w:highlight w:val="none"/>
        </w:rPr>
      </w:pPr>
      <w:r>
        <w:rPr>
          <w:rFonts w:hint="eastAsia"/>
          <w:sz w:val="24"/>
          <w:highlight w:val="none"/>
        </w:rPr>
        <w:t>1、</w:t>
      </w:r>
      <w:r>
        <w:rPr>
          <w:rFonts w:hAnsi="宋体"/>
          <w:sz w:val="24"/>
          <w:highlight w:val="none"/>
        </w:rPr>
        <w:t>供货一览表</w:t>
      </w:r>
    </w:p>
    <w:tbl>
      <w:tblPr>
        <w:tblStyle w:val="5"/>
        <w:tblW w:w="96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9"/>
        <w:gridCol w:w="2552"/>
        <w:gridCol w:w="790"/>
        <w:gridCol w:w="780"/>
        <w:gridCol w:w="1710"/>
        <w:gridCol w:w="765"/>
        <w:gridCol w:w="1185"/>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559" w:type="dxa"/>
            <w:vAlign w:val="center"/>
          </w:tcPr>
          <w:p>
            <w:pPr>
              <w:snapToGrid w:val="0"/>
              <w:spacing w:line="36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552" w:type="dxa"/>
            <w:vAlign w:val="center"/>
          </w:tcPr>
          <w:p>
            <w:pPr>
              <w:snapToGrid w:val="0"/>
              <w:spacing w:line="36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产品名称</w:t>
            </w:r>
          </w:p>
        </w:tc>
        <w:tc>
          <w:tcPr>
            <w:tcW w:w="790" w:type="dxa"/>
            <w:vAlign w:val="center"/>
          </w:tcPr>
          <w:p>
            <w:pPr>
              <w:snapToGrid w:val="0"/>
              <w:spacing w:line="36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商标品牌</w:t>
            </w:r>
          </w:p>
        </w:tc>
        <w:tc>
          <w:tcPr>
            <w:tcW w:w="780" w:type="dxa"/>
            <w:vAlign w:val="center"/>
          </w:tcPr>
          <w:p>
            <w:pPr>
              <w:snapToGrid w:val="0"/>
              <w:spacing w:line="36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规格型号</w:t>
            </w:r>
          </w:p>
        </w:tc>
        <w:tc>
          <w:tcPr>
            <w:tcW w:w="1710" w:type="dxa"/>
            <w:vAlign w:val="center"/>
          </w:tcPr>
          <w:p>
            <w:pPr>
              <w:snapToGrid w:val="0"/>
              <w:spacing w:line="36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生产厂家</w:t>
            </w:r>
          </w:p>
        </w:tc>
        <w:tc>
          <w:tcPr>
            <w:tcW w:w="765" w:type="dxa"/>
            <w:vAlign w:val="center"/>
          </w:tcPr>
          <w:p>
            <w:pPr>
              <w:snapToGrid w:val="0"/>
              <w:spacing w:line="36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数量</w:t>
            </w:r>
          </w:p>
        </w:tc>
        <w:tc>
          <w:tcPr>
            <w:tcW w:w="1185" w:type="dxa"/>
            <w:vAlign w:val="center"/>
          </w:tcPr>
          <w:p>
            <w:pPr>
              <w:snapToGrid w:val="0"/>
              <w:spacing w:line="36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单价</w:t>
            </w:r>
            <w:r>
              <w:rPr>
                <w:rFonts w:asciiTheme="minorEastAsia" w:hAnsiTheme="minorEastAsia" w:eastAsiaTheme="minorEastAsia"/>
                <w:sz w:val="21"/>
                <w:szCs w:val="21"/>
                <w:highlight w:val="none"/>
              </w:rPr>
              <w:t>(元)</w:t>
            </w:r>
          </w:p>
        </w:tc>
        <w:tc>
          <w:tcPr>
            <w:tcW w:w="1259" w:type="dxa"/>
            <w:vAlign w:val="center"/>
          </w:tcPr>
          <w:p>
            <w:pPr>
              <w:snapToGrid w:val="0"/>
              <w:spacing w:line="36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金额</w:t>
            </w:r>
            <w:r>
              <w:rPr>
                <w:rFonts w:asciiTheme="minorEastAsia" w:hAnsiTheme="minorEastAsia" w:eastAsiaTheme="minorEastAsia"/>
                <w:sz w:val="21"/>
                <w:szCs w:val="21"/>
                <w:highlight w:val="none"/>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59" w:type="dxa"/>
            <w:vAlign w:val="center"/>
          </w:tcPr>
          <w:p>
            <w:pPr>
              <w:snapToGrid w:val="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w:t>
            </w:r>
          </w:p>
        </w:tc>
        <w:tc>
          <w:tcPr>
            <w:tcW w:w="2552" w:type="dxa"/>
            <w:vAlign w:val="center"/>
          </w:tcPr>
          <w:p>
            <w:pPr>
              <w:snapToGrid w:val="0"/>
              <w:jc w:val="center"/>
              <w:rPr>
                <w:rFonts w:asciiTheme="minorEastAsia" w:hAnsiTheme="minorEastAsia" w:eastAsiaTheme="minorEastAsia"/>
                <w:sz w:val="21"/>
                <w:szCs w:val="21"/>
                <w:highlight w:val="none"/>
              </w:rPr>
            </w:pPr>
            <w:r>
              <w:rPr>
                <w:rFonts w:hint="eastAsia" w:ascii="Times New Roman" w:hAnsi="宋体" w:cs="Times New Roman"/>
                <w:sz w:val="24"/>
                <w:highlight w:val="none"/>
              </w:rPr>
              <w:t>出入境业务非税票据一体化及统一收缴平台（一期）项目运行维护</w:t>
            </w:r>
          </w:p>
        </w:tc>
        <w:tc>
          <w:tcPr>
            <w:tcW w:w="790" w:type="dxa"/>
            <w:vAlign w:val="center"/>
          </w:tcPr>
          <w:p>
            <w:pPr>
              <w:snapToGrid w:val="0"/>
              <w:jc w:val="center"/>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w:t>
            </w:r>
          </w:p>
        </w:tc>
        <w:tc>
          <w:tcPr>
            <w:tcW w:w="780" w:type="dxa"/>
            <w:vAlign w:val="center"/>
          </w:tcPr>
          <w:p>
            <w:pPr>
              <w:snapToGrid w:val="0"/>
              <w:jc w:val="center"/>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w:t>
            </w:r>
            <w:bookmarkStart w:id="12" w:name="_GoBack"/>
            <w:bookmarkEnd w:id="12"/>
          </w:p>
        </w:tc>
        <w:tc>
          <w:tcPr>
            <w:tcW w:w="1710" w:type="dxa"/>
            <w:vAlign w:val="center"/>
          </w:tcPr>
          <w:p>
            <w:pPr>
              <w:snapToGrid w:val="0"/>
              <w:jc w:val="center"/>
              <w:rPr>
                <w:rFonts w:asciiTheme="minorEastAsia" w:hAnsiTheme="minorEastAsia" w:eastAsiaTheme="minorEastAsia"/>
                <w:sz w:val="21"/>
                <w:szCs w:val="21"/>
                <w:highlight w:val="none"/>
              </w:rPr>
            </w:pPr>
            <w:r>
              <w:rPr>
                <w:rFonts w:hint="eastAsia" w:ascii="Times New Roman" w:hAnsi="宋体" w:cs="Times New Roman"/>
                <w:sz w:val="24"/>
                <w:highlight w:val="none"/>
              </w:rPr>
              <w:t>北京博思致新互联网科技有限责任公司</w:t>
            </w:r>
          </w:p>
        </w:tc>
        <w:tc>
          <w:tcPr>
            <w:tcW w:w="765" w:type="dxa"/>
            <w:vAlign w:val="center"/>
          </w:tcPr>
          <w:p>
            <w:pPr>
              <w:snapToGrid w:val="0"/>
              <w:jc w:val="center"/>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w:t>
            </w:r>
          </w:p>
        </w:tc>
        <w:tc>
          <w:tcPr>
            <w:tcW w:w="1185" w:type="dxa"/>
            <w:vAlign w:val="center"/>
          </w:tcPr>
          <w:p>
            <w:pPr>
              <w:snapToGrid w:val="0"/>
              <w:jc w:val="center"/>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168000.00</w:t>
            </w:r>
          </w:p>
        </w:tc>
        <w:tc>
          <w:tcPr>
            <w:tcW w:w="1259" w:type="dxa"/>
            <w:vAlign w:val="center"/>
          </w:tcPr>
          <w:p>
            <w:pPr>
              <w:snapToGrid w:val="0"/>
              <w:jc w:val="center"/>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9600" w:type="dxa"/>
            <w:gridSpan w:val="8"/>
            <w:vAlign w:val="center"/>
          </w:tcPr>
          <w:p>
            <w:pPr>
              <w:snapToGrid w:val="0"/>
              <w:rPr>
                <w:rFonts w:asciiTheme="minorEastAsia" w:hAnsiTheme="minorEastAsia" w:eastAsiaTheme="minorEastAsia"/>
                <w:b/>
                <w:sz w:val="21"/>
                <w:szCs w:val="21"/>
                <w:highlight w:val="none"/>
              </w:rPr>
            </w:pPr>
            <w:r>
              <w:rPr>
                <w:rFonts w:asciiTheme="minorEastAsia" w:hAnsiTheme="minorEastAsia" w:eastAsiaTheme="minorEastAsia"/>
                <w:b/>
                <w:sz w:val="21"/>
                <w:szCs w:val="21"/>
                <w:highlight w:val="none"/>
              </w:rPr>
              <w:t>人民币合计金额（大写）</w:t>
            </w:r>
            <w:bookmarkStart w:id="3" w:name="bookmark4"/>
            <w:r>
              <w:rPr>
                <w:rFonts w:hint="eastAsia" w:asciiTheme="minorEastAsia" w:hAnsiTheme="minorEastAsia" w:eastAsiaTheme="minorEastAsia"/>
                <w:b/>
                <w:sz w:val="21"/>
                <w:szCs w:val="21"/>
                <w:highlight w:val="none"/>
                <w:lang w:eastAsia="zh-CN"/>
              </w:rPr>
              <w:t>壹拾陆万捌仟元</w:t>
            </w:r>
            <w:bookmarkEnd w:id="3"/>
            <w:r>
              <w:rPr>
                <w:rFonts w:hint="eastAsia" w:asciiTheme="minorEastAsia" w:hAnsiTheme="minorEastAsia" w:eastAsiaTheme="minorEastAsia"/>
                <w:b/>
                <w:sz w:val="21"/>
                <w:szCs w:val="21"/>
                <w:highlight w:val="none"/>
                <w:lang w:eastAsia="zh-CN"/>
              </w:rPr>
              <w:t>整</w:t>
            </w:r>
            <w:r>
              <w:rPr>
                <w:rFonts w:asciiTheme="minorEastAsia" w:hAnsiTheme="minorEastAsia" w:eastAsiaTheme="minorEastAsia"/>
                <w:b/>
                <w:sz w:val="21"/>
                <w:szCs w:val="21"/>
                <w:highlight w:val="none"/>
              </w:rPr>
              <w:t xml:space="preserve">                （小写）</w:t>
            </w:r>
            <w:r>
              <w:rPr>
                <w:rFonts w:hint="eastAsia" w:asciiTheme="minorEastAsia" w:hAnsiTheme="minorEastAsia" w:eastAsiaTheme="minorEastAsia"/>
                <w:b/>
                <w:sz w:val="21"/>
                <w:szCs w:val="21"/>
                <w:highlight w:val="none"/>
                <w:lang w:val="en-US" w:eastAsia="zh-CN"/>
              </w:rPr>
              <w:t>168000.00</w:t>
            </w:r>
            <w:r>
              <w:rPr>
                <w:rFonts w:asciiTheme="minorEastAsia" w:hAnsiTheme="minorEastAsia" w:eastAsiaTheme="minorEastAsia"/>
                <w:b/>
                <w:sz w:val="21"/>
                <w:szCs w:val="21"/>
                <w:highlight w:val="none"/>
              </w:rPr>
              <w:t>元</w:t>
            </w:r>
          </w:p>
        </w:tc>
      </w:tr>
    </w:tbl>
    <w:p>
      <w:pPr>
        <w:snapToGrid w:val="0"/>
        <w:spacing w:line="360" w:lineRule="auto"/>
        <w:ind w:right="420" w:firstLine="480" w:firstLineChars="200"/>
        <w:rPr>
          <w:sz w:val="24"/>
          <w:highlight w:val="none"/>
        </w:rPr>
      </w:pPr>
      <w:r>
        <w:rPr>
          <w:sz w:val="24"/>
          <w:highlight w:val="none"/>
        </w:rPr>
        <w:t>2</w:t>
      </w:r>
      <w:r>
        <w:rPr>
          <w:rFonts w:hAnsi="宋体"/>
          <w:sz w:val="24"/>
          <w:highlight w:val="none"/>
        </w:rPr>
        <w:t>、合同合计金额包括货物价款，备件、专用工具、安装、调试、检验、技术培训及技术资料和包装、运输等全部费用。如招投标文件对其另有规定的，从其规定。</w:t>
      </w:r>
    </w:p>
    <w:p>
      <w:pPr>
        <w:snapToGrid w:val="0"/>
        <w:spacing w:line="360" w:lineRule="auto"/>
        <w:ind w:firstLine="482" w:firstLineChars="200"/>
        <w:rPr>
          <w:sz w:val="24"/>
          <w:highlight w:val="none"/>
        </w:rPr>
      </w:pPr>
      <w:r>
        <w:rPr>
          <w:rFonts w:hAnsi="宋体"/>
          <w:b/>
          <w:sz w:val="24"/>
          <w:highlight w:val="none"/>
        </w:rPr>
        <w:t>第二条　质量保证</w:t>
      </w:r>
    </w:p>
    <w:p>
      <w:pPr>
        <w:snapToGrid w:val="0"/>
        <w:spacing w:line="360" w:lineRule="auto"/>
        <w:ind w:firstLine="480" w:firstLineChars="200"/>
        <w:rPr>
          <w:sz w:val="24"/>
          <w:highlight w:val="none"/>
        </w:rPr>
      </w:pPr>
      <w:r>
        <w:rPr>
          <w:sz w:val="24"/>
          <w:highlight w:val="none"/>
        </w:rPr>
        <w:t>1</w:t>
      </w:r>
      <w:r>
        <w:rPr>
          <w:rFonts w:hAnsi="宋体"/>
          <w:sz w:val="24"/>
          <w:highlight w:val="none"/>
        </w:rPr>
        <w:t>、乙方所提供的货物型号、技术规格、技术参数等质量必须与招投标文件和承诺相一致。乙方提供的自主创新产品、节能和环保产品必须是列入政府采购清单的产品。</w:t>
      </w:r>
    </w:p>
    <w:p>
      <w:pPr>
        <w:snapToGrid w:val="0"/>
        <w:spacing w:line="360" w:lineRule="auto"/>
        <w:ind w:firstLine="480" w:firstLineChars="200"/>
        <w:rPr>
          <w:rFonts w:hAnsi="宋体"/>
          <w:sz w:val="24"/>
          <w:highlight w:val="none"/>
        </w:rPr>
      </w:pPr>
      <w:r>
        <w:rPr>
          <w:sz w:val="24"/>
          <w:highlight w:val="none"/>
        </w:rPr>
        <w:t>2</w:t>
      </w:r>
      <w:r>
        <w:rPr>
          <w:rFonts w:hAnsi="宋体"/>
          <w:sz w:val="24"/>
          <w:highlight w:val="none"/>
        </w:rPr>
        <w:t>、乙方所提供的货物必须是全新、未使用的原装产品，且在正常安装、使用和</w:t>
      </w:r>
    </w:p>
    <w:p>
      <w:pPr>
        <w:snapToGrid w:val="0"/>
        <w:spacing w:line="360" w:lineRule="auto"/>
        <w:rPr>
          <w:sz w:val="24"/>
          <w:highlight w:val="none"/>
          <w:u w:val="single"/>
        </w:rPr>
      </w:pPr>
      <w:r>
        <w:rPr>
          <w:rFonts w:hAnsi="宋体"/>
          <w:sz w:val="24"/>
          <w:highlight w:val="none"/>
        </w:rPr>
        <w:t>保养条件下，其使用寿命期内各项指标均达到质量要求。</w:t>
      </w:r>
    </w:p>
    <w:p>
      <w:pPr>
        <w:snapToGrid w:val="0"/>
        <w:spacing w:line="360" w:lineRule="auto"/>
        <w:ind w:firstLine="482" w:firstLineChars="200"/>
        <w:rPr>
          <w:sz w:val="24"/>
          <w:highlight w:val="none"/>
        </w:rPr>
      </w:pPr>
      <w:r>
        <w:rPr>
          <w:rFonts w:hAnsi="宋体"/>
          <w:b/>
          <w:sz w:val="24"/>
          <w:highlight w:val="none"/>
        </w:rPr>
        <w:t>第三条　权力保证</w:t>
      </w:r>
    </w:p>
    <w:p>
      <w:pPr>
        <w:snapToGrid w:val="0"/>
        <w:spacing w:line="360" w:lineRule="auto"/>
        <w:ind w:firstLine="480" w:firstLineChars="200"/>
        <w:rPr>
          <w:sz w:val="24"/>
          <w:highlight w:val="none"/>
        </w:rPr>
      </w:pPr>
      <w:r>
        <w:rPr>
          <w:rFonts w:hAnsi="宋体"/>
          <w:sz w:val="24"/>
          <w:highlight w:val="none"/>
        </w:rPr>
        <w:t>乙方应保证所提供货物在使用时不会侵犯任何第三方的专利权、商标权、工业设计权或其他权利。</w:t>
      </w:r>
    </w:p>
    <w:p>
      <w:pPr>
        <w:snapToGrid w:val="0"/>
        <w:spacing w:line="360" w:lineRule="auto"/>
        <w:ind w:firstLine="482" w:firstLineChars="200"/>
        <w:rPr>
          <w:b/>
          <w:sz w:val="24"/>
          <w:highlight w:val="none"/>
        </w:rPr>
      </w:pPr>
      <w:r>
        <w:rPr>
          <w:rFonts w:hAnsi="宋体"/>
          <w:b/>
          <w:sz w:val="24"/>
          <w:highlight w:val="none"/>
        </w:rPr>
        <w:t>第四条　包装和运输</w:t>
      </w:r>
    </w:p>
    <w:p>
      <w:pPr>
        <w:snapToGrid w:val="0"/>
        <w:spacing w:line="360" w:lineRule="auto"/>
        <w:ind w:firstLine="480" w:firstLineChars="200"/>
        <w:rPr>
          <w:sz w:val="24"/>
          <w:highlight w:val="none"/>
        </w:rPr>
      </w:pPr>
      <w:r>
        <w:rPr>
          <w:sz w:val="24"/>
          <w:highlight w:val="none"/>
        </w:rPr>
        <w:t>1</w:t>
      </w:r>
      <w:r>
        <w:rPr>
          <w:rFonts w:hAnsi="宋体"/>
          <w:sz w:val="24"/>
          <w:highlight w:val="none"/>
        </w:rPr>
        <w:t>、乙方提供的货物均应按招投标文件要求的包装材料、包装标准、包装方式进行包装，每一包装单元内应附详细的装箱单和质量合格证。</w:t>
      </w:r>
    </w:p>
    <w:p>
      <w:pPr>
        <w:snapToGrid w:val="0"/>
        <w:spacing w:line="360" w:lineRule="auto"/>
        <w:ind w:firstLine="480" w:firstLineChars="200"/>
        <w:rPr>
          <w:sz w:val="24"/>
          <w:highlight w:val="none"/>
        </w:rPr>
      </w:pPr>
      <w:r>
        <w:rPr>
          <w:sz w:val="24"/>
          <w:highlight w:val="none"/>
        </w:rPr>
        <w:t>2</w:t>
      </w:r>
      <w:r>
        <w:rPr>
          <w:rFonts w:hAnsi="宋体"/>
          <w:sz w:val="24"/>
          <w:highlight w:val="none"/>
        </w:rPr>
        <w:t>、货物的运输方式：</w:t>
      </w:r>
      <w:bookmarkStart w:id="4" w:name="bookmark6"/>
      <w:r>
        <w:rPr>
          <w:sz w:val="24"/>
          <w:highlight w:val="none"/>
          <w:u w:val="single"/>
        </w:rPr>
        <w:t xml:space="preserve"> </w:t>
      </w:r>
      <w:bookmarkEnd w:id="4"/>
      <w:r>
        <w:rPr>
          <w:rFonts w:hint="eastAsia"/>
          <w:sz w:val="24"/>
          <w:highlight w:val="none"/>
          <w:u w:val="single"/>
          <w:lang w:eastAsia="zh-CN"/>
        </w:rPr>
        <w:t>远程服务和现场服务</w:t>
      </w:r>
      <w:r>
        <w:rPr>
          <w:rFonts w:hAnsi="宋体"/>
          <w:sz w:val="24"/>
          <w:highlight w:val="none"/>
          <w:u w:val="single"/>
        </w:rPr>
        <w:t>。</w:t>
      </w:r>
    </w:p>
    <w:p>
      <w:pPr>
        <w:snapToGrid w:val="0"/>
        <w:spacing w:line="360" w:lineRule="auto"/>
        <w:ind w:firstLine="480" w:firstLineChars="200"/>
        <w:rPr>
          <w:sz w:val="24"/>
          <w:highlight w:val="none"/>
          <w:u w:val="single"/>
        </w:rPr>
      </w:pPr>
      <w:r>
        <w:rPr>
          <w:sz w:val="24"/>
          <w:highlight w:val="none"/>
        </w:rPr>
        <w:t>3</w:t>
      </w:r>
      <w:r>
        <w:rPr>
          <w:rFonts w:hAnsi="宋体"/>
          <w:sz w:val="24"/>
          <w:highlight w:val="none"/>
        </w:rPr>
        <w:t>、乙方负责货物运输，货物运输合理损耗及计算方法：</w:t>
      </w:r>
      <w:bookmarkStart w:id="5" w:name="bookmark7"/>
      <w:r>
        <w:rPr>
          <w:sz w:val="24"/>
          <w:highlight w:val="none"/>
          <w:u w:val="single"/>
        </w:rPr>
        <w:t xml:space="preserve">   无  </w:t>
      </w:r>
      <w:bookmarkEnd w:id="5"/>
      <w:r>
        <w:rPr>
          <w:rFonts w:hint="eastAsia"/>
          <w:sz w:val="24"/>
          <w:highlight w:val="none"/>
          <w:u w:val="single"/>
        </w:rPr>
        <w:t>。</w:t>
      </w:r>
    </w:p>
    <w:p>
      <w:pPr>
        <w:snapToGrid w:val="0"/>
        <w:spacing w:line="360" w:lineRule="auto"/>
        <w:ind w:firstLine="482" w:firstLineChars="200"/>
        <w:rPr>
          <w:sz w:val="24"/>
          <w:highlight w:val="none"/>
        </w:rPr>
      </w:pPr>
      <w:r>
        <w:rPr>
          <w:rFonts w:hAnsi="宋体"/>
          <w:b/>
          <w:sz w:val="24"/>
          <w:highlight w:val="none"/>
        </w:rPr>
        <w:t>第五条　交付和验收</w:t>
      </w:r>
    </w:p>
    <w:p>
      <w:pPr>
        <w:snapToGrid w:val="0"/>
        <w:spacing w:line="360" w:lineRule="auto"/>
        <w:ind w:firstLine="480" w:firstLineChars="200"/>
        <w:rPr>
          <w:sz w:val="24"/>
          <w:highlight w:val="none"/>
        </w:rPr>
      </w:pPr>
      <w:r>
        <w:rPr>
          <w:sz w:val="24"/>
          <w:highlight w:val="none"/>
        </w:rPr>
        <w:t>1</w:t>
      </w:r>
      <w:r>
        <w:rPr>
          <w:rFonts w:hAnsi="宋体"/>
          <w:sz w:val="24"/>
          <w:highlight w:val="none"/>
        </w:rPr>
        <w:t>、交货时间：</w:t>
      </w:r>
      <w:r>
        <w:rPr>
          <w:color w:val="auto"/>
          <w:sz w:val="24"/>
          <w:highlight w:val="none"/>
          <w:u w:val="single"/>
        </w:rPr>
        <w:t xml:space="preserve"> </w:t>
      </w:r>
      <w:r>
        <w:rPr>
          <w:rFonts w:hint="eastAsia"/>
          <w:color w:val="auto"/>
          <w:sz w:val="24"/>
          <w:highlight w:val="none"/>
          <w:u w:val="single"/>
          <w:lang w:val="en-US" w:eastAsia="zh-CN"/>
        </w:rPr>
        <w:t>合同签订之日起12个月</w:t>
      </w:r>
      <w:r>
        <w:rPr>
          <w:color w:val="auto"/>
          <w:sz w:val="24"/>
          <w:highlight w:val="none"/>
          <w:u w:val="single"/>
        </w:rPr>
        <w:t xml:space="preserve"> </w:t>
      </w:r>
      <w:r>
        <w:rPr>
          <w:rFonts w:hint="eastAsia" w:hAnsi="宋体"/>
          <w:color w:val="auto"/>
          <w:sz w:val="24"/>
          <w:highlight w:val="none"/>
        </w:rPr>
        <w:t xml:space="preserve"> </w:t>
      </w:r>
      <w:r>
        <w:rPr>
          <w:rFonts w:hAnsi="宋体"/>
          <w:sz w:val="24"/>
          <w:highlight w:val="none"/>
        </w:rPr>
        <w:t>地点：</w:t>
      </w:r>
      <w:r>
        <w:rPr>
          <w:sz w:val="24"/>
          <w:highlight w:val="none"/>
          <w:u w:val="single"/>
        </w:rPr>
        <w:t xml:space="preserve"> 黑龙江省公安厅出入境管理局</w:t>
      </w:r>
      <w:r>
        <w:rPr>
          <w:rFonts w:hint="eastAsia"/>
          <w:sz w:val="24"/>
          <w:highlight w:val="none"/>
          <w:u w:val="single"/>
          <w:lang w:eastAsia="zh-CN"/>
        </w:rPr>
        <w:t>哈尔滨市道里区友谊路</w:t>
      </w:r>
      <w:r>
        <w:rPr>
          <w:rFonts w:hint="eastAsia"/>
          <w:sz w:val="24"/>
          <w:highlight w:val="none"/>
          <w:u w:val="single"/>
          <w:lang w:val="en-US" w:eastAsia="zh-CN"/>
        </w:rPr>
        <w:t>430号</w:t>
      </w:r>
      <w:r>
        <w:rPr>
          <w:rFonts w:hint="eastAsia"/>
          <w:sz w:val="24"/>
          <w:highlight w:val="none"/>
          <w:u w:val="single"/>
        </w:rPr>
        <w:t xml:space="preserve"> 。</w:t>
      </w:r>
    </w:p>
    <w:p>
      <w:pPr>
        <w:snapToGrid w:val="0"/>
        <w:spacing w:line="360" w:lineRule="auto"/>
        <w:ind w:firstLine="480" w:firstLineChars="200"/>
        <w:rPr>
          <w:sz w:val="24"/>
          <w:highlight w:val="none"/>
        </w:rPr>
      </w:pPr>
      <w:r>
        <w:rPr>
          <w:sz w:val="24"/>
          <w:highlight w:val="none"/>
        </w:rPr>
        <w:t>2</w:t>
      </w:r>
      <w:r>
        <w:rPr>
          <w:rFonts w:hAnsi="宋体"/>
          <w:sz w:val="24"/>
          <w:highlight w:val="none"/>
        </w:rPr>
        <w:t>、乙方提供不符合招投标文件和本合同规定的货物，甲方有权拒绝接受。</w:t>
      </w:r>
    </w:p>
    <w:p>
      <w:pPr>
        <w:snapToGrid w:val="0"/>
        <w:spacing w:line="360" w:lineRule="auto"/>
        <w:ind w:firstLine="480" w:firstLineChars="200"/>
        <w:rPr>
          <w:sz w:val="24"/>
          <w:highlight w:val="none"/>
        </w:rPr>
      </w:pPr>
      <w:r>
        <w:rPr>
          <w:sz w:val="24"/>
          <w:highlight w:val="none"/>
        </w:rPr>
        <w:t>3</w:t>
      </w:r>
      <w:r>
        <w:rPr>
          <w:rFonts w:hAnsi="宋体"/>
          <w:sz w:val="24"/>
          <w:highlight w:val="none"/>
        </w:rPr>
        <w:t>、乙方应将所提供货物的装箱清单、用户手册、原厂保修卡、随机资料、工具和备品、备件等交付给甲方，如有缺失应及时补齐，否则视为逾期交货。</w:t>
      </w:r>
    </w:p>
    <w:p>
      <w:pPr>
        <w:snapToGrid w:val="0"/>
        <w:spacing w:line="360" w:lineRule="auto"/>
        <w:ind w:firstLine="480" w:firstLineChars="200"/>
        <w:rPr>
          <w:sz w:val="24"/>
          <w:highlight w:val="none"/>
        </w:rPr>
      </w:pPr>
      <w:r>
        <w:rPr>
          <w:rFonts w:hint="eastAsia"/>
          <w:sz w:val="24"/>
          <w:highlight w:val="none"/>
          <w:lang w:val="en-US" w:eastAsia="zh-CN"/>
        </w:rPr>
        <w:t>4</w:t>
      </w:r>
      <w:r>
        <w:rPr>
          <w:rFonts w:hAnsi="宋体"/>
          <w:sz w:val="24"/>
          <w:highlight w:val="none"/>
        </w:rPr>
        <w:t>、政府采购中心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sz w:val="24"/>
          <w:highlight w:val="none"/>
        </w:rPr>
      </w:pPr>
      <w:r>
        <w:rPr>
          <w:rFonts w:hint="eastAsia"/>
          <w:sz w:val="24"/>
          <w:highlight w:val="none"/>
          <w:lang w:val="en-US" w:eastAsia="zh-CN"/>
        </w:rPr>
        <w:t>5</w:t>
      </w:r>
      <w:r>
        <w:rPr>
          <w:rFonts w:hAnsi="宋体"/>
          <w:sz w:val="24"/>
          <w:highlight w:val="none"/>
        </w:rPr>
        <w:t>、甲方对验收有异议的，在验收后</w:t>
      </w:r>
      <w:r>
        <w:rPr>
          <w:sz w:val="24"/>
          <w:highlight w:val="none"/>
        </w:rPr>
        <w:t>5</w:t>
      </w:r>
      <w:r>
        <w:rPr>
          <w:rFonts w:hAnsi="宋体"/>
          <w:sz w:val="24"/>
          <w:highlight w:val="none"/>
        </w:rPr>
        <w:t>个工作日内以书面形式向乙方提出，乙方应自收到甲方书面异议后</w:t>
      </w:r>
      <w:bookmarkStart w:id="6" w:name="bookmark10"/>
      <w:r>
        <w:rPr>
          <w:sz w:val="24"/>
          <w:highlight w:val="none"/>
          <w:u w:val="single"/>
        </w:rPr>
        <w:t xml:space="preserve">  5 </w:t>
      </w:r>
      <w:bookmarkEnd w:id="6"/>
      <w:r>
        <w:rPr>
          <w:rFonts w:hAnsi="宋体"/>
          <w:sz w:val="24"/>
          <w:highlight w:val="none"/>
        </w:rPr>
        <w:t>日内及时予以解决。</w:t>
      </w:r>
    </w:p>
    <w:p>
      <w:pPr>
        <w:snapToGrid w:val="0"/>
        <w:spacing w:line="360" w:lineRule="auto"/>
        <w:ind w:firstLine="482" w:firstLineChars="200"/>
        <w:rPr>
          <w:b/>
          <w:sz w:val="24"/>
          <w:highlight w:val="none"/>
        </w:rPr>
      </w:pPr>
      <w:r>
        <w:rPr>
          <w:rFonts w:hAnsi="宋体"/>
          <w:b/>
          <w:sz w:val="24"/>
          <w:highlight w:val="none"/>
        </w:rPr>
        <w:t>第六条　安装和培训</w:t>
      </w:r>
    </w:p>
    <w:p>
      <w:pPr>
        <w:snapToGrid w:val="0"/>
        <w:spacing w:line="360" w:lineRule="auto"/>
        <w:ind w:firstLine="480" w:firstLineChars="200"/>
        <w:rPr>
          <w:sz w:val="24"/>
          <w:highlight w:val="none"/>
        </w:rPr>
      </w:pPr>
      <w:r>
        <w:rPr>
          <w:sz w:val="24"/>
          <w:highlight w:val="none"/>
        </w:rPr>
        <w:t>1</w:t>
      </w:r>
      <w:r>
        <w:rPr>
          <w:rFonts w:hAnsi="宋体"/>
          <w:sz w:val="24"/>
          <w:highlight w:val="none"/>
        </w:rPr>
        <w:t>、甲方应提供必要安装条件（如场地、电源、水源等）。</w:t>
      </w:r>
    </w:p>
    <w:p>
      <w:pPr>
        <w:snapToGrid w:val="0"/>
        <w:spacing w:line="360" w:lineRule="auto"/>
        <w:ind w:firstLine="480" w:firstLineChars="200"/>
        <w:rPr>
          <w:sz w:val="24"/>
          <w:highlight w:val="none"/>
          <w:u w:val="single"/>
        </w:rPr>
      </w:pPr>
      <w:r>
        <w:rPr>
          <w:sz w:val="24"/>
          <w:highlight w:val="none"/>
        </w:rPr>
        <w:t>2</w:t>
      </w:r>
      <w:r>
        <w:rPr>
          <w:rFonts w:hAnsi="宋体"/>
          <w:sz w:val="24"/>
          <w:highlight w:val="none"/>
        </w:rPr>
        <w:t>、乙方负责甲方有关人员的培训。培训时间、地点：</w:t>
      </w:r>
      <w:bookmarkStart w:id="7" w:name="bookmark11"/>
      <w:r>
        <w:rPr>
          <w:sz w:val="24"/>
          <w:highlight w:val="none"/>
          <w:u w:val="single"/>
        </w:rPr>
        <w:t xml:space="preserve"> 甲方指定  </w:t>
      </w:r>
      <w:bookmarkEnd w:id="7"/>
      <w:r>
        <w:rPr>
          <w:rFonts w:hAnsi="宋体"/>
          <w:sz w:val="24"/>
          <w:highlight w:val="none"/>
          <w:u w:val="single"/>
        </w:rPr>
        <w:t>。</w:t>
      </w:r>
    </w:p>
    <w:p>
      <w:pPr>
        <w:snapToGrid w:val="0"/>
        <w:spacing w:line="360" w:lineRule="auto"/>
        <w:ind w:firstLine="482" w:firstLineChars="200"/>
        <w:rPr>
          <w:b/>
          <w:sz w:val="24"/>
          <w:highlight w:val="none"/>
        </w:rPr>
      </w:pPr>
      <w:r>
        <w:rPr>
          <w:rFonts w:hAnsi="宋体"/>
          <w:b/>
          <w:sz w:val="24"/>
          <w:highlight w:val="none"/>
        </w:rPr>
        <w:t>第七条</w:t>
      </w:r>
      <w:r>
        <w:rPr>
          <w:b/>
          <w:sz w:val="24"/>
          <w:highlight w:val="none"/>
        </w:rPr>
        <w:t xml:space="preserve">  </w:t>
      </w:r>
      <w:r>
        <w:rPr>
          <w:rFonts w:hAnsi="宋体"/>
          <w:b/>
          <w:sz w:val="24"/>
          <w:highlight w:val="none"/>
        </w:rPr>
        <w:t>售后服务</w:t>
      </w:r>
    </w:p>
    <w:p>
      <w:pPr>
        <w:snapToGrid w:val="0"/>
        <w:spacing w:line="360" w:lineRule="auto"/>
        <w:ind w:firstLine="480" w:firstLineChars="200"/>
        <w:rPr>
          <w:sz w:val="24"/>
          <w:highlight w:val="none"/>
        </w:rPr>
      </w:pPr>
      <w:r>
        <w:rPr>
          <w:sz w:val="24"/>
          <w:highlight w:val="none"/>
        </w:rPr>
        <w:t>1</w:t>
      </w:r>
      <w:r>
        <w:rPr>
          <w:rFonts w:hAnsi="宋体"/>
          <w:sz w:val="24"/>
          <w:highlight w:val="none"/>
        </w:rPr>
        <w:t>、乙方应按照国家有关法律法规和</w:t>
      </w:r>
      <w:r>
        <w:rPr>
          <w:sz w:val="24"/>
          <w:highlight w:val="none"/>
        </w:rPr>
        <w:t>“</w:t>
      </w:r>
      <w:r>
        <w:rPr>
          <w:rFonts w:hAnsi="宋体"/>
          <w:sz w:val="24"/>
          <w:highlight w:val="none"/>
        </w:rPr>
        <w:t>三包</w:t>
      </w:r>
      <w:r>
        <w:rPr>
          <w:sz w:val="24"/>
          <w:highlight w:val="none"/>
        </w:rPr>
        <w:t>”</w:t>
      </w:r>
      <w:r>
        <w:rPr>
          <w:rFonts w:hAnsi="宋体"/>
          <w:sz w:val="24"/>
          <w:highlight w:val="none"/>
        </w:rPr>
        <w:t>规定以及招投标文件和本合同所附的《服务承诺》，为甲方提供售后服务。</w:t>
      </w:r>
    </w:p>
    <w:p>
      <w:pPr>
        <w:snapToGrid w:val="0"/>
        <w:spacing w:line="360" w:lineRule="auto"/>
        <w:ind w:firstLine="480" w:firstLineChars="200"/>
        <w:rPr>
          <w:sz w:val="24"/>
          <w:highlight w:val="none"/>
          <w:u w:val="single"/>
        </w:rPr>
      </w:pPr>
      <w:r>
        <w:rPr>
          <w:sz w:val="24"/>
          <w:highlight w:val="none"/>
        </w:rPr>
        <w:t>2</w:t>
      </w:r>
      <w:r>
        <w:rPr>
          <w:rFonts w:hAnsi="宋体"/>
          <w:sz w:val="24"/>
          <w:highlight w:val="none"/>
        </w:rPr>
        <w:t>、货物保修起止时间</w:t>
      </w:r>
      <w:r>
        <w:rPr>
          <w:rFonts w:hAnsi="宋体"/>
          <w:color w:val="auto"/>
          <w:sz w:val="24"/>
          <w:highlight w:val="none"/>
        </w:rPr>
        <w:t>：</w:t>
      </w:r>
      <w:bookmarkStart w:id="8" w:name="bookmark12"/>
      <w:r>
        <w:rPr>
          <w:color w:val="auto"/>
          <w:sz w:val="24"/>
          <w:highlight w:val="none"/>
          <w:u w:val="single"/>
        </w:rPr>
        <w:t xml:space="preserve"> </w:t>
      </w:r>
      <w:bookmarkEnd w:id="8"/>
      <w:r>
        <w:rPr>
          <w:rFonts w:hint="eastAsia"/>
          <w:color w:val="auto"/>
          <w:sz w:val="24"/>
          <w:highlight w:val="none"/>
          <w:u w:val="single"/>
          <w:lang w:val="en-US" w:eastAsia="zh-CN"/>
        </w:rPr>
        <w:t>合同签订之日起12个月</w:t>
      </w:r>
      <w:r>
        <w:rPr>
          <w:rFonts w:hAnsi="宋体"/>
          <w:color w:val="auto"/>
          <w:sz w:val="24"/>
          <w:highlight w:val="none"/>
          <w:u w:val="single"/>
        </w:rPr>
        <w:t>。</w:t>
      </w:r>
    </w:p>
    <w:p>
      <w:pPr>
        <w:snapToGrid w:val="0"/>
        <w:spacing w:line="360" w:lineRule="auto"/>
        <w:ind w:firstLine="480" w:firstLineChars="200"/>
        <w:rPr>
          <w:sz w:val="24"/>
          <w:highlight w:val="none"/>
          <w:u w:val="single"/>
        </w:rPr>
      </w:pPr>
      <w:r>
        <w:rPr>
          <w:sz w:val="24"/>
          <w:highlight w:val="none"/>
        </w:rPr>
        <w:t>3</w:t>
      </w:r>
      <w:r>
        <w:rPr>
          <w:rFonts w:hAnsi="宋体"/>
          <w:sz w:val="24"/>
          <w:highlight w:val="none"/>
        </w:rPr>
        <w:t>、乙方提供的服务承诺和售后服务及保修期责任等其它具体约定事项。（见合同附件）</w:t>
      </w:r>
    </w:p>
    <w:p>
      <w:pPr>
        <w:snapToGrid w:val="0"/>
        <w:spacing w:line="360" w:lineRule="auto"/>
        <w:ind w:firstLine="482" w:firstLineChars="200"/>
        <w:rPr>
          <w:sz w:val="24"/>
          <w:highlight w:val="none"/>
        </w:rPr>
      </w:pPr>
      <w:r>
        <w:rPr>
          <w:rFonts w:hAnsi="宋体"/>
          <w:b/>
          <w:sz w:val="24"/>
          <w:highlight w:val="none"/>
        </w:rPr>
        <w:t>第八条　付款方式和期限</w:t>
      </w:r>
    </w:p>
    <w:p>
      <w:pPr>
        <w:snapToGrid w:val="0"/>
        <w:spacing w:line="360" w:lineRule="auto"/>
        <w:ind w:firstLine="480" w:firstLineChars="200"/>
        <w:rPr>
          <w:sz w:val="24"/>
          <w:highlight w:val="none"/>
          <w:u w:val="single"/>
        </w:rPr>
      </w:pPr>
      <w:r>
        <w:rPr>
          <w:sz w:val="24"/>
          <w:highlight w:val="none"/>
        </w:rPr>
        <w:t>1</w:t>
      </w:r>
      <w:r>
        <w:rPr>
          <w:rFonts w:hAnsi="宋体"/>
          <w:sz w:val="24"/>
          <w:highlight w:val="none"/>
        </w:rPr>
        <w:t xml:space="preserve">、资金性质：  </w:t>
      </w:r>
      <w:r>
        <w:rPr>
          <w:sz w:val="24"/>
          <w:highlight w:val="none"/>
          <w:u w:val="single"/>
        </w:rPr>
        <w:t xml:space="preserve">  </w:t>
      </w:r>
      <w:r>
        <w:rPr>
          <w:rFonts w:hint="eastAsia"/>
          <w:sz w:val="24"/>
          <w:highlight w:val="none"/>
          <w:u w:val="single"/>
        </w:rPr>
        <w:t xml:space="preserve"> </w:t>
      </w:r>
      <w:r>
        <w:rPr>
          <w:sz w:val="24"/>
          <w:highlight w:val="none"/>
          <w:u w:val="single"/>
        </w:rPr>
        <w:t xml:space="preserve"> 财政预算内资金  </w:t>
      </w:r>
      <w:r>
        <w:rPr>
          <w:rFonts w:hAnsi="宋体"/>
          <w:sz w:val="24"/>
          <w:highlight w:val="none"/>
          <w:u w:val="single"/>
        </w:rPr>
        <w:t>。</w:t>
      </w:r>
    </w:p>
    <w:p>
      <w:pPr>
        <w:snapToGrid w:val="0"/>
        <w:spacing w:line="360" w:lineRule="auto"/>
        <w:ind w:right="33" w:firstLine="480" w:firstLineChars="200"/>
        <w:rPr>
          <w:rFonts w:hint="default" w:eastAsia="宋体"/>
          <w:strike w:val="0"/>
          <w:dstrike w:val="0"/>
          <w:sz w:val="24"/>
          <w:highlight w:val="none"/>
          <w:lang w:val="en-US" w:eastAsia="zh-CN"/>
        </w:rPr>
      </w:pPr>
      <w:r>
        <w:rPr>
          <w:sz w:val="24"/>
          <w:highlight w:val="none"/>
        </w:rPr>
        <w:t>2</w:t>
      </w:r>
      <w:r>
        <w:rPr>
          <w:rFonts w:hAnsi="宋体"/>
          <w:sz w:val="24"/>
          <w:highlight w:val="none"/>
        </w:rPr>
        <w:t>、付款方式：财政性资金按财政国库集中支付规定程序办理；自筹资金：</w:t>
      </w:r>
      <w:r>
        <w:rPr>
          <w:sz w:val="24"/>
          <w:highlight w:val="none"/>
          <w:u w:val="single"/>
        </w:rPr>
        <w:t xml:space="preserve"> 甲方自行支付  </w:t>
      </w:r>
      <w:r>
        <w:rPr>
          <w:rFonts w:hAnsi="宋体"/>
          <w:sz w:val="24"/>
          <w:highlight w:val="none"/>
        </w:rPr>
        <w:t>。付款期限为</w:t>
      </w:r>
      <w:r>
        <w:rPr>
          <w:rFonts w:hint="eastAsia" w:hAnsi="宋体"/>
          <w:color w:val="auto"/>
          <w:sz w:val="24"/>
          <w:highlight w:val="none"/>
          <w:lang w:eastAsia="zh-CN"/>
        </w:rPr>
        <w:t>：验收合格后</w:t>
      </w:r>
      <w:r>
        <w:rPr>
          <w:rFonts w:hint="eastAsia" w:hAnsi="宋体"/>
          <w:color w:val="auto"/>
          <w:sz w:val="24"/>
          <w:highlight w:val="none"/>
          <w:lang w:val="en-US" w:eastAsia="zh-CN"/>
        </w:rPr>
        <w:t>甲方一次性支付100%合同款。</w:t>
      </w:r>
    </w:p>
    <w:p>
      <w:pPr>
        <w:snapToGrid w:val="0"/>
        <w:spacing w:line="360" w:lineRule="auto"/>
        <w:ind w:left="-93" w:leftChars="-29" w:firstLine="590" w:firstLineChars="245"/>
        <w:rPr>
          <w:b/>
          <w:sz w:val="24"/>
          <w:highlight w:val="none"/>
        </w:rPr>
      </w:pPr>
      <w:r>
        <w:rPr>
          <w:rFonts w:hAnsi="宋体"/>
          <w:b/>
          <w:sz w:val="24"/>
          <w:highlight w:val="none"/>
        </w:rPr>
        <w:t>第九条　履约保证金</w:t>
      </w:r>
    </w:p>
    <w:p>
      <w:pPr>
        <w:snapToGrid w:val="0"/>
        <w:spacing w:line="360" w:lineRule="auto"/>
        <w:ind w:left="-93" w:leftChars="-29" w:firstLine="588" w:firstLineChars="245"/>
        <w:rPr>
          <w:color w:val="auto"/>
          <w:sz w:val="24"/>
          <w:highlight w:val="none"/>
        </w:rPr>
      </w:pPr>
      <w:r>
        <w:rPr>
          <w:color w:val="auto"/>
          <w:sz w:val="24"/>
          <w:highlight w:val="none"/>
        </w:rPr>
        <w:t>1</w:t>
      </w:r>
      <w:r>
        <w:rPr>
          <w:rFonts w:hint="eastAsia"/>
          <w:color w:val="auto"/>
          <w:sz w:val="24"/>
          <w:highlight w:val="none"/>
        </w:rPr>
        <w:t>、乙方在签订本合同之日，按本合同合计金额</w:t>
      </w:r>
      <w:r>
        <w:rPr>
          <w:rFonts w:hint="eastAsia"/>
          <w:color w:val="auto"/>
          <w:sz w:val="24"/>
          <w:highlight w:val="none"/>
          <w:lang w:val="en-US" w:eastAsia="zh-CN"/>
        </w:rPr>
        <w:t>5</w:t>
      </w:r>
      <w:r>
        <w:rPr>
          <w:color w:val="auto"/>
          <w:sz w:val="24"/>
          <w:highlight w:val="none"/>
        </w:rPr>
        <w:t>%</w:t>
      </w:r>
      <w:r>
        <w:rPr>
          <w:rFonts w:hint="eastAsia"/>
          <w:color w:val="auto"/>
          <w:sz w:val="24"/>
          <w:highlight w:val="none"/>
        </w:rPr>
        <w:t>比例向黑龙江省公安厅提交履约保证金。</w:t>
      </w:r>
      <w:r>
        <w:rPr>
          <w:rFonts w:hint="eastAsia"/>
          <w:color w:val="auto"/>
          <w:sz w:val="24"/>
          <w:highlight w:val="none"/>
          <w:lang w:eastAsia="zh-CN"/>
        </w:rPr>
        <w:t>合同履约验收合格后，甲方退回履约保证金</w:t>
      </w:r>
      <w:r>
        <w:rPr>
          <w:rFonts w:hint="eastAsia"/>
          <w:color w:val="auto"/>
          <w:sz w:val="24"/>
          <w:highlight w:val="none"/>
        </w:rPr>
        <w:t>。</w:t>
      </w:r>
    </w:p>
    <w:p>
      <w:pPr>
        <w:snapToGrid w:val="0"/>
        <w:spacing w:line="360" w:lineRule="auto"/>
        <w:ind w:firstLine="482" w:firstLineChars="200"/>
        <w:rPr>
          <w:rFonts w:hAnsi="宋体"/>
          <w:b/>
          <w:sz w:val="24"/>
          <w:highlight w:val="none"/>
        </w:rPr>
      </w:pPr>
      <w:r>
        <w:rPr>
          <w:rFonts w:hAnsi="宋体"/>
          <w:b/>
          <w:sz w:val="24"/>
          <w:highlight w:val="none"/>
        </w:rPr>
        <w:t>第十条　合同的变更、终止与转让</w:t>
      </w:r>
    </w:p>
    <w:p>
      <w:pPr>
        <w:snapToGrid w:val="0"/>
        <w:spacing w:line="360" w:lineRule="auto"/>
        <w:ind w:firstLine="480" w:firstLineChars="200"/>
        <w:rPr>
          <w:sz w:val="24"/>
          <w:highlight w:val="none"/>
        </w:rPr>
      </w:pPr>
      <w:r>
        <w:rPr>
          <w:sz w:val="24"/>
          <w:highlight w:val="none"/>
        </w:rPr>
        <w:t>1</w:t>
      </w:r>
      <w:r>
        <w:rPr>
          <w:rFonts w:hAnsi="宋体"/>
          <w:sz w:val="24"/>
          <w:highlight w:val="none"/>
        </w:rPr>
        <w:t>、除《中华人民共和国政府采购法》第</w:t>
      </w:r>
      <w:r>
        <w:rPr>
          <w:sz w:val="24"/>
          <w:highlight w:val="none"/>
        </w:rPr>
        <w:t>50</w:t>
      </w:r>
      <w:r>
        <w:rPr>
          <w:rFonts w:hAnsi="宋体"/>
          <w:sz w:val="24"/>
          <w:highlight w:val="none"/>
        </w:rPr>
        <w:t>条规定的情形外，本合同一经签订，甲乙双方不得擅自变更、中止或终止。</w:t>
      </w:r>
    </w:p>
    <w:p>
      <w:pPr>
        <w:snapToGrid w:val="0"/>
        <w:spacing w:line="360" w:lineRule="auto"/>
        <w:ind w:left="560"/>
        <w:rPr>
          <w:rFonts w:hAnsi="宋体"/>
          <w:sz w:val="24"/>
          <w:highlight w:val="none"/>
        </w:rPr>
      </w:pPr>
      <w:r>
        <w:rPr>
          <w:sz w:val="24"/>
          <w:highlight w:val="none"/>
        </w:rPr>
        <w:t>2</w:t>
      </w:r>
      <w:r>
        <w:rPr>
          <w:rFonts w:hAnsi="宋体"/>
          <w:sz w:val="24"/>
          <w:highlight w:val="none"/>
        </w:rPr>
        <w:t>、乙方不得擅自转让（无进口资格的供应商委托进口货物除外）其应履行的合</w:t>
      </w:r>
    </w:p>
    <w:p>
      <w:pPr>
        <w:snapToGrid w:val="0"/>
        <w:spacing w:line="360" w:lineRule="auto"/>
        <w:rPr>
          <w:rFonts w:hAnsi="宋体"/>
          <w:sz w:val="24"/>
          <w:highlight w:val="none"/>
        </w:rPr>
      </w:pPr>
      <w:r>
        <w:rPr>
          <w:rFonts w:hAnsi="宋体"/>
          <w:sz w:val="24"/>
          <w:highlight w:val="none"/>
        </w:rPr>
        <w:t>同义务。</w:t>
      </w:r>
    </w:p>
    <w:p>
      <w:pPr>
        <w:snapToGrid w:val="0"/>
        <w:spacing w:line="360" w:lineRule="auto"/>
        <w:ind w:firstLine="482" w:firstLineChars="200"/>
        <w:rPr>
          <w:sz w:val="24"/>
          <w:highlight w:val="none"/>
        </w:rPr>
      </w:pPr>
      <w:r>
        <w:rPr>
          <w:rFonts w:hAnsi="宋体"/>
          <w:b/>
          <w:sz w:val="24"/>
          <w:highlight w:val="none"/>
        </w:rPr>
        <w:t>第十一条　违约责任</w:t>
      </w:r>
    </w:p>
    <w:p>
      <w:pPr>
        <w:snapToGrid w:val="0"/>
        <w:spacing w:line="360" w:lineRule="auto"/>
        <w:ind w:firstLine="540" w:firstLineChars="225"/>
        <w:rPr>
          <w:sz w:val="24"/>
          <w:highlight w:val="none"/>
        </w:rPr>
      </w:pPr>
      <w:r>
        <w:rPr>
          <w:sz w:val="24"/>
          <w:highlight w:val="none"/>
        </w:rPr>
        <w:t>1</w:t>
      </w:r>
      <w:r>
        <w:rPr>
          <w:rFonts w:hAnsi="宋体"/>
          <w:sz w:val="24"/>
          <w:highlight w:val="none"/>
        </w:rPr>
        <w:t>、乙方所提供的货物规格、技术标准、材料等质量不合格的，应及时更换，更换不及时的按逾期交货处罚；因质量问题甲方不同意接收的或特殊情况甲方同意接收的，乙方应向甲方支付违约货款额</w:t>
      </w:r>
      <w:r>
        <w:rPr>
          <w:sz w:val="24"/>
          <w:highlight w:val="none"/>
        </w:rPr>
        <w:t xml:space="preserve"> 5%</w:t>
      </w:r>
      <w:r>
        <w:rPr>
          <w:rFonts w:hAnsi="宋体"/>
          <w:sz w:val="24"/>
          <w:highlight w:val="none"/>
        </w:rPr>
        <w:t>违约金并赔偿甲方经济损失。</w:t>
      </w:r>
    </w:p>
    <w:p>
      <w:pPr>
        <w:snapToGrid w:val="0"/>
        <w:spacing w:line="360" w:lineRule="auto"/>
        <w:ind w:firstLine="540" w:firstLineChars="225"/>
        <w:rPr>
          <w:sz w:val="24"/>
          <w:highlight w:val="none"/>
        </w:rPr>
      </w:pPr>
      <w:r>
        <w:rPr>
          <w:sz w:val="24"/>
          <w:highlight w:val="none"/>
        </w:rPr>
        <w:t>2</w:t>
      </w:r>
      <w:r>
        <w:rPr>
          <w:rFonts w:hAnsi="宋体"/>
          <w:sz w:val="24"/>
          <w:highlight w:val="none"/>
        </w:rPr>
        <w:t>、乙方提供的货物如侵犯了第三方合法权益而引发的任何纠纷或诉讼，均由乙方负责交涉并承担全部责任。</w:t>
      </w:r>
    </w:p>
    <w:p>
      <w:pPr>
        <w:snapToGrid w:val="0"/>
        <w:spacing w:line="360" w:lineRule="auto"/>
        <w:ind w:firstLine="480" w:firstLineChars="200"/>
        <w:rPr>
          <w:sz w:val="24"/>
          <w:highlight w:val="none"/>
        </w:rPr>
      </w:pPr>
      <w:r>
        <w:rPr>
          <w:sz w:val="24"/>
          <w:highlight w:val="none"/>
        </w:rPr>
        <w:t>3</w:t>
      </w:r>
      <w:r>
        <w:rPr>
          <w:rFonts w:hAnsi="宋体"/>
          <w:sz w:val="24"/>
          <w:highlight w:val="none"/>
        </w:rPr>
        <w:t>、因包装、运输引起的货物损坏，按质量不合格处罚。</w:t>
      </w:r>
    </w:p>
    <w:p>
      <w:pPr>
        <w:snapToGrid w:val="0"/>
        <w:spacing w:line="360" w:lineRule="auto"/>
        <w:ind w:firstLine="480" w:firstLineChars="200"/>
        <w:rPr>
          <w:sz w:val="24"/>
          <w:highlight w:val="none"/>
        </w:rPr>
      </w:pPr>
      <w:r>
        <w:rPr>
          <w:sz w:val="24"/>
          <w:highlight w:val="none"/>
        </w:rPr>
        <w:t>4</w:t>
      </w:r>
      <w:r>
        <w:rPr>
          <w:rFonts w:hAnsi="宋体"/>
          <w:sz w:val="24"/>
          <w:highlight w:val="none"/>
        </w:rPr>
        <w:t>、甲方无故延期接收货物、乙方逾期交货的，每天向对方偿付违约货款额</w:t>
      </w:r>
      <w:r>
        <w:rPr>
          <w:sz w:val="24"/>
          <w:highlight w:val="none"/>
        </w:rPr>
        <w:t>3‰</w:t>
      </w:r>
    </w:p>
    <w:p>
      <w:pPr>
        <w:snapToGrid w:val="0"/>
        <w:spacing w:line="360" w:lineRule="auto"/>
        <w:rPr>
          <w:sz w:val="24"/>
          <w:highlight w:val="none"/>
        </w:rPr>
      </w:pPr>
      <w:r>
        <w:rPr>
          <w:rFonts w:hAnsi="宋体"/>
          <w:sz w:val="24"/>
          <w:highlight w:val="none"/>
        </w:rPr>
        <w:t>违约金，但违约金累计不得超过违约货款额</w:t>
      </w:r>
      <w:r>
        <w:rPr>
          <w:sz w:val="24"/>
          <w:highlight w:val="none"/>
        </w:rPr>
        <w:t>5%</w:t>
      </w:r>
      <w:r>
        <w:rPr>
          <w:rFonts w:hAnsi="宋体"/>
          <w:sz w:val="24"/>
          <w:highlight w:val="none"/>
        </w:rPr>
        <w:t>，超过</w:t>
      </w:r>
      <w:bookmarkStart w:id="9" w:name="bookmark16"/>
      <w:r>
        <w:rPr>
          <w:sz w:val="24"/>
          <w:highlight w:val="none"/>
          <w:u w:val="single"/>
        </w:rPr>
        <w:t xml:space="preserve">  90  </w:t>
      </w:r>
      <w:bookmarkEnd w:id="9"/>
      <w:r>
        <w:rPr>
          <w:rFonts w:hAnsi="宋体"/>
          <w:sz w:val="24"/>
          <w:highlight w:val="none"/>
        </w:rPr>
        <w:t>天对方有权解除合同，违约方承担因此给对方造成经济损失；甲方延期付货款的，每天向乙方偿付延期货款额</w:t>
      </w:r>
      <w:r>
        <w:rPr>
          <w:sz w:val="24"/>
          <w:highlight w:val="none"/>
        </w:rPr>
        <w:t>3‰</w:t>
      </w:r>
      <w:r>
        <w:rPr>
          <w:rFonts w:hAnsi="宋体"/>
          <w:sz w:val="24"/>
          <w:highlight w:val="none"/>
        </w:rPr>
        <w:t>滞纳金，但滞纳金累计不得超过延期货款额</w:t>
      </w:r>
      <w:r>
        <w:rPr>
          <w:sz w:val="24"/>
          <w:highlight w:val="none"/>
        </w:rPr>
        <w:t>5%</w:t>
      </w:r>
      <w:r>
        <w:rPr>
          <w:rFonts w:hAnsi="宋体"/>
          <w:sz w:val="24"/>
          <w:highlight w:val="none"/>
        </w:rPr>
        <w:t>。</w:t>
      </w:r>
    </w:p>
    <w:p>
      <w:pPr>
        <w:snapToGrid w:val="0"/>
        <w:spacing w:line="360" w:lineRule="auto"/>
        <w:ind w:firstLine="480" w:firstLineChars="200"/>
        <w:rPr>
          <w:sz w:val="24"/>
          <w:highlight w:val="none"/>
        </w:rPr>
      </w:pPr>
      <w:r>
        <w:rPr>
          <w:sz w:val="24"/>
          <w:highlight w:val="none"/>
        </w:rPr>
        <w:t xml:space="preserve"> 5</w:t>
      </w:r>
      <w:r>
        <w:rPr>
          <w:rFonts w:hAnsi="宋体"/>
          <w:sz w:val="24"/>
          <w:highlight w:val="none"/>
        </w:rPr>
        <w:t>、乙方未按本合同和投标文件中规定的服务承诺提供售后服务的，乙方应按本合同合计金额</w:t>
      </w:r>
      <w:r>
        <w:rPr>
          <w:sz w:val="24"/>
          <w:highlight w:val="none"/>
        </w:rPr>
        <w:t xml:space="preserve"> 5%</w:t>
      </w:r>
      <w:r>
        <w:rPr>
          <w:rFonts w:hAnsi="宋体"/>
          <w:sz w:val="24"/>
          <w:highlight w:val="none"/>
        </w:rPr>
        <w:t>向甲方支付违约金。</w:t>
      </w:r>
    </w:p>
    <w:p>
      <w:pPr>
        <w:snapToGrid w:val="0"/>
        <w:spacing w:line="360" w:lineRule="auto"/>
        <w:ind w:firstLine="480" w:firstLineChars="200"/>
        <w:rPr>
          <w:sz w:val="24"/>
          <w:highlight w:val="none"/>
        </w:rPr>
      </w:pPr>
      <w:r>
        <w:rPr>
          <w:sz w:val="24"/>
          <w:highlight w:val="none"/>
        </w:rPr>
        <w:t>6</w:t>
      </w:r>
      <w:r>
        <w:rPr>
          <w:rFonts w:hAnsi="宋体"/>
          <w:sz w:val="24"/>
          <w:highlight w:val="none"/>
        </w:rPr>
        <w:t>、乙方提供的货物在质量保证期内，因设计、工艺或材料的缺陷和其它质量原因造成的问题，由乙方负责，费用从履约保证金中扣除，不足另补。</w:t>
      </w:r>
    </w:p>
    <w:p>
      <w:pPr>
        <w:snapToGrid w:val="0"/>
        <w:spacing w:line="360" w:lineRule="auto"/>
        <w:ind w:firstLine="480" w:firstLineChars="200"/>
        <w:rPr>
          <w:sz w:val="24"/>
          <w:highlight w:val="none"/>
        </w:rPr>
      </w:pPr>
      <w:r>
        <w:rPr>
          <w:sz w:val="24"/>
          <w:highlight w:val="none"/>
        </w:rPr>
        <w:t>7</w:t>
      </w:r>
      <w:r>
        <w:rPr>
          <w:rFonts w:hAnsi="宋体"/>
          <w:sz w:val="24"/>
          <w:highlight w:val="none"/>
        </w:rPr>
        <w:t>、其它违约行为按违约货款额</w:t>
      </w:r>
      <w:r>
        <w:rPr>
          <w:sz w:val="24"/>
          <w:highlight w:val="none"/>
        </w:rPr>
        <w:t>5%</w:t>
      </w:r>
      <w:r>
        <w:rPr>
          <w:rFonts w:hAnsi="宋体"/>
          <w:sz w:val="24"/>
          <w:highlight w:val="none"/>
        </w:rPr>
        <w:t>收取违约金并赔偿经济损失。</w:t>
      </w:r>
    </w:p>
    <w:p>
      <w:pPr>
        <w:snapToGrid w:val="0"/>
        <w:spacing w:line="360" w:lineRule="auto"/>
        <w:ind w:firstLine="482" w:firstLineChars="200"/>
        <w:rPr>
          <w:sz w:val="24"/>
          <w:highlight w:val="none"/>
        </w:rPr>
      </w:pPr>
      <w:r>
        <w:rPr>
          <w:rFonts w:hAnsi="宋体"/>
          <w:b/>
          <w:sz w:val="24"/>
          <w:highlight w:val="none"/>
        </w:rPr>
        <w:t>第十二条</w:t>
      </w:r>
      <w:r>
        <w:rPr>
          <w:b/>
          <w:sz w:val="24"/>
          <w:highlight w:val="none"/>
        </w:rPr>
        <w:t xml:space="preserve">  </w:t>
      </w:r>
      <w:r>
        <w:rPr>
          <w:rFonts w:hAnsi="宋体"/>
          <w:b/>
          <w:sz w:val="24"/>
          <w:highlight w:val="none"/>
        </w:rPr>
        <w:t>合同争议解决</w:t>
      </w:r>
    </w:p>
    <w:p>
      <w:pPr>
        <w:snapToGrid w:val="0"/>
        <w:spacing w:line="360" w:lineRule="auto"/>
        <w:ind w:firstLine="480" w:firstLineChars="200"/>
        <w:rPr>
          <w:sz w:val="24"/>
          <w:highlight w:val="none"/>
        </w:rPr>
      </w:pPr>
      <w:r>
        <w:rPr>
          <w:sz w:val="24"/>
          <w:highlight w:val="none"/>
        </w:rPr>
        <w:t>1</w:t>
      </w:r>
      <w:r>
        <w:rPr>
          <w:rFonts w:hAnsi="宋体"/>
          <w:sz w:val="24"/>
          <w:highlight w:val="none"/>
        </w:rPr>
        <w:t>、因货物质量问题发生争议的，应邀请国家认可的质量检测机构对货物质量进行鉴定。货物符合标准的，鉴定费由甲方承担；货物不符合标准的，鉴定费由乙方承担。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80" w:firstLineChars="200"/>
        <w:rPr>
          <w:sz w:val="24"/>
          <w:highlight w:val="none"/>
        </w:rPr>
      </w:pPr>
      <w:r>
        <w:rPr>
          <w:sz w:val="24"/>
          <w:highlight w:val="none"/>
        </w:rPr>
        <w:t>2</w:t>
      </w:r>
      <w:r>
        <w:rPr>
          <w:rFonts w:hAnsi="宋体"/>
          <w:sz w:val="24"/>
          <w:highlight w:val="none"/>
        </w:rPr>
        <w:t>、因履行本合同引起的或与本合同有关的争议，甲乙双方应首先通过友好协商解决，如果协商不能解决，</w:t>
      </w:r>
      <w:r>
        <w:rPr>
          <w:rFonts w:hAnsi="宋体"/>
          <w:color w:val="auto"/>
          <w:sz w:val="24"/>
          <w:highlight w:val="none"/>
        </w:rPr>
        <w:t>可向</w:t>
      </w:r>
      <w:r>
        <w:rPr>
          <w:rFonts w:hint="eastAsia" w:hAnsi="宋体"/>
          <w:color w:val="auto"/>
          <w:sz w:val="24"/>
          <w:highlight w:val="none"/>
          <w:lang w:eastAsia="zh-CN"/>
        </w:rPr>
        <w:t>甲方所在地的</w:t>
      </w:r>
      <w:r>
        <w:rPr>
          <w:rFonts w:hAnsi="宋体"/>
          <w:color w:val="auto"/>
          <w:sz w:val="24"/>
          <w:highlight w:val="none"/>
        </w:rPr>
        <w:t>人民法院提起诉讼。</w:t>
      </w:r>
    </w:p>
    <w:p>
      <w:pPr>
        <w:snapToGrid w:val="0"/>
        <w:spacing w:line="360" w:lineRule="auto"/>
        <w:ind w:firstLine="480" w:firstLineChars="200"/>
        <w:rPr>
          <w:rFonts w:hAnsi="宋体"/>
          <w:sz w:val="24"/>
          <w:highlight w:val="none"/>
        </w:rPr>
      </w:pPr>
      <w:r>
        <w:rPr>
          <w:sz w:val="24"/>
          <w:highlight w:val="none"/>
        </w:rPr>
        <w:t>3</w:t>
      </w:r>
      <w:r>
        <w:rPr>
          <w:rFonts w:hAnsi="宋体"/>
          <w:sz w:val="24"/>
          <w:highlight w:val="none"/>
        </w:rPr>
        <w:t>、诉讼期间，本合同继续履行。</w:t>
      </w:r>
    </w:p>
    <w:p>
      <w:pPr>
        <w:snapToGrid w:val="0"/>
        <w:spacing w:line="360" w:lineRule="auto"/>
        <w:ind w:firstLine="482" w:firstLineChars="200"/>
        <w:rPr>
          <w:rFonts w:hint="eastAsia" w:eastAsia="宋体"/>
          <w:b/>
          <w:sz w:val="24"/>
          <w:highlight w:val="none"/>
          <w:lang w:eastAsia="zh-CN"/>
        </w:rPr>
      </w:pPr>
      <w:r>
        <w:rPr>
          <w:rFonts w:hAnsi="宋体"/>
          <w:b/>
          <w:sz w:val="24"/>
          <w:highlight w:val="none"/>
        </w:rPr>
        <w:t>第十三条　</w:t>
      </w:r>
      <w:r>
        <w:rPr>
          <w:rFonts w:hint="eastAsia" w:hAnsi="宋体"/>
          <w:b/>
          <w:sz w:val="24"/>
          <w:highlight w:val="none"/>
          <w:lang w:eastAsia="zh-CN"/>
        </w:rPr>
        <w:t>不可抗力</w:t>
      </w:r>
    </w:p>
    <w:p>
      <w:pPr>
        <w:widowControl/>
        <w:tabs>
          <w:tab w:val="left" w:pos="420"/>
        </w:tabs>
        <w:adjustRightInd w:val="0"/>
        <w:spacing w:after="20" w:line="240" w:lineRule="atLeast"/>
        <w:ind w:firstLine="480" w:firstLineChars="200"/>
        <w:jc w:val="left"/>
        <w:textAlignment w:val="baseline"/>
        <w:rPr>
          <w:rFonts w:ascii="宋体" w:hAnsi="宋体"/>
          <w:sz w:val="24"/>
        </w:rPr>
      </w:pPr>
      <w:r>
        <w:rPr>
          <w:rFonts w:hint="eastAsia" w:ascii="宋体" w:hAnsi="宋体"/>
          <w:sz w:val="24"/>
        </w:rPr>
        <w:t>1、由于不可抗力的原因，一方被迫终止或中止合同的执行，受阻一方应用电话、传真等书面形式尽快通知对方。</w:t>
      </w:r>
    </w:p>
    <w:p>
      <w:pPr>
        <w:widowControl/>
        <w:tabs>
          <w:tab w:val="left" w:pos="420"/>
        </w:tabs>
        <w:adjustRightInd w:val="0"/>
        <w:spacing w:after="20" w:line="240" w:lineRule="atLeast"/>
        <w:ind w:firstLine="480" w:firstLineChars="200"/>
        <w:jc w:val="left"/>
        <w:textAlignment w:val="baseline"/>
        <w:rPr>
          <w:rFonts w:ascii="宋体" w:hAnsi="宋体"/>
          <w:sz w:val="24"/>
        </w:rPr>
      </w:pPr>
      <w:r>
        <w:rPr>
          <w:rFonts w:hint="eastAsia" w:ascii="宋体" w:hAnsi="宋体"/>
          <w:sz w:val="24"/>
        </w:rPr>
        <w:t>2、受阻一方应在不可抗力事件发生5日内将有关机关证明文件以最快方式邮寄对方，以使对方检查确认。不可抗力事件终止或解除后，应用电话、传真等书面方式尽快通知对方。</w:t>
      </w:r>
    </w:p>
    <w:p>
      <w:pPr>
        <w:widowControl/>
        <w:tabs>
          <w:tab w:val="left" w:pos="420"/>
        </w:tabs>
        <w:adjustRightInd w:val="0"/>
        <w:spacing w:after="20" w:line="240" w:lineRule="atLeast"/>
        <w:ind w:firstLine="480" w:firstLineChars="200"/>
        <w:jc w:val="left"/>
        <w:textAlignment w:val="baseline"/>
        <w:rPr>
          <w:rFonts w:ascii="宋体" w:hAnsi="宋体"/>
          <w:sz w:val="24"/>
        </w:rPr>
      </w:pPr>
      <w:r>
        <w:rPr>
          <w:rFonts w:hint="eastAsia" w:ascii="宋体" w:hAnsi="宋体"/>
          <w:sz w:val="24"/>
        </w:rPr>
        <w:t>3、若不可抗力事由致使本合同中止或延迟履行超过30天，双方应通过协商解决合同进一步履行问题。</w:t>
      </w:r>
    </w:p>
    <w:p>
      <w:pPr>
        <w:snapToGrid w:val="0"/>
        <w:spacing w:line="360" w:lineRule="auto"/>
        <w:ind w:firstLine="482" w:firstLineChars="200"/>
        <w:rPr>
          <w:b/>
          <w:sz w:val="24"/>
          <w:highlight w:val="none"/>
        </w:rPr>
      </w:pPr>
      <w:r>
        <w:rPr>
          <w:rFonts w:hAnsi="宋体"/>
          <w:b/>
          <w:sz w:val="24"/>
          <w:highlight w:val="none"/>
        </w:rPr>
        <w:t>第十</w:t>
      </w:r>
      <w:r>
        <w:rPr>
          <w:rFonts w:hint="eastAsia" w:hAnsi="宋体"/>
          <w:b/>
          <w:sz w:val="24"/>
          <w:highlight w:val="none"/>
          <w:lang w:eastAsia="zh-CN"/>
        </w:rPr>
        <w:t>四</w:t>
      </w:r>
      <w:r>
        <w:rPr>
          <w:rFonts w:hAnsi="宋体"/>
          <w:b/>
          <w:sz w:val="24"/>
          <w:highlight w:val="none"/>
        </w:rPr>
        <w:t>条　签订本合同依据</w:t>
      </w:r>
    </w:p>
    <w:p>
      <w:pPr>
        <w:snapToGrid w:val="0"/>
        <w:spacing w:line="360" w:lineRule="auto"/>
        <w:ind w:firstLine="480" w:firstLineChars="200"/>
        <w:rPr>
          <w:sz w:val="24"/>
          <w:highlight w:val="none"/>
          <w:u w:val="single"/>
        </w:rPr>
      </w:pPr>
      <w:r>
        <w:rPr>
          <w:sz w:val="24"/>
          <w:highlight w:val="none"/>
        </w:rPr>
        <w:t>1</w:t>
      </w:r>
      <w:r>
        <w:rPr>
          <w:rFonts w:hAnsi="宋体"/>
          <w:sz w:val="24"/>
          <w:highlight w:val="none"/>
        </w:rPr>
        <w:t>、政府采购招标文件；</w:t>
      </w:r>
      <w:r>
        <w:rPr>
          <w:sz w:val="24"/>
          <w:highlight w:val="none"/>
        </w:rPr>
        <w:t>2</w:t>
      </w:r>
      <w:r>
        <w:rPr>
          <w:rFonts w:hAnsi="宋体"/>
          <w:sz w:val="24"/>
          <w:highlight w:val="none"/>
        </w:rPr>
        <w:t>、乙方提供的投标文件；</w:t>
      </w:r>
      <w:r>
        <w:rPr>
          <w:sz w:val="24"/>
          <w:highlight w:val="none"/>
        </w:rPr>
        <w:t>3</w:t>
      </w:r>
      <w:r>
        <w:rPr>
          <w:rFonts w:hAnsi="宋体"/>
          <w:sz w:val="24"/>
          <w:highlight w:val="none"/>
        </w:rPr>
        <w:t>、投标承诺书；</w:t>
      </w:r>
      <w:r>
        <w:rPr>
          <w:sz w:val="24"/>
          <w:highlight w:val="none"/>
        </w:rPr>
        <w:t>4</w:t>
      </w:r>
      <w:r>
        <w:rPr>
          <w:rFonts w:hAnsi="宋体"/>
          <w:sz w:val="24"/>
          <w:highlight w:val="none"/>
        </w:rPr>
        <w:t>、中标或成交通知书。</w:t>
      </w:r>
    </w:p>
    <w:p>
      <w:pPr>
        <w:snapToGrid w:val="0"/>
        <w:spacing w:line="360" w:lineRule="auto"/>
        <w:ind w:firstLine="482" w:firstLineChars="200"/>
        <w:rPr>
          <w:sz w:val="24"/>
          <w:highlight w:val="none"/>
        </w:rPr>
      </w:pPr>
      <w:r>
        <w:rPr>
          <w:rFonts w:hAnsi="宋体"/>
          <w:b/>
          <w:sz w:val="24"/>
          <w:highlight w:val="none"/>
        </w:rPr>
        <w:t>第十</w:t>
      </w:r>
      <w:r>
        <w:rPr>
          <w:rFonts w:hint="eastAsia" w:hAnsi="宋体"/>
          <w:b/>
          <w:sz w:val="24"/>
          <w:highlight w:val="none"/>
          <w:lang w:eastAsia="zh-CN"/>
        </w:rPr>
        <w:t>五</w:t>
      </w:r>
      <w:r>
        <w:rPr>
          <w:rFonts w:hAnsi="宋体"/>
          <w:b/>
          <w:sz w:val="24"/>
          <w:highlight w:val="none"/>
        </w:rPr>
        <w:t>条　</w:t>
      </w:r>
      <w:r>
        <w:rPr>
          <w:rFonts w:hAnsi="宋体"/>
          <w:sz w:val="24"/>
          <w:highlight w:val="none"/>
        </w:rPr>
        <w:t>本合同一式</w:t>
      </w:r>
      <w:r>
        <w:rPr>
          <w:rFonts w:hint="eastAsia" w:hAnsi="宋体"/>
          <w:sz w:val="24"/>
          <w:highlight w:val="none"/>
        </w:rPr>
        <w:t>七</w:t>
      </w:r>
      <w:r>
        <w:rPr>
          <w:rFonts w:hAnsi="宋体"/>
          <w:sz w:val="24"/>
          <w:highlight w:val="none"/>
        </w:rPr>
        <w:t>份，政府采购办、政府采购中心各一份，甲</w:t>
      </w:r>
      <w:r>
        <w:rPr>
          <w:rFonts w:hint="eastAsia" w:hAnsi="宋体"/>
          <w:sz w:val="24"/>
          <w:highlight w:val="none"/>
        </w:rPr>
        <w:t>方三份，</w:t>
      </w:r>
      <w:r>
        <w:rPr>
          <w:rFonts w:hAnsi="宋体"/>
          <w:sz w:val="24"/>
          <w:highlight w:val="none"/>
        </w:rPr>
        <w:t>乙方</w:t>
      </w:r>
      <w:r>
        <w:rPr>
          <w:rFonts w:hint="eastAsia" w:hAnsi="宋体"/>
          <w:sz w:val="24"/>
          <w:highlight w:val="none"/>
        </w:rPr>
        <w:t>两</w:t>
      </w:r>
      <w:r>
        <w:rPr>
          <w:rFonts w:hAnsi="宋体"/>
          <w:sz w:val="24"/>
          <w:highlight w:val="none"/>
        </w:rPr>
        <w:t>份（可根据需要另增加）。</w:t>
      </w:r>
    </w:p>
    <w:p>
      <w:pPr>
        <w:snapToGrid w:val="0"/>
        <w:spacing w:line="360" w:lineRule="auto"/>
        <w:ind w:firstLine="480" w:firstLineChars="200"/>
        <w:rPr>
          <w:rFonts w:hAnsi="宋体"/>
          <w:sz w:val="24"/>
          <w:highlight w:val="none"/>
        </w:rPr>
      </w:pPr>
      <w:r>
        <w:rPr>
          <w:rFonts w:hAnsi="宋体"/>
          <w:sz w:val="24"/>
          <w:highlight w:val="none"/>
        </w:rPr>
        <w:t>本合同甲乙双方签字盖章后生效，自签订之日起七个工作日内，采购人应当将合同副本报同级政府采购监督管理部门备案。</w:t>
      </w:r>
    </w:p>
    <w:p>
      <w:pPr>
        <w:snapToGrid w:val="0"/>
        <w:spacing w:line="360" w:lineRule="auto"/>
        <w:ind w:firstLine="480" w:firstLineChars="200"/>
        <w:rPr>
          <w:rFonts w:hAnsi="宋体"/>
          <w:sz w:val="24"/>
          <w:highlight w:val="none"/>
        </w:rPr>
      </w:pPr>
    </w:p>
    <w:p>
      <w:pPr>
        <w:snapToGrid w:val="0"/>
        <w:spacing w:line="360" w:lineRule="auto"/>
        <w:ind w:firstLine="480" w:firstLineChars="200"/>
        <w:rPr>
          <w:rFonts w:hAnsi="宋体"/>
          <w:sz w:val="24"/>
          <w:highlight w:val="none"/>
        </w:rPr>
      </w:pPr>
    </w:p>
    <w:p>
      <w:pPr>
        <w:snapToGrid w:val="0"/>
        <w:spacing w:line="360" w:lineRule="auto"/>
        <w:rPr>
          <w:rFonts w:hAnsi="宋体"/>
          <w:sz w:val="24"/>
          <w:highlight w:val="none"/>
        </w:rPr>
      </w:pPr>
    </w:p>
    <w:p>
      <w:pPr>
        <w:snapToGrid w:val="0"/>
        <w:spacing w:line="360" w:lineRule="auto"/>
        <w:ind w:firstLine="480" w:firstLineChars="200"/>
        <w:rPr>
          <w:rFonts w:hAnsi="宋体"/>
          <w:sz w:val="24"/>
          <w:highlight w:val="none"/>
        </w:rPr>
      </w:pPr>
    </w:p>
    <w:tbl>
      <w:tblPr>
        <w:tblStyle w:val="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trPr>
        <w:tc>
          <w:tcPr>
            <w:tcW w:w="4516" w:type="dxa"/>
            <w:vAlign w:val="center"/>
          </w:tcPr>
          <w:p>
            <w:pPr>
              <w:snapToGrid w:val="0"/>
              <w:rPr>
                <w:sz w:val="24"/>
                <w:highlight w:val="none"/>
              </w:rPr>
            </w:pPr>
            <w:bookmarkStart w:id="10" w:name="bookmark17"/>
            <w:r>
              <w:rPr>
                <w:rFonts w:hAnsi="宋体"/>
                <w:sz w:val="24"/>
                <w:highlight w:val="none"/>
              </w:rPr>
              <w:t>甲方（章）</w:t>
            </w: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r>
              <w:rPr>
                <w:sz w:val="24"/>
                <w:highlight w:val="none"/>
              </w:rPr>
              <w:t xml:space="preserve">            </w:t>
            </w:r>
          </w:p>
          <w:p>
            <w:pPr>
              <w:snapToGrid w:val="0"/>
              <w:rPr>
                <w:sz w:val="24"/>
                <w:highlight w:val="none"/>
              </w:rPr>
            </w:pPr>
          </w:p>
          <w:p>
            <w:pPr>
              <w:snapToGrid w:val="0"/>
              <w:ind w:firstLine="1080" w:firstLineChars="450"/>
              <w:jc w:val="right"/>
              <w:rPr>
                <w:sz w:val="24"/>
                <w:highlight w:val="none"/>
              </w:rPr>
            </w:pPr>
            <w:r>
              <w:rPr>
                <w:rFonts w:hAnsi="宋体"/>
                <w:sz w:val="24"/>
                <w:highlight w:val="none"/>
              </w:rPr>
              <w:t>年</w:t>
            </w:r>
            <w:r>
              <w:rPr>
                <w:sz w:val="24"/>
                <w:highlight w:val="none"/>
              </w:rPr>
              <w:t xml:space="preserve">   </w:t>
            </w:r>
            <w:r>
              <w:rPr>
                <w:rFonts w:hAnsi="宋体"/>
                <w:sz w:val="24"/>
                <w:highlight w:val="none"/>
              </w:rPr>
              <w:t>月</w:t>
            </w:r>
            <w:r>
              <w:rPr>
                <w:sz w:val="24"/>
                <w:highlight w:val="none"/>
              </w:rPr>
              <w:t xml:space="preserve">   </w:t>
            </w:r>
            <w:r>
              <w:rPr>
                <w:rFonts w:hAnsi="宋体"/>
                <w:sz w:val="24"/>
                <w:highlight w:val="none"/>
              </w:rPr>
              <w:t>日</w:t>
            </w:r>
          </w:p>
        </w:tc>
        <w:tc>
          <w:tcPr>
            <w:tcW w:w="4517" w:type="dxa"/>
            <w:vAlign w:val="center"/>
          </w:tcPr>
          <w:p>
            <w:pPr>
              <w:snapToGrid w:val="0"/>
              <w:rPr>
                <w:sz w:val="24"/>
                <w:highlight w:val="none"/>
              </w:rPr>
            </w:pPr>
            <w:r>
              <w:rPr>
                <w:rFonts w:hAnsi="宋体"/>
                <w:sz w:val="24"/>
                <w:highlight w:val="none"/>
              </w:rPr>
              <w:t>乙方（章）</w:t>
            </w: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r>
              <w:rPr>
                <w:sz w:val="24"/>
                <w:highlight w:val="none"/>
              </w:rPr>
              <w:t xml:space="preserve">              </w:t>
            </w:r>
          </w:p>
          <w:p>
            <w:pPr>
              <w:snapToGrid w:val="0"/>
              <w:rPr>
                <w:sz w:val="24"/>
                <w:highlight w:val="none"/>
              </w:rPr>
            </w:pPr>
          </w:p>
          <w:p>
            <w:pPr>
              <w:snapToGrid w:val="0"/>
              <w:jc w:val="right"/>
              <w:rPr>
                <w:sz w:val="24"/>
                <w:highlight w:val="none"/>
              </w:rPr>
            </w:pPr>
            <w:r>
              <w:rPr>
                <w:sz w:val="24"/>
                <w:highlight w:val="none"/>
              </w:rPr>
              <w:t xml:space="preserve"> </w:t>
            </w:r>
            <w:r>
              <w:rPr>
                <w:rFonts w:hAnsi="宋体"/>
                <w:sz w:val="24"/>
                <w:highlight w:val="none"/>
              </w:rPr>
              <w:t>年</w:t>
            </w:r>
            <w:r>
              <w:rPr>
                <w:sz w:val="24"/>
                <w:highlight w:val="none"/>
              </w:rPr>
              <w:t xml:space="preserve">   </w:t>
            </w:r>
            <w:r>
              <w:rPr>
                <w:rFonts w:hAnsi="宋体"/>
                <w:sz w:val="24"/>
                <w:highlight w:val="none"/>
              </w:rPr>
              <w:t>月</w:t>
            </w:r>
            <w:r>
              <w:rPr>
                <w:sz w:val="24"/>
                <w:highlight w:val="none"/>
              </w:rPr>
              <w:t xml:space="preserve">   </w:t>
            </w:r>
            <w:r>
              <w:rPr>
                <w:rFonts w:hAnsi="宋体"/>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sz w:val="24"/>
                <w:highlight w:val="none"/>
              </w:rPr>
            </w:pPr>
            <w:r>
              <w:rPr>
                <w:rFonts w:hAnsi="宋体"/>
                <w:sz w:val="24"/>
                <w:highlight w:val="none"/>
              </w:rPr>
              <w:t>单位地址：</w:t>
            </w:r>
            <w:r>
              <w:rPr>
                <w:rFonts w:hint="eastAsia" w:hAnsi="宋体"/>
                <w:sz w:val="24"/>
                <w:highlight w:val="none"/>
              </w:rPr>
              <w:t>哈尔滨市南岗区中山路145号</w:t>
            </w:r>
          </w:p>
        </w:tc>
        <w:tc>
          <w:tcPr>
            <w:tcW w:w="4517" w:type="dxa"/>
            <w:vAlign w:val="center"/>
          </w:tcPr>
          <w:p>
            <w:pPr>
              <w:snapToGrid w:val="0"/>
              <w:rPr>
                <w:sz w:val="24"/>
                <w:highlight w:val="none"/>
              </w:rPr>
            </w:pPr>
            <w:r>
              <w:rPr>
                <w:rFonts w:hAnsi="宋体"/>
                <w:sz w:val="24"/>
                <w:highlight w:val="none"/>
              </w:rPr>
              <w:t>单位地址：</w:t>
            </w:r>
            <w:r>
              <w:rPr>
                <w:rFonts w:hint="eastAsia" w:ascii="宋体" w:hAnsi="宋体"/>
                <w:sz w:val="24"/>
                <w:u w:val="none"/>
              </w:rPr>
              <w:t>北京市海淀区西北旺东路10号院东区10号楼6层6-16室</w:t>
            </w:r>
            <w:r>
              <w:rPr>
                <w:sz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sz w:val="24"/>
                <w:highlight w:val="none"/>
              </w:rPr>
            </w:pPr>
            <w:r>
              <w:rPr>
                <w:rFonts w:hAnsi="宋体"/>
                <w:sz w:val="24"/>
                <w:highlight w:val="none"/>
              </w:rPr>
              <w:t>法定代表人：</w:t>
            </w:r>
          </w:p>
        </w:tc>
        <w:tc>
          <w:tcPr>
            <w:tcW w:w="4517" w:type="dxa"/>
            <w:vAlign w:val="center"/>
          </w:tcPr>
          <w:p>
            <w:pPr>
              <w:snapToGrid w:val="0"/>
              <w:rPr>
                <w:sz w:val="24"/>
                <w:highlight w:val="none"/>
              </w:rPr>
            </w:pPr>
            <w:r>
              <w:rPr>
                <w:rFonts w:hAnsi="宋体"/>
                <w:sz w:val="24"/>
                <w:highlight w:val="none"/>
              </w:rPr>
              <w:t>法定代表人：</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sz w:val="24"/>
                <w:highlight w:val="none"/>
              </w:rPr>
            </w:pPr>
            <w:r>
              <w:rPr>
                <w:rFonts w:hAnsi="宋体"/>
                <w:sz w:val="24"/>
                <w:highlight w:val="none"/>
              </w:rPr>
              <w:t>委托代理人：</w:t>
            </w:r>
          </w:p>
        </w:tc>
        <w:tc>
          <w:tcPr>
            <w:tcW w:w="4517" w:type="dxa"/>
            <w:vAlign w:val="center"/>
          </w:tcPr>
          <w:p>
            <w:pPr>
              <w:snapToGrid w:val="0"/>
              <w:rPr>
                <w:sz w:val="24"/>
                <w:highlight w:val="none"/>
              </w:rPr>
            </w:pPr>
            <w:r>
              <w:rPr>
                <w:rFonts w:hAnsi="宋体"/>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rFonts w:hAnsi="宋体"/>
                <w:sz w:val="24"/>
                <w:highlight w:val="none"/>
              </w:rPr>
            </w:pPr>
            <w:r>
              <w:rPr>
                <w:rFonts w:hint="eastAsia" w:hAnsi="宋体"/>
                <w:sz w:val="24"/>
                <w:highlight w:val="none"/>
              </w:rPr>
              <w:t>经办人</w:t>
            </w:r>
            <w:r>
              <w:rPr>
                <w:rFonts w:hAnsi="宋体"/>
                <w:sz w:val="24"/>
                <w:highlight w:val="none"/>
              </w:rPr>
              <w:t>：</w:t>
            </w:r>
          </w:p>
        </w:tc>
        <w:tc>
          <w:tcPr>
            <w:tcW w:w="4517" w:type="dxa"/>
            <w:vAlign w:val="center"/>
          </w:tcPr>
          <w:p>
            <w:pPr>
              <w:snapToGrid w:val="0"/>
              <w:rPr>
                <w:rFonts w:hAnsi="宋体"/>
                <w:sz w:val="24"/>
                <w:highlight w:val="none"/>
              </w:rPr>
            </w:pPr>
            <w:r>
              <w:rPr>
                <w:rFonts w:hint="eastAsia" w:hAnsi="宋体"/>
                <w:sz w:val="24"/>
                <w:highlight w:val="none"/>
              </w:rPr>
              <w:t>经办人</w:t>
            </w:r>
            <w:r>
              <w:rPr>
                <w:rFonts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sz w:val="24"/>
                <w:highlight w:val="none"/>
              </w:rPr>
            </w:pPr>
            <w:r>
              <w:rPr>
                <w:rFonts w:hAnsi="宋体"/>
                <w:sz w:val="24"/>
                <w:highlight w:val="none"/>
              </w:rPr>
              <w:t>电话：</w:t>
            </w:r>
          </w:p>
        </w:tc>
        <w:tc>
          <w:tcPr>
            <w:tcW w:w="4517" w:type="dxa"/>
            <w:vAlign w:val="center"/>
          </w:tcPr>
          <w:p>
            <w:pPr>
              <w:snapToGrid w:val="0"/>
              <w:rPr>
                <w:sz w:val="24"/>
                <w:highlight w:val="none"/>
              </w:rPr>
            </w:pPr>
            <w:r>
              <w:rPr>
                <w:rFonts w:hAnsi="宋体"/>
                <w:sz w:val="24"/>
                <w:highlight w:val="none"/>
              </w:rPr>
              <w:t>电话：</w:t>
            </w:r>
            <w:r>
              <w:rPr>
                <w:rFonts w:hint="eastAsia" w:ascii="宋体" w:hAnsi="宋体"/>
                <w:sz w:val="24"/>
              </w:rPr>
              <w:t>010-</w:t>
            </w:r>
            <w:r>
              <w:rPr>
                <w:rFonts w:hint="eastAsia" w:ascii="宋体" w:hAnsi="宋体"/>
                <w:sz w:val="24"/>
                <w:lang w:val="en-US" w:eastAsia="zh-CN"/>
              </w:rPr>
              <w:t>83010915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sz w:val="24"/>
                <w:highlight w:val="none"/>
              </w:rPr>
            </w:pPr>
            <w:r>
              <w:rPr>
                <w:rFonts w:hAnsi="宋体"/>
                <w:sz w:val="24"/>
                <w:highlight w:val="none"/>
              </w:rPr>
              <w:t>开户银行：</w:t>
            </w:r>
            <w:r>
              <w:rPr>
                <w:rFonts w:hint="eastAsia" w:hAnsi="宋体"/>
                <w:sz w:val="24"/>
                <w:highlight w:val="none"/>
              </w:rPr>
              <w:t>工行哈尔滨市中央大街支行</w:t>
            </w:r>
          </w:p>
        </w:tc>
        <w:tc>
          <w:tcPr>
            <w:tcW w:w="4517" w:type="dxa"/>
            <w:vAlign w:val="center"/>
          </w:tcPr>
          <w:p>
            <w:pPr>
              <w:snapToGrid w:val="0"/>
              <w:rPr>
                <w:sz w:val="24"/>
                <w:highlight w:val="none"/>
              </w:rPr>
            </w:pPr>
            <w:r>
              <w:rPr>
                <w:rFonts w:hAnsi="宋体"/>
                <w:sz w:val="24"/>
                <w:highlight w:val="none"/>
              </w:rPr>
              <w:t>开户银行：</w:t>
            </w:r>
            <w:r>
              <w:rPr>
                <w:rFonts w:hint="eastAsia" w:ascii="宋体" w:hAnsi="宋体"/>
                <w:sz w:val="24"/>
              </w:rPr>
              <w:t>兴业银行北京世纪坛支行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sz w:val="24"/>
                <w:highlight w:val="none"/>
              </w:rPr>
            </w:pPr>
            <w:r>
              <w:rPr>
                <w:rFonts w:hAnsi="宋体"/>
                <w:sz w:val="24"/>
                <w:highlight w:val="none"/>
              </w:rPr>
              <w:t>账号：</w:t>
            </w:r>
            <w:r>
              <w:rPr>
                <w:rFonts w:hint="eastAsia" w:ascii="宋体" w:hAnsi="宋体" w:cs="宋体"/>
                <w:sz w:val="24"/>
                <w:highlight w:val="none"/>
              </w:rPr>
              <w:t>3500004409026400242</w:t>
            </w:r>
          </w:p>
        </w:tc>
        <w:tc>
          <w:tcPr>
            <w:tcW w:w="4517" w:type="dxa"/>
            <w:vAlign w:val="center"/>
          </w:tcPr>
          <w:p>
            <w:pPr>
              <w:spacing w:line="400" w:lineRule="exact"/>
              <w:rPr>
                <w:rFonts w:hAnsi="宋体"/>
                <w:sz w:val="24"/>
                <w:highlight w:val="none"/>
              </w:rPr>
            </w:pPr>
            <w:r>
              <w:rPr>
                <w:rFonts w:hAnsi="宋体"/>
                <w:sz w:val="24"/>
                <w:highlight w:val="none"/>
              </w:rPr>
              <w:t>账号：</w:t>
            </w:r>
            <w:r>
              <w:rPr>
                <w:rFonts w:hint="eastAsia" w:ascii="宋体" w:hAnsi="宋体"/>
                <w:sz w:val="24"/>
              </w:rPr>
              <w:t>321200100100260987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sz w:val="24"/>
                <w:highlight w:val="none"/>
              </w:rPr>
            </w:pPr>
            <w:r>
              <w:rPr>
                <w:rFonts w:hAnsi="宋体"/>
                <w:sz w:val="24"/>
                <w:highlight w:val="none"/>
              </w:rPr>
              <w:t>邮政编码：</w:t>
            </w:r>
            <w:r>
              <w:rPr>
                <w:rFonts w:hint="eastAsia" w:hAnsi="宋体"/>
                <w:sz w:val="24"/>
                <w:highlight w:val="none"/>
              </w:rPr>
              <w:t>150008</w:t>
            </w:r>
          </w:p>
        </w:tc>
        <w:tc>
          <w:tcPr>
            <w:tcW w:w="4517" w:type="dxa"/>
            <w:vAlign w:val="center"/>
          </w:tcPr>
          <w:p>
            <w:pPr>
              <w:snapToGrid w:val="0"/>
              <w:rPr>
                <w:sz w:val="24"/>
                <w:highlight w:val="none"/>
              </w:rPr>
            </w:pPr>
            <w:r>
              <w:rPr>
                <w:rFonts w:hAnsi="宋体"/>
                <w:sz w:val="24"/>
                <w:highlight w:val="none"/>
              </w:rPr>
              <w:t>邮政编码：</w:t>
            </w:r>
            <w:r>
              <w:rPr>
                <w:rFonts w:ascii="宋体" w:hAnsi="宋体"/>
                <w:sz w:val="24"/>
              </w:rPr>
              <w:t>100094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7" w:hRule="atLeast"/>
        </w:trPr>
        <w:tc>
          <w:tcPr>
            <w:tcW w:w="9033" w:type="dxa"/>
            <w:gridSpan w:val="2"/>
          </w:tcPr>
          <w:p>
            <w:pPr>
              <w:snapToGrid w:val="0"/>
              <w:rPr>
                <w:sz w:val="24"/>
                <w:highlight w:val="none"/>
              </w:rPr>
            </w:pPr>
            <w:r>
              <w:rPr>
                <w:rFonts w:hint="eastAsia"/>
                <w:sz w:val="24"/>
                <w:highlight w:val="none"/>
              </w:rPr>
              <w:t>采购办归档备案</w:t>
            </w:r>
          </w:p>
          <w:p>
            <w:pPr>
              <w:snapToGrid w:val="0"/>
              <w:ind w:firstLine="720" w:firstLineChars="300"/>
              <w:jc w:val="right"/>
              <w:rPr>
                <w:rFonts w:hAnsi="宋体"/>
                <w:sz w:val="24"/>
                <w:highlight w:val="none"/>
              </w:rPr>
            </w:pPr>
          </w:p>
          <w:p>
            <w:pPr>
              <w:snapToGrid w:val="0"/>
              <w:ind w:firstLine="720" w:firstLineChars="300"/>
              <w:jc w:val="right"/>
              <w:rPr>
                <w:rFonts w:hAnsi="宋体"/>
                <w:sz w:val="24"/>
                <w:highlight w:val="none"/>
              </w:rPr>
            </w:pPr>
          </w:p>
          <w:p>
            <w:pPr>
              <w:snapToGrid w:val="0"/>
              <w:ind w:firstLine="720" w:firstLineChars="300"/>
              <w:jc w:val="right"/>
              <w:rPr>
                <w:rFonts w:hAnsi="宋体"/>
                <w:sz w:val="24"/>
                <w:highlight w:val="none"/>
              </w:rPr>
            </w:pPr>
          </w:p>
          <w:p>
            <w:pPr>
              <w:snapToGrid w:val="0"/>
              <w:ind w:firstLine="720" w:firstLineChars="300"/>
              <w:jc w:val="right"/>
              <w:rPr>
                <w:rFonts w:hAnsi="宋体"/>
                <w:sz w:val="24"/>
                <w:highlight w:val="none"/>
              </w:rPr>
            </w:pPr>
          </w:p>
          <w:p>
            <w:pPr>
              <w:snapToGrid w:val="0"/>
              <w:ind w:firstLine="720" w:firstLineChars="300"/>
              <w:jc w:val="right"/>
              <w:rPr>
                <w:rFonts w:hAnsi="宋体"/>
                <w:sz w:val="24"/>
                <w:highlight w:val="none"/>
              </w:rPr>
            </w:pPr>
          </w:p>
          <w:p>
            <w:pPr>
              <w:snapToGrid w:val="0"/>
              <w:ind w:firstLine="720" w:firstLineChars="300"/>
              <w:jc w:val="right"/>
              <w:rPr>
                <w:rFonts w:hAnsi="宋体"/>
                <w:sz w:val="24"/>
                <w:highlight w:val="none"/>
              </w:rPr>
            </w:pPr>
          </w:p>
          <w:p>
            <w:pPr>
              <w:snapToGrid w:val="0"/>
              <w:ind w:firstLine="720" w:firstLineChars="300"/>
              <w:jc w:val="right"/>
              <w:rPr>
                <w:rFonts w:hAnsi="宋体"/>
                <w:sz w:val="24"/>
                <w:highlight w:val="none"/>
              </w:rPr>
            </w:pPr>
          </w:p>
          <w:p>
            <w:pPr>
              <w:snapToGrid w:val="0"/>
              <w:ind w:firstLine="720" w:firstLineChars="300"/>
              <w:jc w:val="right"/>
              <w:rPr>
                <w:rFonts w:hAnsi="宋体"/>
                <w:sz w:val="24"/>
                <w:highlight w:val="none"/>
              </w:rPr>
            </w:pPr>
          </w:p>
          <w:p>
            <w:pPr>
              <w:snapToGrid w:val="0"/>
              <w:ind w:firstLine="720" w:firstLineChars="300"/>
              <w:jc w:val="right"/>
              <w:rPr>
                <w:rFonts w:hAnsi="宋体"/>
                <w:sz w:val="24"/>
                <w:highlight w:val="none"/>
              </w:rPr>
            </w:pPr>
          </w:p>
          <w:p>
            <w:pPr>
              <w:snapToGrid w:val="0"/>
              <w:ind w:firstLine="720" w:firstLineChars="300"/>
              <w:jc w:val="right"/>
              <w:rPr>
                <w:sz w:val="24"/>
                <w:highlight w:val="none"/>
              </w:rPr>
            </w:pPr>
            <w:r>
              <w:rPr>
                <w:rFonts w:hAnsi="宋体"/>
                <w:sz w:val="24"/>
                <w:highlight w:val="none"/>
              </w:rPr>
              <w:t>年</w:t>
            </w:r>
            <w:r>
              <w:rPr>
                <w:sz w:val="24"/>
                <w:highlight w:val="none"/>
              </w:rPr>
              <w:t xml:space="preserve">    </w:t>
            </w:r>
            <w:r>
              <w:rPr>
                <w:rFonts w:hAnsi="宋体"/>
                <w:sz w:val="24"/>
                <w:highlight w:val="none"/>
              </w:rPr>
              <w:t>月</w:t>
            </w:r>
            <w:r>
              <w:rPr>
                <w:sz w:val="24"/>
                <w:highlight w:val="none"/>
              </w:rPr>
              <w:t xml:space="preserve">    </w:t>
            </w:r>
            <w:r>
              <w:rPr>
                <w:rFonts w:hAnsi="宋体"/>
                <w:sz w:val="24"/>
                <w:highlight w:val="none"/>
              </w:rPr>
              <w:t>日</w:t>
            </w:r>
          </w:p>
        </w:tc>
      </w:tr>
      <w:bookmarkEnd w:id="10"/>
    </w:tbl>
    <w:p>
      <w:pPr>
        <w:snapToGrid w:val="0"/>
        <w:ind w:left="640" w:hanging="640" w:hangingChars="200"/>
        <w:rPr>
          <w:highlight w:val="none"/>
        </w:rPr>
      </w:pPr>
    </w:p>
    <w:p>
      <w:pPr>
        <w:snapToGrid w:val="0"/>
        <w:spacing w:line="360" w:lineRule="auto"/>
        <w:jc w:val="center"/>
        <w:rPr>
          <w:b/>
          <w:sz w:val="28"/>
          <w:szCs w:val="28"/>
          <w:highlight w:val="none"/>
        </w:rPr>
      </w:pPr>
      <w:r>
        <w:rPr>
          <w:sz w:val="28"/>
          <w:szCs w:val="28"/>
          <w:highlight w:val="none"/>
        </w:rPr>
        <w:br w:type="page"/>
      </w:r>
      <w:r>
        <w:rPr>
          <w:b/>
          <w:sz w:val="28"/>
          <w:szCs w:val="28"/>
          <w:highlight w:val="none"/>
        </w:rPr>
        <w:t>合 同 附 件</w:t>
      </w:r>
    </w:p>
    <w:p>
      <w:pPr>
        <w:snapToGrid w:val="0"/>
        <w:rPr>
          <w:sz w:val="21"/>
          <w:szCs w:val="21"/>
          <w:highlight w:val="none"/>
        </w:rPr>
      </w:pPr>
      <w:r>
        <w:rPr>
          <w:sz w:val="21"/>
          <w:szCs w:val="21"/>
          <w:highlight w:val="none"/>
        </w:rPr>
        <w:t>一般</w:t>
      </w:r>
      <w:r>
        <w:rPr>
          <w:rFonts w:hint="eastAsia"/>
          <w:sz w:val="21"/>
          <w:szCs w:val="21"/>
          <w:highlight w:val="none"/>
          <w:lang w:eastAsia="zh-CN"/>
        </w:rPr>
        <w:t>服务</w:t>
      </w:r>
      <w:r>
        <w:rPr>
          <w:sz w:val="21"/>
          <w:szCs w:val="21"/>
          <w:highlight w:val="none"/>
        </w:rPr>
        <w:t>类</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trPr>
        <w:tc>
          <w:tcPr>
            <w:tcW w:w="8522" w:type="dxa"/>
            <w:gridSpan w:val="2"/>
            <w:tcBorders>
              <w:tl2br w:val="nil"/>
              <w:tr2bl w:val="nil"/>
            </w:tcBorders>
            <w:vAlign w:val="center"/>
          </w:tcPr>
          <w:p>
            <w:pPr>
              <w:rPr>
                <w:rFonts w:asciiTheme="minorEastAsia" w:hAnsiTheme="minorEastAsia" w:eastAsiaTheme="minorEastAsia"/>
                <w:sz w:val="21"/>
                <w:szCs w:val="21"/>
                <w:highlight w:val="none"/>
              </w:rPr>
            </w:pPr>
            <w:bookmarkStart w:id="11" w:name="bookmark18"/>
            <w:r>
              <w:rPr>
                <w:rFonts w:asciiTheme="minorEastAsia" w:hAnsiTheme="minorEastAsia" w:eastAsiaTheme="minorEastAsia"/>
                <w:sz w:val="21"/>
                <w:szCs w:val="21"/>
                <w:highlight w:val="none"/>
              </w:rPr>
              <w:t>供应商承诺具体事项：</w:t>
            </w:r>
          </w:p>
          <w:p>
            <w:pP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z w:val="21"/>
                <w:szCs w:val="21"/>
                <w:highlight w:val="none"/>
                <w:lang w:eastAsia="zh-CN"/>
              </w:rPr>
              <w:t>1.系统日常维护</w:t>
            </w:r>
          </w:p>
          <w:p>
            <w:pP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z w:val="21"/>
                <w:szCs w:val="21"/>
                <w:highlight w:val="none"/>
                <w:lang w:eastAsia="zh-CN"/>
              </w:rPr>
              <w:t>2.系统定期巡检</w:t>
            </w:r>
          </w:p>
          <w:p>
            <w:pP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z w:val="21"/>
                <w:szCs w:val="21"/>
                <w:highlight w:val="none"/>
                <w:lang w:eastAsia="zh-CN"/>
              </w:rPr>
              <w:t>3.系统升级</w:t>
            </w:r>
          </w:p>
          <w:p>
            <w:pP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z w:val="21"/>
                <w:szCs w:val="21"/>
                <w:highlight w:val="none"/>
                <w:lang w:eastAsia="zh-CN"/>
              </w:rPr>
              <w:t>4.售后服务</w:t>
            </w:r>
          </w:p>
          <w:p>
            <w:pPr>
              <w:ind w:firstLine="420" w:firstLineChars="200"/>
              <w:jc w:val="left"/>
              <w:rPr>
                <w:rFonts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lang w:eastAsia="zh-CN"/>
              </w:rPr>
              <w:t>提供全年</w:t>
            </w:r>
            <w:r>
              <w:rPr>
                <w:rFonts w:cs="Times New Roman" w:asciiTheme="minorEastAsia" w:hAnsiTheme="minorEastAsia" w:eastAsiaTheme="minorEastAsia"/>
                <w:sz w:val="21"/>
                <w:szCs w:val="21"/>
                <w:highlight w:val="none"/>
                <w:lang w:eastAsia="zh-CN"/>
              </w:rPr>
              <w:t>7×24小时电话，QQ，微信，邮箱等服务，30分钟内做出明确的响应安排，1小时内做出故障诊断报告，如需现场服务的，具有解决故障能力的工程师将在2小时内到达现场。维护工程师根据申告的故障信息，判断所发生故障严重程度，对于重大故障应立即展开应急行动。如需二线支持，立即安排二线维护工程师4小时赶到现场，及时解决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exact"/>
        </w:trPr>
        <w:tc>
          <w:tcPr>
            <w:tcW w:w="8522" w:type="dxa"/>
            <w:gridSpan w:val="2"/>
            <w:tcBorders>
              <w:tl2br w:val="nil"/>
              <w:tr2bl w:val="nil"/>
            </w:tcBorders>
            <w:vAlign w:val="center"/>
          </w:tcPr>
          <w:p>
            <w:pPr>
              <w:rPr>
                <w:rFonts w:hint="eastAsia" w:asciiTheme="minorEastAsia" w:hAnsiTheme="minorEastAsia" w:eastAsiaTheme="minorEastAsia"/>
                <w:sz w:val="21"/>
                <w:szCs w:val="21"/>
                <w:highlight w:val="none"/>
              </w:rPr>
            </w:pPr>
            <w:r>
              <w:rPr>
                <w:rFonts w:asciiTheme="minorEastAsia" w:hAnsiTheme="minorEastAsia" w:eastAsiaTheme="minorEastAsia"/>
                <w:sz w:val="21"/>
                <w:szCs w:val="21"/>
                <w:highlight w:val="none"/>
              </w:rPr>
              <w:t>其他具体事项：</w:t>
            </w:r>
          </w:p>
          <w:p>
            <w:pPr>
              <w:rPr>
                <w:rFonts w:hint="eastAsia" w:asciiTheme="minorEastAsia" w:hAnsiTheme="minorEastAsia" w:eastAsiaTheme="minorEastAsia"/>
                <w:sz w:val="21"/>
                <w:szCs w:val="21"/>
                <w:highlight w:val="none"/>
                <w:lang w:val="en-US" w:eastAsia="zh-CN"/>
              </w:rPr>
            </w:pPr>
          </w:p>
          <w:p>
            <w:pPr>
              <w:rPr>
                <w:rFonts w:hint="eastAsia" w:asciiTheme="minorEastAsia" w:hAnsiTheme="minorEastAsia" w:eastAsiaTheme="minorEastAsia"/>
                <w:sz w:val="21"/>
                <w:szCs w:val="21"/>
                <w:highlight w:val="none"/>
                <w:lang w:val="en-US" w:eastAsia="zh-CN"/>
              </w:rPr>
            </w:pPr>
          </w:p>
          <w:p>
            <w:pPr>
              <w:rPr>
                <w:rFonts w:hint="eastAsia" w:asciiTheme="minorEastAsia" w:hAnsiTheme="minorEastAsia" w:eastAsiaTheme="minorEastAsia"/>
                <w:sz w:val="21"/>
                <w:szCs w:val="21"/>
                <w:highlight w:val="none"/>
                <w:lang w:val="en-US" w:eastAsia="zh-CN"/>
              </w:rPr>
            </w:pPr>
          </w:p>
          <w:p>
            <w:pPr>
              <w:rPr>
                <w:rFonts w:hint="eastAsia"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4248" w:type="dxa"/>
            <w:tcBorders>
              <w:tl2br w:val="nil"/>
              <w:tr2bl w:val="nil"/>
            </w:tcBorders>
            <w:vAlign w:val="center"/>
          </w:tcPr>
          <w:p>
            <w:pPr>
              <w:snapToGrid w:val="0"/>
              <w:rPr>
                <w:sz w:val="24"/>
                <w:highlight w:val="none"/>
              </w:rPr>
            </w:pPr>
            <w:r>
              <w:rPr>
                <w:sz w:val="24"/>
                <w:highlight w:val="none"/>
              </w:rPr>
              <w:t>甲方（章）</w:t>
            </w: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r>
              <w:rPr>
                <w:sz w:val="24"/>
                <w:highlight w:val="none"/>
              </w:rPr>
              <w:t xml:space="preserve">                    年   月   日 </w:t>
            </w:r>
          </w:p>
        </w:tc>
        <w:tc>
          <w:tcPr>
            <w:tcW w:w="4274" w:type="dxa"/>
            <w:tcBorders>
              <w:tl2br w:val="nil"/>
              <w:tr2bl w:val="nil"/>
            </w:tcBorders>
            <w:vAlign w:val="center"/>
          </w:tcPr>
          <w:p>
            <w:pPr>
              <w:snapToGrid w:val="0"/>
              <w:rPr>
                <w:sz w:val="24"/>
                <w:highlight w:val="none"/>
              </w:rPr>
            </w:pPr>
            <w:r>
              <w:rPr>
                <w:sz w:val="24"/>
                <w:highlight w:val="none"/>
              </w:rPr>
              <w:t>乙方（章）</w:t>
            </w: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p>
          <w:p>
            <w:pPr>
              <w:snapToGrid w:val="0"/>
              <w:rPr>
                <w:sz w:val="24"/>
                <w:highlight w:val="none"/>
              </w:rPr>
            </w:pPr>
            <w:r>
              <w:rPr>
                <w:sz w:val="24"/>
                <w:highlight w:val="none"/>
              </w:rPr>
              <w:t xml:space="preserve">                    年   月   日</w:t>
            </w:r>
          </w:p>
        </w:tc>
      </w:tr>
      <w:bookmarkEnd w:id="11"/>
    </w:tbl>
    <w:p>
      <w:pPr>
        <w:snapToGrid w:val="0"/>
        <w:rPr>
          <w:sz w:val="21"/>
          <w:szCs w:val="21"/>
          <w:highlight w:val="none"/>
        </w:rPr>
      </w:pPr>
      <w:r>
        <w:rPr>
          <w:highlight w:val="none"/>
        </w:rPr>
        <w:t xml:space="preserve">                            </w:t>
      </w:r>
      <w:r>
        <w:rPr>
          <w:sz w:val="21"/>
          <w:szCs w:val="21"/>
          <w:highlight w:val="none"/>
        </w:rPr>
        <w:t xml:space="preserve"> 注：售后服务事项填不下时可另加附页</w:t>
      </w:r>
    </w:p>
    <w:p>
      <w:pPr>
        <w:snapToGrid w:val="0"/>
        <w:rPr>
          <w:sz w:val="21"/>
          <w:szCs w:val="21"/>
          <w:highlight w:val="none"/>
        </w:rPr>
      </w:pPr>
    </w:p>
    <w:p>
      <w:pPr>
        <w:snapToGrid w:val="0"/>
        <w:rPr>
          <w:sz w:val="21"/>
          <w:szCs w:val="21"/>
          <w:highlight w:val="none"/>
        </w:rPr>
      </w:pPr>
    </w:p>
    <w:p>
      <w:pPr>
        <w:snapToGrid w:val="0"/>
        <w:rPr>
          <w:sz w:val="21"/>
          <w:szCs w:val="21"/>
          <w:highlight w:val="none"/>
        </w:rPr>
      </w:pPr>
    </w:p>
    <w:p>
      <w:pPr>
        <w:snapToGrid w:val="0"/>
        <w:rPr>
          <w:sz w:val="21"/>
          <w:szCs w:val="21"/>
          <w:highlight w:val="none"/>
        </w:rPr>
      </w:pPr>
    </w:p>
    <w:p>
      <w:pPr>
        <w:snapToGrid w:val="0"/>
        <w:rPr>
          <w:sz w:val="21"/>
          <w:szCs w:val="21"/>
          <w:highlight w:val="none"/>
        </w:rPr>
      </w:pPr>
    </w:p>
    <w:p>
      <w:pPr>
        <w:snapToGrid w:val="0"/>
        <w:rPr>
          <w:sz w:val="21"/>
          <w:szCs w:val="21"/>
          <w:highlight w:val="none"/>
        </w:rPr>
      </w:pPr>
    </w:p>
    <w:p>
      <w:pPr>
        <w:rPr>
          <w:sz w:val="21"/>
          <w:szCs w:val="21"/>
          <w:highlight w:val="none"/>
        </w:rPr>
      </w:pPr>
      <w:r>
        <w:rPr>
          <w:sz w:val="21"/>
          <w:szCs w:val="21"/>
          <w:highlight w:val="none"/>
        </w:rPr>
        <w:br w:type="page"/>
      </w:r>
    </w:p>
    <w:p>
      <w:pPr>
        <w:snapToGrid w:val="0"/>
        <w:rPr>
          <w:rFonts w:hint="eastAsia"/>
          <w:sz w:val="24"/>
          <w:szCs w:val="24"/>
          <w:highlight w:val="none"/>
          <w:lang w:eastAsia="zh-CN"/>
        </w:rPr>
      </w:pPr>
      <w:r>
        <w:rPr>
          <w:rFonts w:hint="eastAsia"/>
          <w:sz w:val="24"/>
          <w:szCs w:val="24"/>
          <w:highlight w:val="none"/>
          <w:lang w:eastAsia="zh-CN"/>
        </w:rPr>
        <w:t>附件：</w:t>
      </w:r>
    </w:p>
    <w:p>
      <w:pPr>
        <w:snapToGrid w:val="0"/>
        <w:rPr>
          <w:rFonts w:hint="eastAsia"/>
          <w:sz w:val="24"/>
          <w:szCs w:val="24"/>
          <w:highlight w:val="none"/>
          <w:lang w:eastAsia="zh-CN"/>
        </w:rPr>
      </w:pPr>
      <w:r>
        <w:rPr>
          <w:rFonts w:hint="eastAsia"/>
          <w:sz w:val="24"/>
          <w:szCs w:val="24"/>
          <w:highlight w:val="none"/>
          <w:lang w:eastAsia="zh-CN"/>
        </w:rPr>
        <w:t>运维内容：</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5"/>
        <w:gridCol w:w="1830"/>
        <w:gridCol w:w="1965"/>
        <w:gridCol w:w="4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分项</w:t>
            </w:r>
          </w:p>
        </w:tc>
        <w:tc>
          <w:tcPr>
            <w:tcW w:w="4482"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i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i w:val="0"/>
                <w:color w:val="000000"/>
                <w:sz w:val="20"/>
                <w:szCs w:val="20"/>
                <w:u w:val="none"/>
              </w:rPr>
            </w:pPr>
          </w:p>
        </w:tc>
        <w:tc>
          <w:tcPr>
            <w:tcW w:w="4482"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应用软件业务定制服务</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系统使用问题收集及处理</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接收HTTP请求异常处理；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接收HTTP请求回执异常处理；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边界文件转HTTP请求回执异常处理；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HTTP请求转边界待发送文件失败处理；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HTTP请求回执转边界待发送文件失败处理；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接收解析HTTP请求文件附件失败处理；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HTTP请求附件转储边界待发送文件失败处理；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边界文件转HTTP请求附件失败处理；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HTTP请求附件匹配HTTP请求并合并发送失败处理；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白名单日常维护；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电子票据开具、告知、查验、上报、核销等异常问题处理；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协助公安厅用户进行软硬件、网络、操作环境日常维护，包括使用的操作系统、浏览器、防火墙设置、IP地址、针式或热敏打印机的安装设置等；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公安部门垂管模式票据业务节点、流程日常维护（票据出库、入库、申领、审核）；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票据打印模板、自定义报表异常维护；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电子票开票、票据冲红、汇缴业务、换开纸质票据接口异常处理；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纸质票开票、作废、冲销接口异常处理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由于接口异常问题，导致相关票据管理报表查询（票据入库查询、票据下发查询、票据库存查询、票据使用情况查询（电子、纸质））数据不准确。需调整报表数据；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各级执收执罚单位电子票据系统应用（涉及地市县区+口岸）对接接口异常问题处理；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开具缴款通知书及生成、打印电子缴款书，缴款书告知（短信、邮箱）等异常问题处理；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由于接口异常，导致非税相关报表(缴款书明细查询、单位项目收入统计、分成情况统计)数据不准确。需调整报表数据；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针对首页开发的电子票据功能(查询、存档等)日常维护；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签名服务器CA软硬件定期检查；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挂接收费项目、收费标准、及对应收费项目变更、停用、新增工作；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用户信息及权限维护，主要工作是用户的新增、变更、停用、找回密码以及不同用户权限的分配；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各单位对应的用户改动相关设置（增加用户、设置密码、数据操作权限设定）；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各单位用户开具电子票据、纸质票据换开使用的打印插件的更新；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各单位用户打印机问题处理(正常显示及正常套打)；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执收执罚单位的基础信息、收费项目更新维护；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各单位用户相关报表的查询、使用、导出功能异常调试；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日常业务数据与电子票据系统数据核对差异并处理；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处理非税收入异常协助查询；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协助办理收入退付；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协助收入科目调整；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协助待查收入确认、认领；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协助电子票据查验；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协助出入境缴款对账、查询；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协助相关缴费、退付报表查询、提数需求；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协助公安出入境部门与财政之间的对账工作；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现场服务支持工作</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窗口办事人员，办理业务需要现场支持的工作；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单位用户信息操作权限维护，根据窗口的业务进行权限的维护完成与收费系统的对接；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单位电脑系统重装、更换电脑后重装软件，调试系统；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指导用户收费、开票、缴款操作；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收费系统对接、收费票据版式调整；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协助窗口办事人员补打票据；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定期巡检技术支持工作</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每月巡检，对出现的问题进行集中处理和反馈工作；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对现场有指导需求的窗口办事人员，现场指导工作；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出入境各业务平台（航信、雄帝）与财政票据、非税收入收缴电子化系统衔接运维服务工作</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独立部署票据、非税系统日常问题处理及运维；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与财政非税、票据系统衔接运维服务；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纸质、电子票据下发、领取、确认等缴费后票据信息，与财政交互；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与（航信）出入境业务系统衔接运维服务；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出入境自助签注机（雄帝公司）衔接运维；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出入境自助签注机（航信公司）衔接运维；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银联POS机对接运维，出入境受理窗口现场刷卡移动缴费运维；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与财政统一收缴平台对接运维；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全渠道缴费、退付接口运维服务</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保障微信扫码支付挂件运维；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保障支付宝扫码支付挂件运维；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保障银联在线支付挂件运维；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缴款订单生成、分发（向各移动渠道）稳定运行；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缴款结果、账务异常处理；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已缴费成功交易，微信、支付宝、银联渠道原缴费方式退费异常处理；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支付平台、非税适配器、支付渠道三方订单信息日常维护；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收费项目及标准日常维护（增加、修改、删除、查询）；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支付平台非税、票据基础数据日常维护；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支付平台单位基础数据信息日常维护；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日常支付平台、非税适配器、支付渠道三方订单信息异常处理；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日常支付平台与支付渠道每一笔订单对账异常处理；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日常支付平台与非税适配器每一笔订单对账异常处理；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日常支付平台与非税适配器每一笔应缴信息查询实缴信息反馈异常处理；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日常支付渠道每一笔资金分账业务结果反馈支付平台异常处理；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日常收款权限管理，商户分级管理，商户身份认证配置，商户分级授权配置；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电话技术咨询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电子邮件、传真远程支持服务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网络即时通讯平台服务；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通信网络故障应急处理；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软件系统故障应急处理；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业务数据损坏应急处理；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商户管理后台运维</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协助出入境部门查询、出具已缴费或未缴费信息报表；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协助出入境，完成缴费信息日终与各渠道账务核对；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日常系统升级</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财政业务、流程改造引起的非税、票据、通缴对应升级、测试和验证，确保与财政端系统版本一致；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渠道商户与各级财政专户衔接运维服务工作</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出入境缴费，渠道商户缴费信息与财政非税电子信息匹配处理；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出入境缴费，非税、票据系统与财政缴费信息交互处理；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各渠道与财政非税出入境缴费信息，对账、清分、资金到账、非税收入日报表出具问题；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异常交易处理服务，处理交易失败、重缴等异常类交易问题；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各级财政专户收款行，出入境缴费资金流与数据流匹配问题；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涉及分账处理运维服务，包括按照清算划拨指令，对商户内收缴的非税资金，进行划转至各级财政部门财政专户、公安厅基本户的操作问题；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各级财政收款行，出入境业务缴费收入日报表问题处理；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出入境缴费信息，各级财政总账系统三方账务处理问题；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年终结转服务</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新年度数据库创建，新年度环境、配置等信息初始化；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新年度的收入科目、预算单位、收入项目等基础数据的新增；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新旧年度基础数据、业务数据向新环境迁移；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新旧年度实现统一入口查询、使用；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系统性能日常维护</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系统性能日常优化工作</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系统依赖中间件、数据库、报表性能、系统配置等优化工作。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系统硬件定期检测，保障正常运行支持工作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系统重部署及调试</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因国家规定、省级非税业务需求调整非税业务系统、衔接职能部门业务变化等进行的3-5次版本升级的工作，每年需要对非税系统进行3-5次版本升级</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依据版本内容及非税业务需求，向单位提交升级方案，并进行模拟升级、测试和验证，确保与财政端系统版本一致；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与出入境系统衔接测试工作等；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数据处理、备份</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保障数据处理、备份工作</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系统数据的定期备份，灾难恢复工作；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系统日志的定期存档管理保障工作；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98</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本地化服务</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本地化服务</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哈尔滨</w:t>
            </w:r>
            <w:r>
              <w:rPr>
                <w:rFonts w:hint="eastAsia" w:ascii="宋体" w:hAnsi="宋体" w:eastAsia="宋体" w:cs="宋体"/>
                <w:i w:val="0"/>
                <w:color w:val="000000"/>
                <w:kern w:val="0"/>
                <w:sz w:val="20"/>
                <w:szCs w:val="20"/>
                <w:u w:val="none"/>
                <w:lang w:val="en-US" w:eastAsia="zh-CN" w:bidi="ar"/>
              </w:rPr>
              <w:t>设有本地化机构进行售后服务，配置能胜任本项工作的负责人1名，日常技术维护工作的技术人员5人</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99</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培训</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培训</w:t>
            </w:r>
          </w:p>
        </w:tc>
        <w:tc>
          <w:tcPr>
            <w:tcW w:w="4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w:t>
            </w:r>
            <w:r>
              <w:rPr>
                <w:rFonts w:hint="eastAsia" w:ascii="宋体" w:hAnsi="宋体" w:cs="宋体"/>
                <w:i w:val="0"/>
                <w:color w:val="000000"/>
                <w:kern w:val="0"/>
                <w:sz w:val="20"/>
                <w:szCs w:val="20"/>
                <w:u w:val="none"/>
                <w:lang w:val="en-US" w:eastAsia="zh-CN" w:bidi="ar"/>
              </w:rPr>
              <w:t>系统使用中</w:t>
            </w:r>
            <w:r>
              <w:rPr>
                <w:rFonts w:hint="eastAsia" w:ascii="宋体" w:hAnsi="宋体" w:eastAsia="宋体" w:cs="宋体"/>
                <w:i w:val="0"/>
                <w:color w:val="000000"/>
                <w:kern w:val="0"/>
                <w:sz w:val="20"/>
                <w:szCs w:val="20"/>
                <w:u w:val="none"/>
                <w:lang w:val="en-US" w:eastAsia="zh-CN" w:bidi="ar"/>
              </w:rPr>
              <w:t>，集中收集到的使用问题，</w:t>
            </w:r>
            <w:r>
              <w:rPr>
                <w:rFonts w:hint="eastAsia" w:ascii="宋体" w:hAnsi="宋体" w:cs="宋体"/>
                <w:i w:val="0"/>
                <w:color w:val="000000"/>
                <w:kern w:val="0"/>
                <w:sz w:val="20"/>
                <w:szCs w:val="20"/>
                <w:u w:val="none"/>
                <w:lang w:val="en-US" w:eastAsia="zh-CN" w:bidi="ar"/>
              </w:rPr>
              <w:t>按实际情况由项目经理</w:t>
            </w:r>
            <w:r>
              <w:rPr>
                <w:rFonts w:hint="eastAsia" w:ascii="宋体" w:hAnsi="宋体" w:eastAsia="宋体" w:cs="宋体"/>
                <w:i w:val="0"/>
                <w:color w:val="000000"/>
                <w:kern w:val="0"/>
                <w:sz w:val="20"/>
                <w:szCs w:val="20"/>
                <w:u w:val="none"/>
                <w:lang w:val="en-US" w:eastAsia="zh-CN" w:bidi="ar"/>
              </w:rPr>
              <w:t>向使用部门</w:t>
            </w:r>
            <w:r>
              <w:rPr>
                <w:rFonts w:hint="eastAsia" w:ascii="宋体" w:hAnsi="宋体" w:cs="宋体"/>
                <w:i w:val="0"/>
                <w:color w:val="000000"/>
                <w:kern w:val="0"/>
                <w:sz w:val="20"/>
                <w:szCs w:val="20"/>
                <w:u w:val="none"/>
                <w:lang w:val="en-US" w:eastAsia="zh-CN" w:bidi="ar"/>
              </w:rPr>
              <w:t>和管理部门</w:t>
            </w:r>
            <w:r>
              <w:rPr>
                <w:rFonts w:hint="eastAsia" w:ascii="宋体" w:hAnsi="宋体" w:eastAsia="宋体" w:cs="宋体"/>
                <w:i w:val="0"/>
                <w:color w:val="000000"/>
                <w:kern w:val="0"/>
                <w:sz w:val="20"/>
                <w:szCs w:val="20"/>
                <w:u w:val="none"/>
                <w:lang w:val="en-US" w:eastAsia="zh-CN" w:bidi="ar"/>
              </w:rPr>
              <w:t>进行操作培训</w:t>
            </w:r>
            <w:r>
              <w:rPr>
                <w:rFonts w:hint="eastAsia" w:ascii="宋体" w:hAnsi="宋体" w:cs="宋体"/>
                <w:i w:val="0"/>
                <w:color w:val="000000"/>
                <w:kern w:val="0"/>
                <w:sz w:val="20"/>
                <w:szCs w:val="20"/>
                <w:u w:val="none"/>
                <w:lang w:val="en-US" w:eastAsia="zh-CN" w:bidi="ar"/>
              </w:rPr>
              <w:t>，同时配备简要操作手册。</w:t>
            </w:r>
          </w:p>
        </w:tc>
      </w:tr>
    </w:tbl>
    <w:p>
      <w:pPr>
        <w:snapToGrid w:val="0"/>
        <w:rPr>
          <w:rFonts w:hint="eastAsia"/>
          <w:sz w:val="21"/>
          <w:szCs w:val="21"/>
          <w:highlight w:val="none"/>
          <w:lang w:eastAsia="zh-CN"/>
        </w:rPr>
      </w:pPr>
    </w:p>
    <w:sectPr>
      <w:footerReference r:id="rId3" w:type="default"/>
      <w:footerReference r:id="rId4" w:type="even"/>
      <w:pgSz w:w="11907" w:h="16840"/>
      <w:pgMar w:top="2268" w:right="1418" w:bottom="1701" w:left="1701" w:header="737" w:footer="907" w:gutter="0"/>
      <w:pgBorders>
        <w:top w:val="none" w:sz="0" w:space="0"/>
        <w:left w:val="none" w:sz="0" w:space="0"/>
        <w:bottom w:val="none" w:sz="0" w:space="0"/>
        <w:right w:val="none" w:sz="0" w:space="0"/>
      </w:pgBorders>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82" w:wrap="around" w:vAnchor="text" w:hAnchor="margin" w:xAlign="center" w:y="-5"/>
      <w:rPr>
        <w:rStyle w:val="7"/>
        <w:sz w:val="24"/>
        <w:szCs w:val="24"/>
      </w:rPr>
    </w:pPr>
    <w:r>
      <w:rPr>
        <w:rStyle w:val="7"/>
        <w:rFonts w:hint="eastAsia"/>
        <w:sz w:val="24"/>
        <w:szCs w:val="24"/>
      </w:rPr>
      <w:t>—</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5</w:t>
    </w:r>
    <w:r>
      <w:rPr>
        <w:sz w:val="24"/>
        <w:szCs w:val="24"/>
      </w:rPr>
      <w:fldChar w:fldCharType="end"/>
    </w:r>
    <w:r>
      <w:rPr>
        <w:rStyle w:val="7"/>
        <w:rFonts w:hint="eastAsia"/>
        <w:sz w:val="24"/>
        <w:szCs w:val="24"/>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02"/>
    <w:rsid w:val="00083B3B"/>
    <w:rsid w:val="000C0F45"/>
    <w:rsid w:val="000D6018"/>
    <w:rsid w:val="000F0D96"/>
    <w:rsid w:val="000F22C5"/>
    <w:rsid w:val="00107DE5"/>
    <w:rsid w:val="00125206"/>
    <w:rsid w:val="00133C7D"/>
    <w:rsid w:val="00186711"/>
    <w:rsid w:val="00190113"/>
    <w:rsid w:val="001C0D66"/>
    <w:rsid w:val="001C436F"/>
    <w:rsid w:val="002018D6"/>
    <w:rsid w:val="00222189"/>
    <w:rsid w:val="0023492D"/>
    <w:rsid w:val="00260F9A"/>
    <w:rsid w:val="002726D3"/>
    <w:rsid w:val="00285EF2"/>
    <w:rsid w:val="002A3DFF"/>
    <w:rsid w:val="002B071A"/>
    <w:rsid w:val="002C6703"/>
    <w:rsid w:val="002C7EC1"/>
    <w:rsid w:val="002D1F24"/>
    <w:rsid w:val="002E115C"/>
    <w:rsid w:val="002E4A08"/>
    <w:rsid w:val="0033167E"/>
    <w:rsid w:val="00345C53"/>
    <w:rsid w:val="00353F02"/>
    <w:rsid w:val="003939A8"/>
    <w:rsid w:val="003B0896"/>
    <w:rsid w:val="003C0C81"/>
    <w:rsid w:val="003C24CA"/>
    <w:rsid w:val="003C3F34"/>
    <w:rsid w:val="003F47B0"/>
    <w:rsid w:val="0040086B"/>
    <w:rsid w:val="0040300F"/>
    <w:rsid w:val="00413F54"/>
    <w:rsid w:val="00430DD1"/>
    <w:rsid w:val="004427AC"/>
    <w:rsid w:val="00445821"/>
    <w:rsid w:val="004A07EB"/>
    <w:rsid w:val="004A61AA"/>
    <w:rsid w:val="004D4DA4"/>
    <w:rsid w:val="005167C4"/>
    <w:rsid w:val="005411D9"/>
    <w:rsid w:val="00550B2B"/>
    <w:rsid w:val="00556233"/>
    <w:rsid w:val="00565D45"/>
    <w:rsid w:val="005664F0"/>
    <w:rsid w:val="00585773"/>
    <w:rsid w:val="005A7551"/>
    <w:rsid w:val="005D005E"/>
    <w:rsid w:val="00613DDC"/>
    <w:rsid w:val="006542FB"/>
    <w:rsid w:val="0065446F"/>
    <w:rsid w:val="006626FA"/>
    <w:rsid w:val="00673996"/>
    <w:rsid w:val="00675C3D"/>
    <w:rsid w:val="00686A5D"/>
    <w:rsid w:val="006D28C4"/>
    <w:rsid w:val="007521BF"/>
    <w:rsid w:val="00754E0F"/>
    <w:rsid w:val="00790339"/>
    <w:rsid w:val="00793B1D"/>
    <w:rsid w:val="007D3BE8"/>
    <w:rsid w:val="007E6241"/>
    <w:rsid w:val="008056CC"/>
    <w:rsid w:val="00806CF7"/>
    <w:rsid w:val="00815CD0"/>
    <w:rsid w:val="008335F1"/>
    <w:rsid w:val="008450D6"/>
    <w:rsid w:val="00862EA4"/>
    <w:rsid w:val="0086548A"/>
    <w:rsid w:val="00866CA8"/>
    <w:rsid w:val="00867FC7"/>
    <w:rsid w:val="008A4D6B"/>
    <w:rsid w:val="008B0049"/>
    <w:rsid w:val="0090070C"/>
    <w:rsid w:val="00962860"/>
    <w:rsid w:val="009943A9"/>
    <w:rsid w:val="009B19C8"/>
    <w:rsid w:val="009B5D9B"/>
    <w:rsid w:val="009C5CB9"/>
    <w:rsid w:val="009D6319"/>
    <w:rsid w:val="009E38F5"/>
    <w:rsid w:val="009F2073"/>
    <w:rsid w:val="00A01842"/>
    <w:rsid w:val="00A03FD5"/>
    <w:rsid w:val="00A35914"/>
    <w:rsid w:val="00A458D6"/>
    <w:rsid w:val="00A51467"/>
    <w:rsid w:val="00A724CA"/>
    <w:rsid w:val="00A837FF"/>
    <w:rsid w:val="00AC713F"/>
    <w:rsid w:val="00B005A6"/>
    <w:rsid w:val="00B030CD"/>
    <w:rsid w:val="00B06F25"/>
    <w:rsid w:val="00B35315"/>
    <w:rsid w:val="00B51E1E"/>
    <w:rsid w:val="00B65F8F"/>
    <w:rsid w:val="00B70BFB"/>
    <w:rsid w:val="00B9154D"/>
    <w:rsid w:val="00B9352B"/>
    <w:rsid w:val="00BD091B"/>
    <w:rsid w:val="00BD12ED"/>
    <w:rsid w:val="00BD79D2"/>
    <w:rsid w:val="00C23C6E"/>
    <w:rsid w:val="00C35EF9"/>
    <w:rsid w:val="00C428A8"/>
    <w:rsid w:val="00C55DE1"/>
    <w:rsid w:val="00C76DB4"/>
    <w:rsid w:val="00C85D13"/>
    <w:rsid w:val="00C93CD8"/>
    <w:rsid w:val="00CA2EB2"/>
    <w:rsid w:val="00D530E7"/>
    <w:rsid w:val="00D6176F"/>
    <w:rsid w:val="00D64D6B"/>
    <w:rsid w:val="00E063F5"/>
    <w:rsid w:val="00E1373F"/>
    <w:rsid w:val="00E517AF"/>
    <w:rsid w:val="00E6022F"/>
    <w:rsid w:val="00EB428D"/>
    <w:rsid w:val="00ED1144"/>
    <w:rsid w:val="00F03CE8"/>
    <w:rsid w:val="00F31179"/>
    <w:rsid w:val="00F52910"/>
    <w:rsid w:val="00F557B2"/>
    <w:rsid w:val="00F661A7"/>
    <w:rsid w:val="00F943FA"/>
    <w:rsid w:val="00FE79B2"/>
    <w:rsid w:val="00FF321C"/>
    <w:rsid w:val="00FF3DD7"/>
    <w:rsid w:val="01CF3F44"/>
    <w:rsid w:val="046C02A3"/>
    <w:rsid w:val="05C55842"/>
    <w:rsid w:val="0FE90518"/>
    <w:rsid w:val="101832A3"/>
    <w:rsid w:val="1063251C"/>
    <w:rsid w:val="121E62E8"/>
    <w:rsid w:val="126F79AD"/>
    <w:rsid w:val="177F2EF6"/>
    <w:rsid w:val="19EA5D55"/>
    <w:rsid w:val="1C2A1FDA"/>
    <w:rsid w:val="1F8009E4"/>
    <w:rsid w:val="22350C23"/>
    <w:rsid w:val="226D3C33"/>
    <w:rsid w:val="25355D17"/>
    <w:rsid w:val="27BB013C"/>
    <w:rsid w:val="28E61E2C"/>
    <w:rsid w:val="290A4A78"/>
    <w:rsid w:val="2F0121E9"/>
    <w:rsid w:val="2FCE2CA3"/>
    <w:rsid w:val="30505723"/>
    <w:rsid w:val="325A144C"/>
    <w:rsid w:val="331D3BA8"/>
    <w:rsid w:val="3B777997"/>
    <w:rsid w:val="3C6828FC"/>
    <w:rsid w:val="3E28047A"/>
    <w:rsid w:val="40047728"/>
    <w:rsid w:val="418072E7"/>
    <w:rsid w:val="41B34CE8"/>
    <w:rsid w:val="4250230A"/>
    <w:rsid w:val="43970CA5"/>
    <w:rsid w:val="446A6590"/>
    <w:rsid w:val="451E3A47"/>
    <w:rsid w:val="4C1E153E"/>
    <w:rsid w:val="4F1F79D1"/>
    <w:rsid w:val="5107766C"/>
    <w:rsid w:val="51386910"/>
    <w:rsid w:val="53361BB6"/>
    <w:rsid w:val="551800AB"/>
    <w:rsid w:val="55FF464F"/>
    <w:rsid w:val="5C317AD8"/>
    <w:rsid w:val="63DF6D84"/>
    <w:rsid w:val="657113A7"/>
    <w:rsid w:val="68571F0A"/>
    <w:rsid w:val="6BE76EE7"/>
    <w:rsid w:val="6BE82A2B"/>
    <w:rsid w:val="6DB90B64"/>
    <w:rsid w:val="6FF3325D"/>
    <w:rsid w:val="71FC3A2A"/>
    <w:rsid w:val="7A7E219D"/>
    <w:rsid w:val="7BD9071D"/>
    <w:rsid w:val="7D405FAF"/>
    <w:rsid w:val="7EE7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Table Paragraph"/>
    <w:basedOn w:val="1"/>
    <w:qFormat/>
    <w:uiPriority w:val="1"/>
    <w:pPr>
      <w:overflowPunct/>
      <w:autoSpaceDE w:val="0"/>
      <w:autoSpaceDN w:val="0"/>
      <w:adjustRightInd/>
      <w:snapToGrid/>
      <w:spacing w:before="0" w:beforeLines="0" w:after="0" w:afterLines="0" w:line="240" w:lineRule="auto"/>
      <w:ind w:firstLine="0" w:firstLineChars="0"/>
      <w:jc w:val="left"/>
    </w:pPr>
    <w:rPr>
      <w:rFonts w:ascii="宋体" w:hAnsi="宋体" w:eastAsia="宋体" w:cs="宋体"/>
      <w:kern w:val="0"/>
      <w:sz w:val="22"/>
      <w:lang w:val="zh-CN" w:bidi="zh-CN"/>
    </w:rPr>
  </w:style>
  <w:style w:type="table" w:customStyle="1" w:styleId="9">
    <w:name w:val="Table Normal"/>
    <w:unhideWhenUsed/>
    <w:qFormat/>
    <w:uiPriority w:val="2"/>
    <w:pPr>
      <w:widowControl w:val="0"/>
      <w:autoSpaceDE w:val="0"/>
      <w:autoSpaceDN w:val="0"/>
      <w:spacing w:line="240" w:lineRule="auto"/>
    </w:pPr>
    <w:rPr>
      <w:rFonts w:asciiTheme="minorHAnsi" w:hAnsiTheme="minorHAnsi" w:eastAsiaTheme="minorEastAsia"/>
      <w:kern w:val="0"/>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B4A8B-81FA-4A29-AACC-F54F211EBEC0}">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5518</Words>
  <Characters>5778</Characters>
  <Lines>31</Lines>
  <Paragraphs>8</Paragraphs>
  <TotalTime>1</TotalTime>
  <ScaleCrop>false</ScaleCrop>
  <LinksUpToDate>false</LinksUpToDate>
  <CharactersWithSpaces>6043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2018-11-14T06:27:00Z</dcterms:created>
  <dc:creator>鄢长勇</dc:creator>
  <cp:lastModifiedBy>风雨兼程</cp:lastModifiedBy>
  <cp:lastPrinted>2018-04-24T07:31:00Z</cp:lastPrinted>
  <dcterms:modified xsi:type="dcterms:W3CDTF">2022-04-14T07:13:55Z</dcterms:modified>
  <dc:title>黑龙江省财政厅文件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0A4A8AEDE8904A20AEF6846F5CE256D0</vt:lpwstr>
  </property>
</Properties>
</file>