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right"/>
        <w:rPr>
          <w:rFonts w:hint="eastAsia" w:ascii="宋体" w:hAnsi="宋体"/>
          <w:sz w:val="24"/>
        </w:rPr>
      </w:pPr>
      <w:r>
        <w:rPr>
          <w:rFonts w:ascii="宋体" w:hAnsi="宋体"/>
          <w:sz w:val="24"/>
        </w:rPr>
        <w:t xml:space="preserve"> </w:t>
      </w:r>
    </w:p>
    <w:p>
      <w:pPr>
        <w:rPr>
          <w:rFonts w:ascii="宋体" w:hAnsi="宋体"/>
        </w:rPr>
      </w:pPr>
      <w:r>
        <w:rPr>
          <w:rFonts w:ascii="宋体" w:hAnsi="宋体"/>
        </w:rPr>
        <w:t xml:space="preserve"> </w:t>
      </w:r>
    </w:p>
    <w:p>
      <w:pPr>
        <w:rPr>
          <w:rFonts w:ascii="宋体" w:hAnsi="宋体"/>
        </w:rPr>
      </w:pPr>
      <w:r>
        <w:rPr>
          <w:rFonts w:ascii="宋体" w:hAnsi="宋体"/>
        </w:rPr>
        <w:t xml:space="preserve">                   </w:t>
      </w:r>
    </w:p>
    <w:p>
      <w:pPr>
        <w:rPr>
          <w:rFonts w:ascii="宋体" w:hAnsi="宋体"/>
        </w:rPr>
      </w:pPr>
      <w:r>
        <w:rPr>
          <w:rFonts w:ascii="宋体" w:hAnsi="宋体"/>
        </w:rPr>
        <w:t xml:space="preserve">                  </w:t>
      </w:r>
    </w:p>
    <w:p>
      <w:pPr>
        <w:rPr>
          <w:rFonts w:ascii="宋体" w:hAnsi="宋体"/>
        </w:rPr>
      </w:pPr>
    </w:p>
    <w:p>
      <w:pPr>
        <w:pStyle w:val="4"/>
        <w:jc w:val="center"/>
        <w:rPr>
          <w:rFonts w:hint="eastAsia"/>
          <w:sz w:val="96"/>
          <w:szCs w:val="44"/>
        </w:rPr>
      </w:pPr>
      <w:r>
        <w:rPr>
          <w:sz w:val="96"/>
          <w:szCs w:val="44"/>
        </w:rPr>
        <w:t>技</w:t>
      </w:r>
      <w:r>
        <w:rPr>
          <w:rFonts w:hint="eastAsia"/>
          <w:sz w:val="96"/>
          <w:szCs w:val="44"/>
        </w:rPr>
        <w:t xml:space="preserve"> </w:t>
      </w:r>
      <w:r>
        <w:rPr>
          <w:sz w:val="96"/>
          <w:szCs w:val="44"/>
        </w:rPr>
        <w:t>术</w:t>
      </w:r>
      <w:r>
        <w:rPr>
          <w:rFonts w:hint="eastAsia"/>
          <w:sz w:val="96"/>
          <w:szCs w:val="44"/>
        </w:rPr>
        <w:t xml:space="preserve"> </w:t>
      </w:r>
      <w:r>
        <w:rPr>
          <w:sz w:val="96"/>
          <w:szCs w:val="44"/>
        </w:rPr>
        <w:t>服</w:t>
      </w:r>
      <w:r>
        <w:rPr>
          <w:rFonts w:hint="eastAsia"/>
          <w:sz w:val="96"/>
          <w:szCs w:val="44"/>
        </w:rPr>
        <w:t xml:space="preserve"> </w:t>
      </w:r>
      <w:r>
        <w:rPr>
          <w:sz w:val="96"/>
          <w:szCs w:val="44"/>
        </w:rPr>
        <w:t>务</w:t>
      </w:r>
      <w:r>
        <w:rPr>
          <w:rFonts w:hint="eastAsia"/>
          <w:sz w:val="96"/>
          <w:szCs w:val="44"/>
        </w:rPr>
        <w:t xml:space="preserve"> 合 同</w:t>
      </w:r>
    </w:p>
    <w:p>
      <w:pPr>
        <w:tabs>
          <w:tab w:val="left" w:pos="7350"/>
        </w:tabs>
        <w:spacing w:line="540" w:lineRule="auto"/>
        <w:ind w:firstLine="540" w:firstLineChars="168"/>
        <w:rPr>
          <w:rFonts w:hint="eastAsia" w:ascii="宋体" w:hAnsi="宋体"/>
          <w:b/>
          <w:sz w:val="32"/>
        </w:rPr>
      </w:pPr>
    </w:p>
    <w:p>
      <w:pPr>
        <w:tabs>
          <w:tab w:val="left" w:pos="7350"/>
        </w:tabs>
        <w:spacing w:line="540" w:lineRule="auto"/>
        <w:ind w:left="2104" w:leftChars="257" w:hanging="1564" w:hangingChars="487"/>
        <w:jc w:val="center"/>
        <w:rPr>
          <w:rFonts w:hint="eastAsia" w:ascii="宋体" w:hAnsi="宋体" w:eastAsia="宋体"/>
          <w:sz w:val="32"/>
          <w:lang w:eastAsia="zh-CN"/>
        </w:rPr>
      </w:pPr>
      <w:r>
        <w:rPr>
          <w:rFonts w:ascii="宋体" w:hAnsi="宋体"/>
          <w:b/>
          <w:sz w:val="32"/>
        </w:rPr>
        <w:t>项目名称：</w:t>
      </w:r>
      <w:r>
        <w:rPr>
          <w:rFonts w:hint="eastAsia" w:ascii="宋体" w:hAnsi="宋体"/>
          <w:sz w:val="32"/>
        </w:rPr>
        <w:t>国家致病菌识别网分子分型、耐药检测、全基因组测序</w:t>
      </w:r>
    </w:p>
    <w:p>
      <w:pPr>
        <w:tabs>
          <w:tab w:val="left" w:pos="7350"/>
        </w:tabs>
        <w:spacing w:line="540" w:lineRule="auto"/>
        <w:ind w:firstLine="537" w:firstLineChars="168"/>
        <w:rPr>
          <w:rFonts w:hint="eastAsia" w:ascii="宋体" w:hAnsi="宋体"/>
          <w:sz w:val="32"/>
        </w:rPr>
      </w:pPr>
    </w:p>
    <w:p>
      <w:pPr>
        <w:tabs>
          <w:tab w:val="left" w:pos="7350"/>
        </w:tabs>
        <w:spacing w:line="540" w:lineRule="auto"/>
        <w:ind w:firstLine="540" w:firstLineChars="168"/>
        <w:rPr>
          <w:rFonts w:hint="eastAsia" w:ascii="宋体" w:hAnsi="宋体"/>
          <w:sz w:val="32"/>
        </w:rPr>
      </w:pPr>
      <w:r>
        <w:rPr>
          <w:rFonts w:ascii="宋体" w:hAnsi="宋体"/>
          <w:b/>
          <w:sz w:val="32"/>
        </w:rPr>
        <w:t>委托人（甲方）：</w:t>
      </w:r>
      <w:r>
        <w:rPr>
          <w:rFonts w:hint="eastAsia" w:ascii="宋体" w:hAnsi="宋体"/>
          <w:sz w:val="32"/>
        </w:rPr>
        <w:t xml:space="preserve"> </w:t>
      </w:r>
      <w:r>
        <w:rPr>
          <w:rFonts w:hint="eastAsia" w:ascii="宋体" w:hAnsi="宋体"/>
          <w:sz w:val="32"/>
          <w:lang w:val="en-US" w:eastAsia="zh-CN"/>
        </w:rPr>
        <w:t>牡丹江</w:t>
      </w:r>
      <w:r>
        <w:rPr>
          <w:rFonts w:hint="eastAsia" w:ascii="宋体" w:hAnsi="宋体"/>
          <w:sz w:val="32"/>
        </w:rPr>
        <w:t>市疾病预防控制中心</w:t>
      </w:r>
    </w:p>
    <w:p>
      <w:pPr>
        <w:tabs>
          <w:tab w:val="left" w:pos="7350"/>
        </w:tabs>
        <w:spacing w:line="540" w:lineRule="auto"/>
        <w:ind w:firstLine="540" w:firstLineChars="168"/>
        <w:rPr>
          <w:rFonts w:hint="eastAsia" w:ascii="宋体" w:hAnsi="宋体" w:cs="Arial"/>
          <w:sz w:val="24"/>
        </w:rPr>
      </w:pPr>
      <w:r>
        <w:rPr>
          <w:rFonts w:hint="eastAsia" w:ascii="宋体" w:hAnsi="宋体"/>
          <w:b/>
          <w:sz w:val="32"/>
        </w:rPr>
        <w:t>受托方</w:t>
      </w:r>
      <w:r>
        <w:rPr>
          <w:rFonts w:ascii="宋体" w:hAnsi="宋体"/>
          <w:b/>
          <w:sz w:val="32"/>
        </w:rPr>
        <w:t>（乙方）：</w:t>
      </w:r>
      <w:r>
        <w:rPr>
          <w:rFonts w:hint="eastAsia" w:ascii="宋体" w:hAnsi="宋体"/>
          <w:sz w:val="32"/>
        </w:rPr>
        <w:t>哈尔滨星云医学检验所有限公司</w:t>
      </w:r>
    </w:p>
    <w:p>
      <w:pPr>
        <w:spacing w:before="312" w:beforeLines="100" w:line="440" w:lineRule="exact"/>
        <w:ind w:firstLine="840" w:firstLineChars="350"/>
        <w:rPr>
          <w:rFonts w:hint="eastAsia" w:ascii="宋体" w:hAnsi="宋体" w:cs="Arial"/>
          <w:sz w:val="24"/>
        </w:rPr>
      </w:pPr>
    </w:p>
    <w:p>
      <w:pPr>
        <w:spacing w:before="312" w:beforeLines="100" w:line="440" w:lineRule="exact"/>
        <w:ind w:firstLine="840" w:firstLineChars="350"/>
        <w:rPr>
          <w:rFonts w:hint="eastAsia" w:ascii="宋体" w:hAnsi="宋体" w:cs="Arial"/>
          <w:sz w:val="24"/>
        </w:rPr>
      </w:pPr>
    </w:p>
    <w:p>
      <w:pPr>
        <w:spacing w:before="312" w:beforeLines="100" w:line="440" w:lineRule="exact"/>
        <w:ind w:firstLine="840" w:firstLineChars="350"/>
        <w:rPr>
          <w:rFonts w:hint="eastAsia" w:ascii="宋体" w:hAnsi="宋体" w:cs="Arial"/>
          <w:sz w:val="24"/>
        </w:rPr>
      </w:pPr>
    </w:p>
    <w:p>
      <w:pPr>
        <w:ind w:firstLine="540" w:firstLineChars="168"/>
        <w:jc w:val="center"/>
        <w:rPr>
          <w:rFonts w:ascii="宋体" w:hAnsi="宋体"/>
          <w:b/>
          <w:sz w:val="32"/>
        </w:rPr>
      </w:pPr>
    </w:p>
    <w:p>
      <w:pPr>
        <w:ind w:firstLine="540" w:firstLineChars="168"/>
        <w:jc w:val="center"/>
        <w:rPr>
          <w:rFonts w:ascii="宋体" w:hAnsi="宋体"/>
          <w:b/>
          <w:sz w:val="32"/>
        </w:rPr>
      </w:pPr>
    </w:p>
    <w:p>
      <w:pPr>
        <w:ind w:firstLine="540" w:firstLineChars="168"/>
        <w:jc w:val="center"/>
        <w:rPr>
          <w:rFonts w:ascii="宋体" w:hAnsi="宋体"/>
          <w:b/>
          <w:sz w:val="32"/>
        </w:rPr>
      </w:pPr>
    </w:p>
    <w:p>
      <w:pPr>
        <w:ind w:firstLine="540" w:firstLineChars="168"/>
        <w:jc w:val="center"/>
        <w:rPr>
          <w:rFonts w:ascii="宋体" w:hAnsi="宋体"/>
          <w:b/>
          <w:sz w:val="32"/>
        </w:rPr>
      </w:pPr>
    </w:p>
    <w:p>
      <w:pPr>
        <w:ind w:firstLine="540" w:firstLineChars="168"/>
        <w:jc w:val="center"/>
        <w:rPr>
          <w:rFonts w:hint="eastAsia" w:ascii="宋体" w:hAnsi="宋体"/>
          <w:b/>
          <w:sz w:val="32"/>
        </w:rPr>
      </w:pPr>
      <w:r>
        <w:rPr>
          <w:rFonts w:ascii="宋体" w:hAnsi="宋体"/>
          <w:b/>
          <w:sz w:val="32"/>
        </w:rPr>
        <w:t>签订地点：</w:t>
      </w:r>
      <w:r>
        <w:rPr>
          <w:rFonts w:hint="eastAsia" w:ascii="宋体" w:hAnsi="宋体"/>
          <w:b/>
          <w:sz w:val="32"/>
        </w:rPr>
        <w:t xml:space="preserve"> </w:t>
      </w:r>
      <w:r>
        <w:rPr>
          <w:rFonts w:hint="eastAsia" w:ascii="宋体" w:hAnsi="宋体"/>
          <w:b/>
          <w:sz w:val="32"/>
          <w:lang w:val="en-US" w:eastAsia="zh-CN"/>
        </w:rPr>
        <w:t>牡丹江</w:t>
      </w:r>
      <w:r>
        <w:rPr>
          <w:rFonts w:hint="eastAsia" w:ascii="宋体" w:hAnsi="宋体"/>
          <w:b/>
          <w:sz w:val="32"/>
        </w:rPr>
        <w:t>市</w:t>
      </w:r>
    </w:p>
    <w:p>
      <w:pPr>
        <w:spacing w:before="156" w:beforeLines="50" w:line="440" w:lineRule="exact"/>
        <w:ind w:firstLine="565" w:firstLineChars="176"/>
        <w:rPr>
          <w:rFonts w:ascii="宋体" w:hAnsi="宋体" w:cs="Arial"/>
          <w:sz w:val="24"/>
        </w:rPr>
      </w:pPr>
      <w:r>
        <w:rPr>
          <w:rFonts w:ascii="宋体" w:hAnsi="宋体"/>
          <w:b/>
          <w:sz w:val="32"/>
        </w:rPr>
        <w:br w:type="page"/>
      </w:r>
      <w:r>
        <w:rPr>
          <w:rFonts w:hint="eastAsia" w:ascii="宋体" w:hAnsi="宋体" w:cs="Arial"/>
          <w:sz w:val="24"/>
        </w:rPr>
        <w:t>为更好的贯彻落实《关于黑龙江省国家致病菌识别网监测能力建设方案（试行）》通知内容，切实为本省细菌性传染病病原学检测提供服务，保证数据安全和生物安全。经双方友好协商，</w:t>
      </w:r>
      <w:r>
        <w:rPr>
          <w:rFonts w:ascii="宋体" w:hAnsi="宋体" w:cs="Arial"/>
          <w:sz w:val="24"/>
        </w:rPr>
        <w:t>就</w:t>
      </w:r>
      <w:r>
        <w:rPr>
          <w:rFonts w:hint="eastAsia" w:ascii="宋体" w:hAnsi="宋体" w:cs="Arial"/>
          <w:sz w:val="24"/>
        </w:rPr>
        <w:t>乙</w:t>
      </w:r>
      <w:r>
        <w:rPr>
          <w:rFonts w:ascii="宋体" w:hAnsi="宋体" w:cs="Arial"/>
          <w:sz w:val="24"/>
        </w:rPr>
        <w:t>方</w:t>
      </w:r>
      <w:r>
        <w:rPr>
          <w:rFonts w:hint="eastAsia" w:ascii="宋体" w:hAnsi="宋体" w:cs="Arial"/>
          <w:sz w:val="24"/>
        </w:rPr>
        <w:t>按照《国家致病菌识别网实验室技术手册》要求对病原菌的分子分型、药敏检测以及全基因组测序分析，</w:t>
      </w:r>
      <w:r>
        <w:rPr>
          <w:rFonts w:ascii="宋体" w:hAnsi="宋体" w:cs="Arial"/>
          <w:sz w:val="24"/>
        </w:rPr>
        <w:t>向</w:t>
      </w:r>
      <w:r>
        <w:rPr>
          <w:rFonts w:hint="eastAsia" w:ascii="宋体" w:hAnsi="宋体" w:cs="Arial"/>
          <w:sz w:val="24"/>
        </w:rPr>
        <w:t>甲</w:t>
      </w:r>
      <w:r>
        <w:rPr>
          <w:rFonts w:ascii="宋体" w:hAnsi="宋体" w:cs="Arial"/>
          <w:sz w:val="24"/>
        </w:rPr>
        <w:t>方提供</w:t>
      </w:r>
      <w:r>
        <w:rPr>
          <w:rFonts w:hint="eastAsia" w:ascii="宋体" w:hAnsi="宋体" w:cs="Arial"/>
          <w:sz w:val="24"/>
        </w:rPr>
        <w:t>检测</w:t>
      </w:r>
      <w:r>
        <w:rPr>
          <w:rFonts w:ascii="宋体" w:hAnsi="宋体" w:cs="Arial"/>
          <w:sz w:val="24"/>
        </w:rPr>
        <w:t>服务并收取报酬事宜，达成如下协议，由双方共同恪守。</w:t>
      </w:r>
    </w:p>
    <w:p>
      <w:pPr>
        <w:spacing w:before="156" w:beforeLines="50" w:line="440" w:lineRule="exact"/>
        <w:rPr>
          <w:rFonts w:hint="eastAsia" w:ascii="宋体" w:hAnsi="宋体" w:eastAsia="宋体" w:cs="Arial"/>
          <w:b/>
          <w:sz w:val="24"/>
          <w:lang w:eastAsia="zh-CN"/>
        </w:rPr>
      </w:pPr>
      <w:r>
        <w:rPr>
          <w:rFonts w:ascii="宋体" w:hAnsi="宋体" w:cs="Arial"/>
          <w:b/>
          <w:sz w:val="24"/>
        </w:rPr>
        <w:t>一、</w:t>
      </w:r>
      <w:r>
        <w:rPr>
          <w:rFonts w:hint="eastAsia" w:ascii="宋体" w:hAnsi="宋体" w:cs="Arial"/>
          <w:b/>
          <w:sz w:val="24"/>
        </w:rPr>
        <w:t>技术服务名称：国家致病菌识别网分子分型、耐药检测、全基因组测序</w:t>
      </w:r>
    </w:p>
    <w:p>
      <w:pPr>
        <w:numPr>
          <w:ilvl w:val="0"/>
          <w:numId w:val="1"/>
        </w:numPr>
        <w:spacing w:before="156" w:beforeLines="50" w:line="440" w:lineRule="exact"/>
        <w:rPr>
          <w:rFonts w:ascii="宋体" w:hAnsi="宋体" w:cs="Arial"/>
          <w:bCs/>
          <w:sz w:val="24"/>
        </w:rPr>
      </w:pPr>
      <w:r>
        <w:rPr>
          <w:rFonts w:hint="eastAsia" w:ascii="宋体" w:hAnsi="宋体" w:cs="Arial"/>
          <w:bCs/>
          <w:sz w:val="24"/>
        </w:rPr>
        <w:t>病原菌分子分型</w:t>
      </w:r>
    </w:p>
    <w:p>
      <w:pPr>
        <w:numPr>
          <w:ilvl w:val="0"/>
          <w:numId w:val="2"/>
        </w:numPr>
        <w:spacing w:before="156" w:beforeLines="50" w:line="440" w:lineRule="exact"/>
        <w:ind w:firstLine="480" w:firstLineChars="200"/>
        <w:rPr>
          <w:rFonts w:hint="eastAsia" w:ascii="宋体" w:hAnsi="宋体" w:cs="Arial"/>
          <w:sz w:val="24"/>
        </w:rPr>
      </w:pPr>
      <w:r>
        <w:rPr>
          <w:rFonts w:hint="eastAsia" w:ascii="宋体" w:hAnsi="宋体" w:cs="Arial"/>
          <w:sz w:val="24"/>
        </w:rPr>
        <w:t>采用脉冲场凝胶电泳；</w:t>
      </w:r>
    </w:p>
    <w:p>
      <w:pPr>
        <w:numPr>
          <w:ilvl w:val="0"/>
          <w:numId w:val="2"/>
        </w:numPr>
        <w:spacing w:before="156" w:beforeLines="50" w:line="440" w:lineRule="exact"/>
        <w:ind w:firstLine="480" w:firstLineChars="200"/>
        <w:rPr>
          <w:rFonts w:hint="eastAsia" w:ascii="宋体" w:hAnsi="宋体" w:cs="Arial"/>
          <w:sz w:val="24"/>
        </w:rPr>
      </w:pPr>
      <w:r>
        <w:rPr>
          <w:rFonts w:hint="eastAsia" w:ascii="宋体" w:hAnsi="宋体" w:cs="Arial"/>
          <w:sz w:val="24"/>
          <w:lang w:val="en-US" w:eastAsia="zh-CN"/>
        </w:rPr>
        <w:t>MLST</w:t>
      </w:r>
      <w:r>
        <w:rPr>
          <w:rFonts w:hint="eastAsia" w:ascii="宋体" w:hAnsi="宋体" w:cs="Arial"/>
          <w:sz w:val="24"/>
        </w:rPr>
        <w:t>分型操作</w:t>
      </w:r>
      <w:r>
        <w:rPr>
          <w:rFonts w:hint="eastAsia" w:ascii="宋体" w:hAnsi="宋体" w:cs="Arial"/>
          <w:sz w:val="24"/>
          <w:lang w:eastAsia="zh-CN"/>
        </w:rPr>
        <w:t>；</w:t>
      </w:r>
    </w:p>
    <w:p>
      <w:pPr>
        <w:numPr>
          <w:ilvl w:val="0"/>
          <w:numId w:val="2"/>
        </w:numPr>
        <w:spacing w:before="156" w:beforeLines="50" w:line="440" w:lineRule="exact"/>
        <w:ind w:firstLine="480" w:firstLineChars="200"/>
        <w:rPr>
          <w:rFonts w:hint="eastAsia" w:ascii="宋体" w:hAnsi="宋体" w:cs="Arial"/>
          <w:sz w:val="24"/>
        </w:rPr>
      </w:pPr>
      <w:r>
        <w:rPr>
          <w:rFonts w:hint="eastAsia" w:ascii="宋体" w:hAnsi="宋体" w:cs="Arial"/>
          <w:sz w:val="24"/>
        </w:rPr>
        <w:t>MLVA分型操作。</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纹图谱数据要求：图谱大小最佳300kb左右，TIFF格式图片；图谱质量：泳道要值，条带要清晰；图片参数：灰度为8bit。</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MLVA根据成像DNA的大小,确定每一个可变数目串联重复特异位点的重复单元重复次数,再用Bio Numerics进行聚类分析,确定基因分型。</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MLST是一种基于核酸序列测定的细菌分型方法。这种方法通过PCR扩增多个管家基因内部片段并测定其序列，分析菌株的变异。</w:t>
      </w:r>
    </w:p>
    <w:p>
      <w:pPr>
        <w:numPr>
          <w:ilvl w:val="0"/>
          <w:numId w:val="1"/>
        </w:numPr>
        <w:spacing w:before="156" w:beforeLines="50" w:line="440" w:lineRule="exact"/>
        <w:rPr>
          <w:rFonts w:hint="eastAsia" w:ascii="宋体" w:hAnsi="宋体" w:cs="Arial"/>
          <w:b/>
          <w:sz w:val="24"/>
        </w:rPr>
      </w:pPr>
      <w:r>
        <w:rPr>
          <w:rFonts w:hint="eastAsia" w:ascii="宋体" w:hAnsi="宋体" w:cs="宋体"/>
          <w:kern w:val="0"/>
          <w:sz w:val="24"/>
        </w:rPr>
        <w:t>病原菌全基因组测序</w:t>
      </w:r>
    </w:p>
    <w:p>
      <w:pPr>
        <w:spacing w:before="156" w:beforeLines="50" w:line="440" w:lineRule="exact"/>
        <w:ind w:firstLine="480" w:firstLineChars="200"/>
        <w:rPr>
          <w:rFonts w:hint="eastAsia" w:ascii="宋体" w:hAnsi="宋体" w:cs="Arial"/>
          <w:sz w:val="24"/>
        </w:rPr>
      </w:pPr>
      <w:r>
        <w:rPr>
          <w:rFonts w:hint="eastAsia" w:ascii="宋体" w:hAnsi="宋体" w:cs="Arial"/>
          <w:sz w:val="24"/>
        </w:rPr>
        <w:t xml:space="preserve">使用国产二代NGS测序仪进行病原菌全基因组测序，并按照要求绘制病原菌基因组框架图。 </w:t>
      </w:r>
    </w:p>
    <w:p>
      <w:pPr>
        <w:spacing w:before="156" w:beforeLines="50" w:line="440" w:lineRule="exact"/>
        <w:ind w:firstLine="480" w:firstLineChars="200"/>
        <w:rPr>
          <w:rFonts w:hint="eastAsia"/>
        </w:rPr>
      </w:pPr>
      <w:r>
        <w:rPr>
          <w:rFonts w:hint="eastAsia" w:ascii="宋体" w:hAnsi="宋体" w:cs="Arial"/>
          <w:sz w:val="24"/>
          <w:lang w:val="en-US" w:eastAsia="zh-CN"/>
        </w:rPr>
        <w:t>具体质控要求：- Reads 长度大于100；- Q30&gt;=85%；- 数据量≥1Gb。</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病原菌全基因组测序的研究策略主要分为DNA的提取、建库、测序。</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核酸提取操作需符合试剂盒说明书的要求，提取后应进行质量测定，核酸质量质控要求如下：</w:t>
      </w:r>
    </w:p>
    <w:p>
      <w:pPr>
        <w:spacing w:before="156" w:beforeLines="50" w:line="440" w:lineRule="exact"/>
        <w:ind w:firstLine="480" w:firstLineChars="200"/>
        <w:rPr>
          <w:rFonts w:hint="eastAsia" w:ascii="宋体" w:hAnsi="宋体" w:cs="Arial"/>
          <w:sz w:val="24"/>
          <w:lang w:val="en-US" w:eastAsia="zh-CN"/>
        </w:rPr>
      </w:pPr>
      <w:r>
        <w:rPr>
          <w:rFonts w:hint="eastAsia" w:ascii="宋体" w:hAnsi="宋体" w:cs="Arial"/>
          <w:sz w:val="24"/>
          <w:lang w:val="en-US" w:eastAsia="zh-CN"/>
        </w:rPr>
        <w:t>1) OD260/OD280在1.7~1.9之间，OD260/OD230大于2。</w:t>
      </w:r>
    </w:p>
    <w:p>
      <w:pPr>
        <w:spacing w:before="156" w:beforeLines="50" w:line="440" w:lineRule="exact"/>
        <w:ind w:firstLine="480" w:firstLineChars="200"/>
        <w:rPr>
          <w:rFonts w:hint="default" w:eastAsia="宋体"/>
          <w:lang w:val="en-US" w:eastAsia="zh-CN"/>
        </w:rPr>
      </w:pPr>
      <w:r>
        <w:rPr>
          <w:rFonts w:hint="eastAsia" w:ascii="宋体" w:hAnsi="宋体" w:cs="Arial"/>
          <w:sz w:val="24"/>
          <w:lang w:val="en-US" w:eastAsia="zh-CN"/>
        </w:rPr>
        <w:t>2) 1%琼脂糖凝胶电泳测定：取5- 10μl样品电泳 (电压150V 40~50min ) 。DNA样品应无杂带或拖尾。无蛋白质污染 (污染显示为紫外灯下点样孔附近有亮带) 。</w:t>
      </w:r>
    </w:p>
    <w:p>
      <w:pPr>
        <w:numPr>
          <w:ilvl w:val="0"/>
          <w:numId w:val="1"/>
        </w:numPr>
        <w:spacing w:before="156" w:beforeLines="50" w:line="440" w:lineRule="exact"/>
        <w:rPr>
          <w:rFonts w:hint="eastAsia" w:ascii="宋体" w:hAnsi="宋体" w:eastAsia="宋体" w:cs="宋体"/>
          <w:kern w:val="0"/>
          <w:sz w:val="24"/>
        </w:rPr>
      </w:pPr>
      <w:r>
        <w:rPr>
          <w:rFonts w:hint="eastAsia" w:ascii="宋体" w:hAnsi="宋体" w:eastAsia="宋体" w:cs="宋体"/>
          <w:kern w:val="0"/>
          <w:sz w:val="24"/>
          <w:lang w:val="en-US" w:eastAsia="zh-CN"/>
        </w:rPr>
        <w:t>病原菌药敏试验</w:t>
      </w:r>
    </w:p>
    <w:p>
      <w:pPr>
        <w:spacing w:before="156" w:beforeLines="50" w:line="440" w:lineRule="exact"/>
        <w:ind w:firstLine="480" w:firstLineChars="200"/>
        <w:rPr>
          <w:rFonts w:hint="eastAsia" w:ascii="宋体" w:hAnsi="宋体" w:eastAsia="宋体" w:cs="Arial"/>
          <w:sz w:val="24"/>
        </w:rPr>
      </w:pPr>
      <w:r>
        <w:rPr>
          <w:rFonts w:hint="eastAsia" w:ascii="宋体" w:hAnsi="宋体" w:eastAsia="宋体" w:cs="Arial"/>
          <w:sz w:val="24"/>
          <w:lang w:val="en-US" w:eastAsia="zh-CN"/>
        </w:rPr>
        <w:t>按照致病菌识别网的要求进行药敏试验服务，交付甲方符合致病菌识别网要求的结果格式</w:t>
      </w:r>
      <w:r>
        <w:rPr>
          <w:rFonts w:hint="eastAsia" w:ascii="宋体" w:hAnsi="宋体" w:cs="Arial"/>
          <w:sz w:val="24"/>
          <w:lang w:val="en-US" w:eastAsia="zh-CN"/>
        </w:rPr>
        <w:t>（Excel）</w:t>
      </w:r>
      <w:r>
        <w:rPr>
          <w:rFonts w:hint="eastAsia" w:ascii="宋体" w:hAnsi="宋体" w:eastAsia="宋体" w:cs="Arial"/>
          <w:sz w:val="24"/>
          <w:lang w:val="en-US" w:eastAsia="zh-CN"/>
        </w:rPr>
        <w:t>。</w:t>
      </w:r>
      <w:r>
        <w:rPr>
          <w:rFonts w:hint="eastAsia" w:ascii="宋体" w:hAnsi="宋体" w:cs="宋体"/>
          <w:sz w:val="24"/>
          <w:szCs w:val="24"/>
          <w:u w:val="none"/>
          <w:lang w:val="en-US" w:eastAsia="zh-CN"/>
        </w:rPr>
        <w:t xml:space="preserve"> </w:t>
      </w:r>
    </w:p>
    <w:p>
      <w:pPr>
        <w:spacing w:before="156" w:beforeLines="50" w:line="440" w:lineRule="exact"/>
        <w:rPr>
          <w:rFonts w:hint="eastAsia" w:ascii="宋体" w:hAnsi="宋体" w:cs="Arial"/>
          <w:b/>
          <w:sz w:val="24"/>
        </w:rPr>
      </w:pPr>
      <w:r>
        <w:rPr>
          <w:rFonts w:ascii="宋体" w:hAnsi="宋体" w:cs="Arial"/>
          <w:b/>
          <w:sz w:val="24"/>
        </w:rPr>
        <w:t>二、</w:t>
      </w:r>
      <w:r>
        <w:rPr>
          <w:rFonts w:hint="eastAsia" w:ascii="宋体" w:hAnsi="宋体" w:cs="Arial"/>
          <w:b/>
          <w:sz w:val="24"/>
        </w:rPr>
        <w:t>技术服务内容：</w:t>
      </w:r>
    </w:p>
    <w:p>
      <w:pPr>
        <w:numPr>
          <w:ilvl w:val="0"/>
          <w:numId w:val="3"/>
        </w:numPr>
        <w:spacing w:before="156" w:beforeLines="50" w:line="440" w:lineRule="exact"/>
        <w:rPr>
          <w:rFonts w:hint="eastAsia" w:ascii="宋体" w:hAnsi="宋体" w:cs="Arial"/>
          <w:sz w:val="24"/>
        </w:rPr>
      </w:pPr>
      <w:r>
        <w:rPr>
          <w:rFonts w:hint="eastAsia" w:ascii="宋体" w:hAnsi="宋体" w:cs="Arial"/>
          <w:sz w:val="24"/>
        </w:rPr>
        <w:t>乙方为甲方提供基于《国家致病菌识别网技术手册（</w:t>
      </w:r>
      <w:r>
        <w:rPr>
          <w:rFonts w:hint="eastAsia" w:ascii="宋体" w:hAnsi="宋体" w:cs="Arial"/>
          <w:sz w:val="24"/>
          <w:lang w:val="en-US" w:eastAsia="zh-CN"/>
        </w:rPr>
        <w:t>2021-</w:t>
      </w:r>
      <w:r>
        <w:rPr>
          <w:rFonts w:hint="eastAsia" w:ascii="宋体" w:hAnsi="宋体" w:cs="Arial"/>
          <w:sz w:val="24"/>
        </w:rPr>
        <w:t>202</w:t>
      </w:r>
      <w:r>
        <w:rPr>
          <w:rFonts w:hint="eastAsia" w:ascii="宋体" w:hAnsi="宋体" w:cs="Arial"/>
          <w:sz w:val="24"/>
          <w:lang w:val="en-US" w:eastAsia="zh-CN"/>
        </w:rPr>
        <w:t>2</w:t>
      </w:r>
      <w:r>
        <w:rPr>
          <w:rFonts w:hint="eastAsia" w:ascii="宋体" w:hAnsi="宋体" w:cs="Arial"/>
          <w:sz w:val="24"/>
        </w:rPr>
        <w:t>版）》规范操作程序的微生物分子分型</w:t>
      </w:r>
      <w:r>
        <w:rPr>
          <w:rFonts w:hint="eastAsia" w:ascii="宋体" w:hAnsi="宋体" w:cs="Arial"/>
          <w:sz w:val="24"/>
          <w:lang w:eastAsia="zh-CN"/>
        </w:rPr>
        <w:t>、</w:t>
      </w:r>
      <w:r>
        <w:rPr>
          <w:rFonts w:hint="eastAsia" w:ascii="宋体" w:hAnsi="宋体" w:cs="Arial"/>
          <w:sz w:val="24"/>
        </w:rPr>
        <w:t>微生物全基因组测序</w:t>
      </w:r>
      <w:r>
        <w:rPr>
          <w:rFonts w:hint="eastAsia" w:ascii="宋体" w:hAnsi="宋体" w:cs="Arial"/>
          <w:sz w:val="24"/>
          <w:lang w:val="en-US" w:eastAsia="zh-CN"/>
        </w:rPr>
        <w:t>和</w:t>
      </w:r>
      <w:r>
        <w:rPr>
          <w:rFonts w:hint="eastAsia" w:ascii="宋体" w:hAnsi="宋体" w:eastAsia="宋体" w:cs="宋体"/>
          <w:kern w:val="0"/>
          <w:sz w:val="24"/>
          <w:lang w:val="en-US" w:eastAsia="zh-CN"/>
        </w:rPr>
        <w:t>病原菌药敏试验</w:t>
      </w:r>
      <w:r>
        <w:rPr>
          <w:rFonts w:hint="eastAsia" w:ascii="宋体" w:hAnsi="宋体" w:cs="Arial"/>
          <w:sz w:val="24"/>
        </w:rPr>
        <w:t>服务。</w:t>
      </w:r>
    </w:p>
    <w:p>
      <w:pPr>
        <w:numPr>
          <w:ilvl w:val="0"/>
          <w:numId w:val="3"/>
        </w:numPr>
        <w:spacing w:before="156" w:beforeLines="50" w:line="440" w:lineRule="exact"/>
        <w:rPr>
          <w:rFonts w:hint="eastAsia" w:ascii="宋体" w:hAnsi="宋体" w:cs="Arial"/>
          <w:sz w:val="24"/>
        </w:rPr>
      </w:pPr>
      <w:r>
        <w:rPr>
          <w:rFonts w:hint="eastAsia" w:ascii="宋体" w:hAnsi="宋体" w:cs="Arial"/>
          <w:sz w:val="24"/>
        </w:rPr>
        <w:t>双方协作事项：</w:t>
      </w:r>
    </w:p>
    <w:p>
      <w:pPr>
        <w:numPr>
          <w:ilvl w:val="0"/>
          <w:numId w:val="4"/>
        </w:numPr>
        <w:spacing w:before="156" w:beforeLines="50" w:line="440" w:lineRule="exact"/>
        <w:ind w:left="1418" w:leftChars="338" w:hanging="708" w:hangingChars="295"/>
        <w:rPr>
          <w:rFonts w:ascii="宋体" w:hAnsi="宋体" w:cs="Arial"/>
          <w:sz w:val="24"/>
        </w:rPr>
      </w:pPr>
      <w:r>
        <w:rPr>
          <w:rFonts w:hint="eastAsia" w:ascii="宋体" w:hAnsi="宋体" w:cs="Arial"/>
          <w:sz w:val="24"/>
        </w:rPr>
        <w:t>甲方按黑龙江省卫健委国家致病菌识别网相关要求，向乙方提供样本。乙方委派专人与甲方进行对接，对于甲方提出的相关咨询，乙方工作人员及时予以回复。</w:t>
      </w:r>
    </w:p>
    <w:p>
      <w:pPr>
        <w:numPr>
          <w:ilvl w:val="0"/>
          <w:numId w:val="4"/>
        </w:numPr>
        <w:spacing w:before="156" w:beforeLines="50" w:line="440" w:lineRule="exact"/>
        <w:ind w:left="1418" w:leftChars="338" w:hanging="708" w:hangingChars="295"/>
        <w:rPr>
          <w:rFonts w:ascii="宋体" w:hAnsi="宋体" w:cs="Arial"/>
          <w:sz w:val="24"/>
        </w:rPr>
      </w:pPr>
      <w:r>
        <w:rPr>
          <w:rFonts w:hint="eastAsia" w:ascii="宋体" w:hAnsi="宋体" w:cs="Arial"/>
          <w:sz w:val="24"/>
        </w:rPr>
        <w:t>乙方委派专人上门取样，接到甲方通知后1小时内予以回复，哈尔滨市区（不包括呼兰、阿城、双城区）4个小时内到达客户指定位置。</w:t>
      </w:r>
    </w:p>
    <w:p>
      <w:pPr>
        <w:numPr>
          <w:ilvl w:val="0"/>
          <w:numId w:val="4"/>
        </w:numPr>
        <w:spacing w:before="156" w:beforeLines="50" w:line="440" w:lineRule="exact"/>
        <w:ind w:left="1418" w:leftChars="338" w:hanging="708" w:hangingChars="295"/>
        <w:rPr>
          <w:rFonts w:ascii="宋体" w:hAnsi="宋体" w:cs="Arial"/>
          <w:sz w:val="24"/>
        </w:rPr>
      </w:pPr>
      <w:r>
        <w:rPr>
          <w:rFonts w:hint="eastAsia" w:ascii="宋体" w:hAnsi="宋体" w:cs="Arial"/>
          <w:sz w:val="24"/>
        </w:rPr>
        <w:t>乙方根据《国家致病菌识别网实验室技术手册》进行收集样本（菌株、核酸）、运输样本，并提供相关检测服务成果。</w:t>
      </w:r>
    </w:p>
    <w:p>
      <w:pPr>
        <w:numPr>
          <w:ilvl w:val="0"/>
          <w:numId w:val="4"/>
        </w:numPr>
        <w:spacing w:before="156" w:beforeLines="50" w:line="440" w:lineRule="exact"/>
        <w:ind w:left="1418" w:leftChars="338" w:hanging="708" w:hangingChars="295"/>
        <w:rPr>
          <w:rFonts w:hint="eastAsia" w:ascii="宋体" w:hAnsi="宋体" w:cs="Arial"/>
          <w:sz w:val="24"/>
        </w:rPr>
      </w:pPr>
      <w:r>
        <w:rPr>
          <w:rFonts w:hint="eastAsia" w:ascii="宋体" w:hAnsi="宋体" w:cs="Arial"/>
          <w:sz w:val="24"/>
        </w:rPr>
        <w:t>甲方向乙方提供取样地址、联系人（联系人信息见盖章页）。</w:t>
      </w:r>
    </w:p>
    <w:p>
      <w:pPr>
        <w:numPr>
          <w:ilvl w:val="0"/>
          <w:numId w:val="4"/>
        </w:numPr>
        <w:spacing w:before="156" w:beforeLines="50" w:line="440" w:lineRule="exact"/>
        <w:ind w:left="1418" w:leftChars="338" w:hanging="708" w:hangingChars="295"/>
        <w:rPr>
          <w:rFonts w:hint="eastAsia" w:ascii="宋体" w:hAnsi="宋体" w:cs="Arial"/>
          <w:sz w:val="24"/>
        </w:rPr>
      </w:pPr>
      <w:r>
        <w:rPr>
          <w:rFonts w:hint="eastAsia" w:ascii="宋体" w:hAnsi="宋体" w:cs="Arial"/>
          <w:sz w:val="24"/>
        </w:rPr>
        <w:t>乙方向甲方提交符合</w:t>
      </w:r>
      <w:r>
        <w:rPr>
          <w:rFonts w:hint="eastAsia" w:ascii="宋体" w:hAnsi="宋体" w:cs="Arial"/>
          <w:sz w:val="24"/>
          <w:lang w:val="en-US" w:eastAsia="zh-CN"/>
        </w:rPr>
        <w:t>国家</w:t>
      </w:r>
      <w:r>
        <w:rPr>
          <w:rFonts w:hint="eastAsia" w:ascii="宋体" w:hAnsi="宋体" w:cs="Arial"/>
          <w:sz w:val="24"/>
        </w:rPr>
        <w:t>要求的检测结果，PFGE高清胶图并提供病</w:t>
      </w:r>
      <w:r>
        <w:rPr>
          <w:rFonts w:hint="eastAsia" w:ascii="宋体" w:hAnsi="宋体" w:cs="Arial"/>
          <w:sz w:val="24"/>
          <w:lang w:val="en-US" w:eastAsia="zh-CN"/>
        </w:rPr>
        <w:t>原</w:t>
      </w:r>
      <w:r>
        <w:rPr>
          <w:rFonts w:hint="eastAsia" w:ascii="宋体" w:hAnsi="宋体" w:cs="Arial"/>
          <w:sz w:val="24"/>
        </w:rPr>
        <w:t>菌的全基因组序列及框架图</w:t>
      </w:r>
      <w:r>
        <w:rPr>
          <w:rFonts w:hint="eastAsia" w:ascii="宋体" w:hAnsi="宋体" w:cs="Arial"/>
          <w:sz w:val="24"/>
          <w:lang w:eastAsia="zh-CN"/>
        </w:rPr>
        <w:t>、</w:t>
      </w:r>
      <w:r>
        <w:rPr>
          <w:rFonts w:hint="eastAsia" w:ascii="宋体" w:hAnsi="宋体" w:eastAsia="宋体" w:cs="Arial"/>
          <w:sz w:val="24"/>
          <w:lang w:val="en-US" w:eastAsia="zh-CN"/>
        </w:rPr>
        <w:t>药敏试验服务</w:t>
      </w:r>
      <w:r>
        <w:rPr>
          <w:rFonts w:hint="eastAsia" w:ascii="宋体" w:hAnsi="宋体" w:cs="Arial"/>
          <w:sz w:val="24"/>
          <w:lang w:eastAsia="zh-CN"/>
        </w:rPr>
        <w:t>，</w:t>
      </w:r>
      <w:r>
        <w:rPr>
          <w:rFonts w:hint="eastAsia" w:ascii="宋体" w:hAnsi="宋体" w:cs="Arial"/>
          <w:sz w:val="24"/>
        </w:rPr>
        <w:t>以硬盘方式或甲方要求的方式送至到甲方指定联系人接收。</w:t>
      </w:r>
    </w:p>
    <w:p>
      <w:pPr>
        <w:numPr>
          <w:ilvl w:val="0"/>
          <w:numId w:val="4"/>
        </w:numPr>
        <w:spacing w:before="156" w:beforeLines="50" w:line="440" w:lineRule="exact"/>
        <w:ind w:left="1418" w:leftChars="338" w:hanging="708" w:hangingChars="295"/>
        <w:rPr>
          <w:rFonts w:ascii="宋体" w:hAnsi="宋体" w:cs="Arial"/>
          <w:sz w:val="24"/>
        </w:rPr>
      </w:pPr>
      <w:r>
        <w:rPr>
          <w:rFonts w:hint="eastAsia" w:ascii="宋体" w:hAnsi="宋体" w:cs="Arial"/>
          <w:sz w:val="24"/>
        </w:rPr>
        <w:t>乙方在服务过程中，应妥善保管甲方送交的样品和样品信息，以免丢失、缺少、变质或污染。实验结束后，乙方将剩余样本全部退还给甲方或按照甲方要求予以处理。</w:t>
      </w:r>
    </w:p>
    <w:p>
      <w:pPr>
        <w:numPr>
          <w:ilvl w:val="0"/>
          <w:numId w:val="3"/>
        </w:numPr>
        <w:spacing w:before="156" w:beforeLines="50" w:line="440" w:lineRule="exact"/>
        <w:rPr>
          <w:rFonts w:hint="eastAsia" w:ascii="宋体" w:hAnsi="宋体" w:cs="Arial"/>
          <w:sz w:val="24"/>
        </w:rPr>
      </w:pPr>
      <w:r>
        <w:rPr>
          <w:rFonts w:hint="eastAsia" w:ascii="宋体" w:hAnsi="宋体" w:cs="Arial"/>
          <w:sz w:val="24"/>
        </w:rPr>
        <w:t>技术服务周期：</w:t>
      </w:r>
    </w:p>
    <w:p>
      <w:pPr>
        <w:numPr>
          <w:ilvl w:val="0"/>
          <w:numId w:val="5"/>
        </w:numPr>
        <w:tabs>
          <w:tab w:val="left" w:pos="1418"/>
          <w:tab w:val="clear" w:pos="1604"/>
        </w:tabs>
        <w:spacing w:before="156" w:beforeLines="50" w:line="440" w:lineRule="exact"/>
        <w:ind w:left="1418" w:leftChars="338" w:hanging="708" w:hangingChars="295"/>
        <w:rPr>
          <w:rFonts w:hint="eastAsia" w:ascii="宋体" w:hAnsi="宋体" w:cs="Arial"/>
          <w:sz w:val="24"/>
        </w:rPr>
      </w:pPr>
      <w:r>
        <w:rPr>
          <w:rFonts w:hint="eastAsia" w:ascii="宋体" w:hAnsi="宋体" w:cs="Arial"/>
          <w:sz w:val="24"/>
        </w:rPr>
        <w:t>乙方应自收到甲方样品之日起3个工作日内，对甲方样品进行核查，如发现样品不符合检测要求等情况，乙方应及时与甲方联系，由甲方联系重新采集样品。</w:t>
      </w:r>
    </w:p>
    <w:p>
      <w:pPr>
        <w:numPr>
          <w:ilvl w:val="0"/>
          <w:numId w:val="5"/>
        </w:numPr>
        <w:tabs>
          <w:tab w:val="left" w:pos="1418"/>
          <w:tab w:val="clear" w:pos="1604"/>
        </w:tabs>
        <w:spacing w:before="156" w:beforeLines="50" w:line="440" w:lineRule="exact"/>
        <w:ind w:left="1418" w:leftChars="338" w:hanging="708" w:hangingChars="295"/>
        <w:rPr>
          <w:rFonts w:ascii="宋体" w:hAnsi="宋体" w:cs="Arial"/>
          <w:sz w:val="24"/>
        </w:rPr>
      </w:pPr>
      <w:r>
        <w:rPr>
          <w:rFonts w:hint="eastAsia" w:ascii="宋体" w:hAnsi="宋体" w:cs="Arial"/>
          <w:sz w:val="24"/>
        </w:rPr>
        <w:t>病原菌分子分型，从接收到全部检测合格样本之日起7个工作日完成检测并交付甲方结果和图谱。</w:t>
      </w:r>
    </w:p>
    <w:p>
      <w:pPr>
        <w:numPr>
          <w:ilvl w:val="0"/>
          <w:numId w:val="5"/>
        </w:numPr>
        <w:tabs>
          <w:tab w:val="left" w:pos="1418"/>
          <w:tab w:val="clear" w:pos="1604"/>
        </w:tabs>
        <w:spacing w:before="156" w:beforeLines="50" w:line="440" w:lineRule="exact"/>
        <w:ind w:left="1418" w:leftChars="338" w:hanging="708" w:hangingChars="295"/>
        <w:rPr>
          <w:rFonts w:ascii="宋体" w:hAnsi="宋体" w:cs="Arial"/>
          <w:sz w:val="24"/>
        </w:rPr>
      </w:pPr>
      <w:r>
        <w:rPr>
          <w:rFonts w:hint="eastAsia" w:ascii="宋体" w:hAnsi="宋体" w:cs="Arial"/>
          <w:sz w:val="24"/>
        </w:rPr>
        <w:t>病原菌的全基因组序列及框架图，从接收全部合格样本之日起30个自然日内完成检测服务并交付甲方序列及框架图。</w:t>
      </w:r>
    </w:p>
    <w:p>
      <w:pPr>
        <w:numPr>
          <w:ilvl w:val="0"/>
          <w:numId w:val="5"/>
        </w:numPr>
        <w:tabs>
          <w:tab w:val="left" w:pos="1418"/>
          <w:tab w:val="clear" w:pos="1604"/>
        </w:tabs>
        <w:spacing w:before="156" w:beforeLines="50" w:line="440" w:lineRule="exact"/>
        <w:ind w:left="1418" w:leftChars="338" w:hanging="708" w:hangingChars="295"/>
        <w:rPr>
          <w:rFonts w:hint="eastAsia" w:ascii="宋体" w:hAnsi="宋体" w:eastAsia="宋体" w:cs="Arial"/>
          <w:sz w:val="24"/>
        </w:rPr>
      </w:pPr>
      <w:r>
        <w:rPr>
          <w:rFonts w:hint="eastAsia" w:ascii="宋体" w:hAnsi="宋体" w:eastAsia="宋体" w:cs="Arial"/>
          <w:sz w:val="24"/>
          <w:lang w:val="en-US" w:eastAsia="zh-CN"/>
        </w:rPr>
        <w:t>病原菌药敏试验，从接收到全部检测合格样本之日起15个工作日完成检测，并交付甲方符合致病菌</w:t>
      </w:r>
      <w:r>
        <w:rPr>
          <w:rFonts w:hint="eastAsia" w:ascii="宋体" w:hAnsi="宋体" w:cs="宋体"/>
          <w:sz w:val="24"/>
          <w:szCs w:val="24"/>
          <w:u w:val="none"/>
          <w:lang w:val="en-US" w:eastAsia="zh-CN"/>
        </w:rPr>
        <w:t>识别网要求的结果格式 (Excel) 。</w:t>
      </w:r>
    </w:p>
    <w:p>
      <w:pPr>
        <w:numPr>
          <w:ilvl w:val="0"/>
          <w:numId w:val="5"/>
        </w:numPr>
        <w:tabs>
          <w:tab w:val="left" w:pos="1418"/>
          <w:tab w:val="clear" w:pos="1604"/>
        </w:tabs>
        <w:spacing w:before="156" w:beforeLines="50" w:line="440" w:lineRule="exact"/>
        <w:ind w:left="1418" w:leftChars="338" w:hanging="708" w:hangingChars="295"/>
        <w:rPr>
          <w:rFonts w:hint="eastAsia" w:ascii="宋体" w:hAnsi="宋体" w:cs="Arial"/>
          <w:sz w:val="24"/>
        </w:rPr>
      </w:pPr>
      <w:r>
        <w:rPr>
          <w:rFonts w:hint="eastAsia" w:ascii="宋体" w:hAnsi="宋体" w:cs="Arial"/>
          <w:sz w:val="24"/>
        </w:rPr>
        <w:t>鉴于分子生物学实验存在诸多不确定因素，在实验进展遇到意想不到的困难可能会延长检测周期时，乙方会将情况及时通报给甲方。</w:t>
      </w:r>
    </w:p>
    <w:p>
      <w:pPr>
        <w:numPr>
          <w:ilvl w:val="0"/>
          <w:numId w:val="5"/>
        </w:numPr>
        <w:tabs>
          <w:tab w:val="left" w:pos="1418"/>
          <w:tab w:val="clear" w:pos="1604"/>
        </w:tabs>
        <w:spacing w:before="156" w:beforeLines="50" w:line="440" w:lineRule="exact"/>
        <w:ind w:left="1418" w:leftChars="338" w:hanging="708" w:hangingChars="295"/>
        <w:rPr>
          <w:rFonts w:hint="eastAsia"/>
        </w:rPr>
      </w:pPr>
      <w:r>
        <w:rPr>
          <w:rFonts w:hint="eastAsia" w:ascii="宋体" w:hAnsi="宋体" w:cs="宋体"/>
          <w:sz w:val="24"/>
          <w:szCs w:val="24"/>
          <w:highlight w:val="none"/>
          <w:lang w:val="en-US" w:eastAsia="zh-CN"/>
        </w:rPr>
        <w:t>我方承诺项目服务任务在满足上述（2）、（3）、（4）约定时限基础上</w:t>
      </w:r>
      <w:r>
        <w:rPr>
          <w:rFonts w:hint="eastAsia" w:ascii="宋体" w:hAnsi="宋体" w:eastAsia="宋体" w:cs="宋体"/>
          <w:w w:val="110"/>
          <w:sz w:val="24"/>
          <w:szCs w:val="24"/>
          <w:u w:val="none"/>
          <w:lang w:val="en-US" w:eastAsia="zh-CN"/>
        </w:rPr>
        <w:t>，</w:t>
      </w:r>
      <w:r>
        <w:rPr>
          <w:rFonts w:hint="eastAsia" w:ascii="宋体" w:hAnsi="宋体" w:cs="宋体"/>
          <w:w w:val="110"/>
          <w:sz w:val="24"/>
          <w:szCs w:val="24"/>
          <w:u w:val="none"/>
          <w:lang w:val="en-US" w:eastAsia="zh-CN"/>
        </w:rPr>
        <w:t>2021年50例服务任务在合同签订后30日内完成，</w:t>
      </w:r>
      <w:r>
        <w:rPr>
          <w:rFonts w:hint="eastAsia" w:ascii="宋体" w:hAnsi="宋体" w:eastAsia="宋体" w:cs="宋体"/>
          <w:w w:val="110"/>
          <w:sz w:val="24"/>
          <w:szCs w:val="24"/>
          <w:u w:val="none"/>
          <w:lang w:val="en-US" w:eastAsia="zh-CN"/>
        </w:rPr>
        <w:t>2022年</w:t>
      </w:r>
      <w:r>
        <w:rPr>
          <w:rFonts w:hint="eastAsia" w:ascii="宋体" w:hAnsi="宋体" w:cs="宋体"/>
          <w:w w:val="110"/>
          <w:sz w:val="24"/>
          <w:szCs w:val="24"/>
          <w:u w:val="none"/>
          <w:lang w:val="en-US" w:eastAsia="zh-CN"/>
        </w:rPr>
        <w:t>50例</w:t>
      </w:r>
      <w:r>
        <w:rPr>
          <w:rFonts w:hint="eastAsia" w:ascii="宋体" w:hAnsi="宋体" w:eastAsia="宋体" w:cs="宋体"/>
          <w:w w:val="110"/>
          <w:sz w:val="24"/>
          <w:szCs w:val="24"/>
          <w:u w:val="none"/>
          <w:lang w:val="en-US" w:eastAsia="zh-CN"/>
        </w:rPr>
        <w:t>服务任务在2022年11月1日前完成。</w:t>
      </w:r>
    </w:p>
    <w:p>
      <w:pPr>
        <w:numPr>
          <w:ilvl w:val="0"/>
          <w:numId w:val="6"/>
        </w:numPr>
        <w:spacing w:before="156" w:beforeLines="50" w:line="440" w:lineRule="exact"/>
        <w:rPr>
          <w:rFonts w:hint="eastAsia"/>
        </w:rPr>
      </w:pPr>
      <w:r>
        <w:rPr>
          <w:rFonts w:hint="eastAsia" w:ascii="宋体" w:hAnsi="宋体" w:cs="Arial"/>
          <w:b/>
          <w:sz w:val="24"/>
        </w:rPr>
        <w:t>费用结算及支付方式</w:t>
      </w:r>
    </w:p>
    <w:p>
      <w:pPr>
        <w:numPr>
          <w:ilvl w:val="0"/>
          <w:numId w:val="7"/>
        </w:numPr>
        <w:spacing w:before="156" w:beforeLines="50" w:line="440" w:lineRule="exact"/>
        <w:ind w:left="902"/>
        <w:rPr>
          <w:rFonts w:ascii="宋体" w:hAnsi="宋体" w:cs="Arial"/>
          <w:sz w:val="24"/>
        </w:rPr>
      </w:pPr>
      <w:r>
        <w:rPr>
          <w:rFonts w:hint="eastAsia" w:ascii="宋体" w:hAnsi="宋体" w:cs="Arial"/>
          <w:sz w:val="24"/>
        </w:rPr>
        <w:t>项目费用：</w:t>
      </w:r>
    </w:p>
    <w:tbl>
      <w:tblPr>
        <w:tblStyle w:val="9"/>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9"/>
        <w:gridCol w:w="4059"/>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49" w:type="dxa"/>
            <w:noWrap w:val="0"/>
            <w:vAlign w:val="top"/>
          </w:tcPr>
          <w:p>
            <w:pPr>
              <w:widowControl/>
              <w:jc w:val="center"/>
              <w:rPr>
                <w:rFonts w:ascii="宋体" w:hAnsi="宋体" w:cs="宋体"/>
                <w:b/>
                <w:bCs/>
                <w:kern w:val="0"/>
                <w:sz w:val="24"/>
              </w:rPr>
            </w:pPr>
            <w:r>
              <w:rPr>
                <w:rFonts w:hint="eastAsia" w:ascii="宋体" w:hAnsi="宋体" w:cs="宋体"/>
                <w:b/>
                <w:bCs/>
                <w:kern w:val="0"/>
                <w:sz w:val="24"/>
              </w:rPr>
              <w:t>序号</w:t>
            </w:r>
          </w:p>
        </w:tc>
        <w:tc>
          <w:tcPr>
            <w:tcW w:w="4059" w:type="dxa"/>
            <w:noWrap/>
            <w:vAlign w:val="center"/>
          </w:tcPr>
          <w:p>
            <w:pPr>
              <w:widowControl/>
              <w:jc w:val="center"/>
              <w:rPr>
                <w:rFonts w:ascii="宋体" w:hAnsi="宋体" w:cs="宋体"/>
                <w:b/>
                <w:bCs/>
                <w:kern w:val="0"/>
                <w:sz w:val="24"/>
              </w:rPr>
            </w:pPr>
            <w:r>
              <w:rPr>
                <w:rFonts w:hint="eastAsia" w:ascii="宋体" w:hAnsi="宋体" w:cs="宋体"/>
                <w:b/>
                <w:bCs/>
                <w:kern w:val="0"/>
                <w:sz w:val="24"/>
              </w:rPr>
              <w:t>服务内容</w:t>
            </w:r>
          </w:p>
        </w:tc>
        <w:tc>
          <w:tcPr>
            <w:tcW w:w="2910" w:type="dxa"/>
            <w:noWrap/>
            <w:vAlign w:val="center"/>
          </w:tcPr>
          <w:p>
            <w:pPr>
              <w:widowControl/>
              <w:jc w:val="center"/>
              <w:rPr>
                <w:rFonts w:ascii="宋体" w:hAnsi="宋体" w:cs="宋体"/>
                <w:b/>
                <w:bCs/>
                <w:kern w:val="0"/>
                <w:sz w:val="24"/>
              </w:rPr>
            </w:pPr>
            <w:r>
              <w:rPr>
                <w:rFonts w:hint="eastAsia" w:ascii="宋体" w:hAnsi="宋体" w:cs="宋体"/>
                <w:b/>
                <w:bCs/>
                <w:kern w:val="0"/>
                <w:sz w:val="24"/>
              </w:rPr>
              <w:t>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9" w:type="dxa"/>
            <w:noWrap w:val="0"/>
            <w:vAlign w:val="top"/>
          </w:tcPr>
          <w:p>
            <w:pPr>
              <w:widowControl/>
              <w:jc w:val="center"/>
              <w:rPr>
                <w:rFonts w:ascii="宋体" w:hAnsi="宋体" w:cs="宋体"/>
                <w:kern w:val="0"/>
                <w:sz w:val="22"/>
                <w:szCs w:val="22"/>
              </w:rPr>
            </w:pPr>
            <w:r>
              <w:rPr>
                <w:rFonts w:hint="eastAsia" w:ascii="宋体" w:hAnsi="宋体" w:cs="宋体"/>
                <w:kern w:val="0"/>
                <w:sz w:val="22"/>
                <w:szCs w:val="22"/>
              </w:rPr>
              <w:t>1</w:t>
            </w:r>
          </w:p>
        </w:tc>
        <w:tc>
          <w:tcPr>
            <w:tcW w:w="4059" w:type="dxa"/>
            <w:noWrap/>
            <w:vAlign w:val="center"/>
          </w:tcPr>
          <w:p>
            <w:pPr>
              <w:widowControl/>
              <w:jc w:val="center"/>
              <w:rPr>
                <w:rFonts w:hint="eastAsia" w:ascii="宋体" w:hAnsi="宋体" w:cs="宋体"/>
                <w:kern w:val="0"/>
                <w:sz w:val="22"/>
                <w:szCs w:val="22"/>
              </w:rPr>
            </w:pPr>
            <w:r>
              <w:rPr>
                <w:rFonts w:hint="eastAsia" w:ascii="宋体" w:hAnsi="宋体" w:cs="宋体"/>
                <w:kern w:val="0"/>
                <w:sz w:val="22"/>
                <w:szCs w:val="22"/>
              </w:rPr>
              <w:t>药敏检测</w:t>
            </w:r>
          </w:p>
        </w:tc>
        <w:tc>
          <w:tcPr>
            <w:tcW w:w="2910" w:type="dxa"/>
            <w:noWrap/>
            <w:vAlign w:val="center"/>
          </w:tcPr>
          <w:p>
            <w:pPr>
              <w:widowControl/>
              <w:jc w:val="right"/>
              <w:rPr>
                <w:rFonts w:ascii="宋体" w:hAnsi="宋体" w:cs="宋体"/>
                <w:kern w:val="0"/>
                <w:sz w:val="22"/>
                <w:szCs w:val="22"/>
              </w:rPr>
            </w:pPr>
            <w:r>
              <w:rPr>
                <w:rFonts w:hint="eastAsia" w:ascii="宋体" w:hAnsi="宋体" w:cs="宋体"/>
                <w:kern w:val="0"/>
                <w:sz w:val="22"/>
                <w:szCs w:val="22"/>
                <w:lang w:val="en-US" w:eastAsia="zh-CN"/>
              </w:rPr>
              <w:t>501</w:t>
            </w:r>
            <w:r>
              <w:rPr>
                <w:rFonts w:hint="eastAsia" w:ascii="宋体" w:hAnsi="宋体" w:cs="宋体"/>
                <w:kern w:val="0"/>
                <w:sz w:val="22"/>
                <w:szCs w:val="22"/>
              </w:rPr>
              <w:t>元/例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9" w:type="dxa"/>
            <w:noWrap w:val="0"/>
            <w:vAlign w:val="top"/>
          </w:tcPr>
          <w:p>
            <w:pPr>
              <w:widowControl/>
              <w:jc w:val="center"/>
              <w:rPr>
                <w:rFonts w:ascii="宋体" w:hAnsi="宋体" w:cs="宋体"/>
                <w:kern w:val="0"/>
                <w:sz w:val="22"/>
                <w:szCs w:val="22"/>
              </w:rPr>
            </w:pPr>
            <w:r>
              <w:rPr>
                <w:rFonts w:hint="eastAsia" w:ascii="宋体" w:hAnsi="宋体" w:cs="宋体"/>
                <w:kern w:val="0"/>
                <w:sz w:val="22"/>
                <w:szCs w:val="22"/>
              </w:rPr>
              <w:t>2</w:t>
            </w:r>
          </w:p>
        </w:tc>
        <w:tc>
          <w:tcPr>
            <w:tcW w:w="4059" w:type="dxa"/>
            <w:noWrap/>
            <w:vAlign w:val="center"/>
          </w:tcPr>
          <w:p>
            <w:pPr>
              <w:widowControl/>
              <w:jc w:val="center"/>
              <w:rPr>
                <w:rFonts w:ascii="宋体" w:hAnsi="宋体" w:cs="宋体"/>
                <w:kern w:val="0"/>
                <w:sz w:val="22"/>
                <w:szCs w:val="22"/>
              </w:rPr>
            </w:pPr>
            <w:r>
              <w:rPr>
                <w:rFonts w:hint="eastAsia" w:ascii="宋体" w:hAnsi="宋体" w:cs="宋体"/>
                <w:kern w:val="0"/>
                <w:sz w:val="22"/>
                <w:szCs w:val="22"/>
              </w:rPr>
              <w:t>细菌全基因测序及组框架图测绘</w:t>
            </w:r>
          </w:p>
        </w:tc>
        <w:tc>
          <w:tcPr>
            <w:tcW w:w="2910" w:type="dxa"/>
            <w:noWrap/>
            <w:vAlign w:val="center"/>
          </w:tcPr>
          <w:p>
            <w:pPr>
              <w:widowControl/>
              <w:jc w:val="right"/>
              <w:rPr>
                <w:rFonts w:hint="eastAsia" w:ascii="宋体" w:hAnsi="宋体" w:cs="宋体"/>
                <w:kern w:val="0"/>
                <w:sz w:val="22"/>
                <w:szCs w:val="22"/>
              </w:rPr>
            </w:pPr>
            <w:r>
              <w:rPr>
                <w:rFonts w:hint="eastAsia" w:ascii="宋体" w:hAnsi="宋体" w:cs="宋体"/>
                <w:kern w:val="0"/>
                <w:sz w:val="22"/>
                <w:szCs w:val="22"/>
                <w:highlight w:val="none"/>
                <w:lang w:val="en-US" w:eastAsia="zh-CN"/>
              </w:rPr>
              <w:t>2374</w:t>
            </w:r>
            <w:r>
              <w:rPr>
                <w:rFonts w:hint="eastAsia" w:ascii="宋体" w:hAnsi="宋体" w:cs="宋体"/>
                <w:kern w:val="0"/>
                <w:sz w:val="22"/>
                <w:szCs w:val="22"/>
              </w:rPr>
              <w:t>元/例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649" w:type="dxa"/>
            <w:noWrap w:val="0"/>
            <w:vAlign w:val="top"/>
          </w:tcPr>
          <w:p>
            <w:pPr>
              <w:widowControl/>
              <w:jc w:val="center"/>
              <w:rPr>
                <w:rFonts w:ascii="宋体" w:hAnsi="宋体" w:cs="宋体"/>
                <w:kern w:val="0"/>
                <w:sz w:val="22"/>
                <w:szCs w:val="22"/>
              </w:rPr>
            </w:pPr>
            <w:r>
              <w:rPr>
                <w:rFonts w:hint="eastAsia" w:ascii="宋体" w:hAnsi="宋体" w:cs="宋体"/>
                <w:kern w:val="0"/>
                <w:sz w:val="22"/>
                <w:szCs w:val="22"/>
              </w:rPr>
              <w:t>3</w:t>
            </w:r>
          </w:p>
        </w:tc>
        <w:tc>
          <w:tcPr>
            <w:tcW w:w="4059" w:type="dxa"/>
            <w:noWrap/>
            <w:vAlign w:val="center"/>
          </w:tcPr>
          <w:p>
            <w:pPr>
              <w:widowControl/>
              <w:jc w:val="center"/>
              <w:rPr>
                <w:rFonts w:hint="eastAsia" w:ascii="宋体" w:hAnsi="宋体" w:cs="宋体"/>
                <w:kern w:val="0"/>
                <w:sz w:val="22"/>
                <w:szCs w:val="22"/>
              </w:rPr>
            </w:pPr>
            <w:r>
              <w:rPr>
                <w:rFonts w:hint="eastAsia" w:ascii="宋体" w:hAnsi="宋体" w:eastAsia="宋体" w:cs="宋体"/>
                <w:b w:val="0"/>
                <w:bCs w:val="0"/>
                <w:kern w:val="2"/>
                <w:sz w:val="24"/>
                <w:szCs w:val="24"/>
                <w:u w:val="none"/>
                <w:lang w:val="en-US" w:eastAsia="zh-CN" w:bidi="ar-SA"/>
              </w:rPr>
              <w:t>PFGE及胶图/MLVA/MLST</w:t>
            </w:r>
          </w:p>
        </w:tc>
        <w:tc>
          <w:tcPr>
            <w:tcW w:w="2910" w:type="dxa"/>
            <w:noWrap/>
            <w:vAlign w:val="center"/>
          </w:tcPr>
          <w:p>
            <w:pPr>
              <w:widowControl/>
              <w:jc w:val="right"/>
              <w:rPr>
                <w:rFonts w:ascii="宋体" w:hAnsi="宋体" w:cs="宋体"/>
                <w:kern w:val="0"/>
                <w:sz w:val="22"/>
                <w:szCs w:val="22"/>
              </w:rPr>
            </w:pPr>
            <w:r>
              <w:rPr>
                <w:rFonts w:hint="eastAsia" w:ascii="宋体" w:hAnsi="宋体" w:cs="宋体"/>
                <w:kern w:val="0"/>
                <w:sz w:val="22"/>
                <w:szCs w:val="22"/>
                <w:highlight w:val="none"/>
                <w:lang w:val="en-US" w:eastAsia="zh-CN"/>
              </w:rPr>
              <w:t>565</w:t>
            </w:r>
            <w:r>
              <w:rPr>
                <w:rFonts w:hint="eastAsia" w:ascii="宋体" w:hAnsi="宋体" w:cs="宋体"/>
                <w:kern w:val="0"/>
                <w:sz w:val="22"/>
                <w:szCs w:val="22"/>
              </w:rPr>
              <w:t>元/例</w:t>
            </w:r>
          </w:p>
        </w:tc>
      </w:tr>
    </w:tbl>
    <w:p>
      <w:pPr>
        <w:numPr>
          <w:ilvl w:val="0"/>
          <w:numId w:val="7"/>
        </w:numPr>
        <w:spacing w:before="156" w:beforeLines="50" w:line="440" w:lineRule="exact"/>
        <w:ind w:left="902"/>
        <w:rPr>
          <w:rFonts w:hint="eastAsia" w:ascii="宋体" w:hAnsi="宋体" w:cs="Arial"/>
          <w:sz w:val="24"/>
        </w:rPr>
      </w:pPr>
      <w:r>
        <w:rPr>
          <w:rFonts w:hint="eastAsia" w:ascii="宋体" w:hAnsi="宋体" w:cs="Arial"/>
          <w:sz w:val="24"/>
        </w:rPr>
        <w:t>支付方式：</w:t>
      </w:r>
    </w:p>
    <w:p>
      <w:pPr>
        <w:spacing w:before="156" w:beforeLines="50" w:line="440" w:lineRule="exact"/>
        <w:ind w:left="359" w:leftChars="171" w:firstLine="480" w:firstLineChars="200"/>
        <w:rPr>
          <w:rFonts w:hint="default" w:ascii="宋体" w:hAnsi="宋体" w:eastAsia="宋体" w:cs="Arial"/>
          <w:sz w:val="24"/>
          <w:lang w:val="en-US" w:eastAsia="zh-CN"/>
        </w:rPr>
      </w:pPr>
      <w:r>
        <w:rPr>
          <w:rFonts w:hint="eastAsia" w:ascii="宋体" w:hAnsi="宋体" w:cs="Arial"/>
          <w:sz w:val="24"/>
        </w:rPr>
        <w:t>合作期内，</w:t>
      </w:r>
      <w:r>
        <w:rPr>
          <w:rFonts w:hint="eastAsia" w:ascii="宋体" w:hAnsi="宋体" w:cs="Arial"/>
          <w:sz w:val="24"/>
          <w:lang w:val="en-US" w:eastAsia="zh-CN"/>
        </w:rPr>
        <w:t>乙</w:t>
      </w:r>
      <w:r>
        <w:rPr>
          <w:rFonts w:hint="eastAsia" w:ascii="宋体" w:hAnsi="宋体" w:cs="Arial"/>
          <w:sz w:val="24"/>
        </w:rPr>
        <w:t>方配合</w:t>
      </w:r>
      <w:r>
        <w:rPr>
          <w:rFonts w:hint="eastAsia" w:ascii="宋体" w:hAnsi="宋体" w:cs="Arial"/>
          <w:sz w:val="24"/>
          <w:lang w:val="en-US" w:eastAsia="zh-CN"/>
        </w:rPr>
        <w:t>甲</w:t>
      </w:r>
      <w:r>
        <w:rPr>
          <w:rFonts w:hint="eastAsia" w:ascii="宋体" w:hAnsi="宋体" w:cs="Arial"/>
          <w:sz w:val="24"/>
        </w:rPr>
        <w:t>方进行对账，乙方提供甲方所需要的相关结算材料，如交付的数据、胶图、实验结果单。乙方完成全部检测服务并提供数据</w:t>
      </w:r>
      <w:r>
        <w:rPr>
          <w:rFonts w:hint="eastAsia" w:ascii="宋体" w:hAnsi="宋体" w:cs="Arial"/>
          <w:sz w:val="24"/>
          <w:lang w:val="en-US" w:eastAsia="zh-CN"/>
        </w:rPr>
        <w:t>经甲方确认</w:t>
      </w:r>
      <w:r>
        <w:rPr>
          <w:rFonts w:hint="eastAsia" w:ascii="宋体" w:hAnsi="宋体" w:cs="Arial"/>
          <w:sz w:val="24"/>
        </w:rPr>
        <w:t>后，甲方</w:t>
      </w:r>
      <w:r>
        <w:rPr>
          <w:rFonts w:hint="eastAsia" w:ascii="宋体" w:hAnsi="宋体" w:cs="Arial"/>
          <w:sz w:val="24"/>
          <w:lang w:val="en-US" w:eastAsia="zh-CN"/>
        </w:rPr>
        <w:t>在2022年11月5日前</w:t>
      </w:r>
      <w:r>
        <w:rPr>
          <w:rFonts w:hint="eastAsia" w:ascii="宋体" w:hAnsi="宋体" w:cs="Arial"/>
          <w:sz w:val="24"/>
        </w:rPr>
        <w:t>支付相应检测报酬</w:t>
      </w:r>
      <w:r>
        <w:rPr>
          <w:rFonts w:hint="eastAsia" w:ascii="宋体" w:hAnsi="宋体" w:cs="Arial"/>
          <w:sz w:val="24"/>
          <w:lang w:eastAsia="zh-CN"/>
        </w:rPr>
        <w:t>，</w:t>
      </w:r>
      <w:r>
        <w:rPr>
          <w:rFonts w:hint="eastAsia" w:ascii="宋体" w:hAnsi="宋体" w:cs="Arial"/>
          <w:sz w:val="24"/>
          <w:lang w:val="en-US" w:eastAsia="zh-CN"/>
        </w:rPr>
        <w:t>即100例付款金额叁拾肆万肆千元整（344000元）。</w:t>
      </w:r>
    </w:p>
    <w:p>
      <w:pPr>
        <w:spacing w:before="156" w:beforeLines="50" w:line="440" w:lineRule="exact"/>
        <w:rPr>
          <w:rFonts w:hint="eastAsia" w:ascii="宋体" w:hAnsi="宋体" w:cs="Arial"/>
          <w:b/>
          <w:sz w:val="24"/>
        </w:rPr>
      </w:pPr>
      <w:r>
        <w:rPr>
          <w:rFonts w:hint="eastAsia" w:ascii="宋体" w:hAnsi="宋体" w:cs="Arial"/>
          <w:b/>
          <w:sz w:val="24"/>
        </w:rPr>
        <w:t>四</w:t>
      </w:r>
      <w:r>
        <w:rPr>
          <w:rFonts w:ascii="宋体" w:hAnsi="宋体" w:cs="Arial"/>
          <w:b/>
          <w:sz w:val="24"/>
        </w:rPr>
        <w:t>、风险责任的承担</w:t>
      </w:r>
    </w:p>
    <w:p>
      <w:pPr>
        <w:numPr>
          <w:ilvl w:val="0"/>
          <w:numId w:val="8"/>
        </w:numPr>
        <w:spacing w:before="156" w:beforeLines="50" w:line="440" w:lineRule="exact"/>
        <w:rPr>
          <w:rFonts w:hint="eastAsia" w:ascii="宋体" w:hAnsi="宋体" w:cs="Arial"/>
          <w:sz w:val="24"/>
        </w:rPr>
      </w:pPr>
      <w:r>
        <w:rPr>
          <w:rFonts w:hint="eastAsia" w:ascii="宋体" w:hAnsi="宋体" w:cs="Arial"/>
          <w:sz w:val="24"/>
        </w:rPr>
        <w:t>乙方对甲方样本来源及将来检测结果的应用范围不承担审查义务和法律责任。</w:t>
      </w:r>
    </w:p>
    <w:p>
      <w:pPr>
        <w:numPr>
          <w:ilvl w:val="0"/>
          <w:numId w:val="8"/>
        </w:numPr>
        <w:tabs>
          <w:tab w:val="left" w:pos="540"/>
          <w:tab w:val="clear" w:pos="900"/>
        </w:tabs>
        <w:spacing w:before="156" w:beforeLines="50" w:line="440" w:lineRule="exact"/>
        <w:rPr>
          <w:rFonts w:ascii="宋体" w:hAnsi="宋体" w:cs="Arial"/>
          <w:sz w:val="24"/>
        </w:rPr>
      </w:pPr>
      <w:r>
        <w:rPr>
          <w:rFonts w:hint="eastAsia" w:ascii="宋体" w:hAnsi="宋体" w:cs="Arial"/>
          <w:sz w:val="24"/>
        </w:rPr>
        <w:t>本协议签订后，甲乙双方应严格遵守履行，任何一方违反本协议约定，都应承担相应的违约责任，守约方有权终止本协议。</w:t>
      </w:r>
    </w:p>
    <w:p>
      <w:pPr>
        <w:numPr>
          <w:ilvl w:val="0"/>
          <w:numId w:val="8"/>
        </w:numPr>
        <w:tabs>
          <w:tab w:val="left" w:pos="540"/>
          <w:tab w:val="clear" w:pos="900"/>
        </w:tabs>
        <w:spacing w:before="156" w:beforeLines="50" w:line="440" w:lineRule="exact"/>
        <w:rPr>
          <w:rFonts w:hint="eastAsia" w:ascii="宋体" w:hAnsi="宋体" w:cs="Arial"/>
          <w:sz w:val="24"/>
        </w:rPr>
      </w:pPr>
      <w:r>
        <w:rPr>
          <w:rFonts w:hint="eastAsia" w:ascii="宋体" w:hAnsi="宋体" w:cs="Arial"/>
          <w:sz w:val="24"/>
          <w:highlight w:val="none"/>
        </w:rPr>
        <w:t>结算方式</w:t>
      </w:r>
      <w:r>
        <w:rPr>
          <w:rFonts w:hint="eastAsia" w:ascii="宋体" w:hAnsi="宋体" w:cs="Arial"/>
          <w:sz w:val="24"/>
        </w:rPr>
        <w:t>甲方选择</w:t>
      </w:r>
      <w:r>
        <w:rPr>
          <w:rFonts w:hint="eastAsia" w:ascii="宋体" w:hAnsi="宋体" w:cs="Arial"/>
          <w:sz w:val="24"/>
          <w:lang w:val="en-US" w:eastAsia="zh-CN"/>
        </w:rPr>
        <w:t>按</w:t>
      </w:r>
      <w:r>
        <w:rPr>
          <w:rFonts w:hint="eastAsia" w:ascii="宋体" w:hAnsi="宋体" w:cs="Arial"/>
          <w:sz w:val="24"/>
          <w:u w:val="single"/>
          <w:lang w:val="en-US" w:eastAsia="zh-CN"/>
        </w:rPr>
        <w:t>项目</w:t>
      </w:r>
      <w:r>
        <w:rPr>
          <w:rFonts w:hint="eastAsia" w:ascii="宋体" w:hAnsi="宋体" w:cs="Arial"/>
          <w:sz w:val="24"/>
          <w:u w:val="single"/>
        </w:rPr>
        <w:t>实验结果结算。</w:t>
      </w:r>
      <w:r>
        <w:rPr>
          <w:rFonts w:hint="eastAsia" w:ascii="宋体" w:hAnsi="宋体" w:cs="Arial"/>
          <w:sz w:val="24"/>
        </w:rPr>
        <w:t>按</w:t>
      </w:r>
      <w:r>
        <w:rPr>
          <w:rFonts w:hint="eastAsia" w:ascii="宋体" w:hAnsi="宋体" w:cs="Arial"/>
          <w:sz w:val="24"/>
          <w:lang w:val="en-US" w:eastAsia="zh-CN"/>
        </w:rPr>
        <w:t>项目实验结果</w:t>
      </w:r>
      <w:r>
        <w:rPr>
          <w:rFonts w:hint="eastAsia" w:ascii="宋体" w:hAnsi="宋体" w:cs="Arial"/>
          <w:sz w:val="24"/>
        </w:rPr>
        <w:t>结算须在</w:t>
      </w:r>
      <w:r>
        <w:rPr>
          <w:rFonts w:hint="eastAsia" w:ascii="宋体" w:hAnsi="宋体" w:cs="Arial"/>
          <w:sz w:val="24"/>
          <w:lang w:val="en-US" w:eastAsia="zh-CN"/>
        </w:rPr>
        <w:t>完成所有</w:t>
      </w:r>
      <w:r>
        <w:rPr>
          <w:rFonts w:hint="eastAsia" w:ascii="宋体" w:hAnsi="宋体" w:cs="Arial"/>
          <w:sz w:val="24"/>
        </w:rPr>
        <w:t>实验结果反馈</w:t>
      </w:r>
      <w:r>
        <w:rPr>
          <w:rFonts w:hint="eastAsia" w:ascii="宋体" w:hAnsi="宋体" w:cs="Arial"/>
          <w:sz w:val="24"/>
          <w:lang w:val="en-US" w:eastAsia="zh-CN"/>
        </w:rPr>
        <w:t>且</w:t>
      </w:r>
      <w:r>
        <w:rPr>
          <w:rFonts w:hint="eastAsia" w:ascii="宋体" w:hAnsi="宋体" w:cs="Arial"/>
          <w:sz w:val="24"/>
        </w:rPr>
        <w:t>甲方</w:t>
      </w:r>
      <w:r>
        <w:rPr>
          <w:rFonts w:hint="eastAsia" w:ascii="宋体" w:hAnsi="宋体" w:cs="Arial"/>
          <w:sz w:val="24"/>
          <w:lang w:val="en-US" w:eastAsia="zh-CN"/>
        </w:rPr>
        <w:t>1</w:t>
      </w:r>
      <w:r>
        <w:rPr>
          <w:rFonts w:hint="eastAsia" w:ascii="宋体" w:hAnsi="宋体" w:cs="Arial"/>
          <w:sz w:val="24"/>
        </w:rPr>
        <w:t>5日</w:t>
      </w:r>
      <w:r>
        <w:rPr>
          <w:rFonts w:hint="eastAsia" w:ascii="宋体" w:hAnsi="宋体" w:cs="Arial"/>
          <w:sz w:val="24"/>
          <w:lang w:val="en-US" w:eastAsia="zh-CN"/>
        </w:rPr>
        <w:t>内</w:t>
      </w:r>
      <w:r>
        <w:rPr>
          <w:rFonts w:hint="eastAsia" w:ascii="宋体" w:hAnsi="宋体" w:cs="Arial"/>
          <w:sz w:val="24"/>
        </w:rPr>
        <w:t>无</w:t>
      </w:r>
      <w:r>
        <w:rPr>
          <w:rFonts w:hint="eastAsia" w:ascii="宋体" w:hAnsi="宋体" w:cs="Arial"/>
          <w:sz w:val="24"/>
          <w:lang w:val="en-US" w:eastAsia="zh-CN"/>
        </w:rPr>
        <w:t>疑议</w:t>
      </w:r>
      <w:r>
        <w:rPr>
          <w:rFonts w:hint="eastAsia" w:ascii="宋体" w:hAnsi="宋体" w:cs="Arial"/>
          <w:sz w:val="24"/>
        </w:rPr>
        <w:t>后进行结算。甲方逾期支付乙方检测服务费用的，每日按照未支付金额的千分之五承担违约金。</w:t>
      </w:r>
    </w:p>
    <w:p>
      <w:pPr>
        <w:numPr>
          <w:ilvl w:val="0"/>
          <w:numId w:val="8"/>
        </w:numPr>
        <w:tabs>
          <w:tab w:val="left" w:pos="540"/>
          <w:tab w:val="clear" w:pos="900"/>
        </w:tabs>
        <w:spacing w:before="156" w:beforeLines="50" w:line="440" w:lineRule="exact"/>
        <w:rPr>
          <w:rFonts w:hint="eastAsia" w:ascii="宋体" w:hAnsi="宋体" w:cs="Arial"/>
          <w:sz w:val="24"/>
        </w:rPr>
      </w:pPr>
      <w:r>
        <w:rPr>
          <w:rFonts w:ascii="宋体" w:hAnsi="宋体" w:cs="Arial"/>
          <w:sz w:val="24"/>
        </w:rPr>
        <w:t>项目延期责任：</w:t>
      </w:r>
    </w:p>
    <w:p>
      <w:pPr>
        <w:pStyle w:val="5"/>
        <w:framePr w:hSpace="0" w:wrap="auto" w:vAnchor="margin" w:hAnchor="text" w:xAlign="left" w:yAlign="inline"/>
        <w:numPr>
          <w:ilvl w:val="1"/>
          <w:numId w:val="8"/>
        </w:numPr>
        <w:tabs>
          <w:tab w:val="left" w:pos="1440"/>
          <w:tab w:val="clear" w:pos="1320"/>
        </w:tabs>
        <w:ind w:left="900" w:firstLine="0" w:firstLineChars="0"/>
        <w:rPr>
          <w:rFonts w:hint="eastAsia" w:ascii="宋体" w:eastAsia="宋体"/>
          <w:sz w:val="24"/>
        </w:rPr>
      </w:pPr>
      <w:r>
        <w:rPr>
          <w:rFonts w:hint="eastAsia" w:ascii="宋体" w:eastAsia="宋体"/>
          <w:sz w:val="24"/>
        </w:rPr>
        <w:t>如因乙方原因不能按时完成项目，由乙方承担责任。乙方应及时与甲方沟通协商项目延期方式。</w:t>
      </w:r>
    </w:p>
    <w:p>
      <w:pPr>
        <w:pStyle w:val="5"/>
        <w:framePr w:hSpace="0" w:wrap="auto" w:vAnchor="margin" w:hAnchor="text" w:xAlign="left" w:yAlign="inline"/>
        <w:numPr>
          <w:ilvl w:val="1"/>
          <w:numId w:val="8"/>
        </w:numPr>
        <w:tabs>
          <w:tab w:val="left" w:pos="1440"/>
          <w:tab w:val="clear" w:pos="1320"/>
        </w:tabs>
        <w:ind w:left="900" w:firstLine="0" w:firstLineChars="0"/>
        <w:rPr>
          <w:rFonts w:ascii="宋体" w:eastAsia="宋体"/>
          <w:sz w:val="24"/>
        </w:rPr>
      </w:pPr>
      <w:r>
        <w:rPr>
          <w:rFonts w:hint="eastAsia" w:ascii="宋体" w:eastAsia="宋体"/>
          <w:sz w:val="24"/>
        </w:rPr>
        <w:t>如因不可抗拒力导致的项目延误或不能继续履行时，双方均不承担责任。</w:t>
      </w:r>
    </w:p>
    <w:p>
      <w:pPr>
        <w:pStyle w:val="13"/>
        <w:spacing w:before="156" w:beforeLines="50"/>
        <w:rPr>
          <w:b/>
          <w:sz w:val="24"/>
        </w:rPr>
      </w:pPr>
      <w:r>
        <w:rPr>
          <w:rFonts w:hint="eastAsia"/>
          <w:b/>
          <w:sz w:val="24"/>
        </w:rPr>
        <w:t>五</w:t>
      </w:r>
      <w:r>
        <w:rPr>
          <w:b/>
          <w:sz w:val="24"/>
        </w:rPr>
        <w:t>、</w:t>
      </w:r>
      <w:r>
        <w:rPr>
          <w:rFonts w:hint="eastAsia"/>
          <w:b/>
          <w:sz w:val="24"/>
        </w:rPr>
        <w:t>验收标准及复检</w:t>
      </w:r>
    </w:p>
    <w:p>
      <w:pPr>
        <w:numPr>
          <w:ilvl w:val="0"/>
          <w:numId w:val="9"/>
        </w:numPr>
        <w:spacing w:before="156" w:beforeLines="50" w:line="440" w:lineRule="exact"/>
        <w:rPr>
          <w:rFonts w:ascii="宋体" w:hAnsi="宋体" w:cs="Arial"/>
          <w:sz w:val="24"/>
        </w:rPr>
      </w:pPr>
      <w:r>
        <w:rPr>
          <w:rFonts w:hint="eastAsia" w:ascii="宋体" w:hAnsi="宋体" w:cs="Arial"/>
          <w:sz w:val="24"/>
        </w:rPr>
        <w:t>甲方通过乙方提供的服务成果，上传至“国家致病菌识别网实验室检测信息系统”，如被驳回，乙方需免费重新进行检测并向甲方提交相关图谱等材料。</w:t>
      </w:r>
      <w:r>
        <w:rPr>
          <w:rFonts w:ascii="宋体" w:hAnsi="宋体" w:cs="Arial"/>
          <w:sz w:val="24"/>
        </w:rPr>
        <w:t xml:space="preserve"> </w:t>
      </w:r>
    </w:p>
    <w:p>
      <w:pPr>
        <w:pStyle w:val="13"/>
        <w:spacing w:before="156" w:beforeLines="50"/>
        <w:rPr>
          <w:rFonts w:hint="eastAsia"/>
          <w:b/>
          <w:sz w:val="24"/>
        </w:rPr>
      </w:pPr>
      <w:r>
        <w:rPr>
          <w:rFonts w:hint="eastAsia"/>
          <w:b/>
          <w:sz w:val="24"/>
        </w:rPr>
        <w:t>六</w:t>
      </w:r>
      <w:r>
        <w:rPr>
          <w:b/>
          <w:sz w:val="24"/>
        </w:rPr>
        <w:t>、</w:t>
      </w:r>
      <w:r>
        <w:rPr>
          <w:rFonts w:hint="eastAsia"/>
          <w:b/>
          <w:sz w:val="24"/>
        </w:rPr>
        <w:t>数据安全及保密</w:t>
      </w:r>
    </w:p>
    <w:p>
      <w:pPr>
        <w:numPr>
          <w:ilvl w:val="0"/>
          <w:numId w:val="10"/>
        </w:numPr>
        <w:spacing w:before="156" w:beforeLines="50" w:line="440" w:lineRule="exact"/>
        <w:rPr>
          <w:rFonts w:hint="eastAsia" w:ascii="宋体" w:hAnsi="宋体" w:cs="Arial"/>
          <w:sz w:val="24"/>
        </w:rPr>
      </w:pPr>
      <w:r>
        <w:rPr>
          <w:rFonts w:hint="eastAsia" w:ascii="宋体" w:hAnsi="宋体" w:cs="Arial"/>
          <w:sz w:val="24"/>
        </w:rPr>
        <w:t>甲、乙双方对协议履行过程中所获知的对方的资料、技术、信息、检测结果、商业秘密等承担永久保密义务。</w:t>
      </w:r>
    </w:p>
    <w:p>
      <w:pPr>
        <w:numPr>
          <w:ilvl w:val="0"/>
          <w:numId w:val="10"/>
        </w:numPr>
        <w:spacing w:before="156" w:beforeLines="50" w:line="440" w:lineRule="exact"/>
        <w:rPr>
          <w:rFonts w:ascii="宋体" w:hAnsi="宋体" w:cs="Arial"/>
          <w:sz w:val="24"/>
        </w:rPr>
      </w:pPr>
      <w:r>
        <w:rPr>
          <w:rFonts w:hint="eastAsia" w:ascii="宋体" w:hAnsi="宋体" w:cs="Arial"/>
          <w:sz w:val="24"/>
        </w:rPr>
        <w:t>服务项目完成后，乙方应将本服务所涉及的相关信息、数据、结果等通过硬盘传输方式交由甲方联系人。并为甲方免费保留12个月。在此期间，甲方有权在乙方配合下获得乙方备份的相关内容。12个月后无通知或12个月内甲方通知乙方，乙方应将上述备份信息予以销毁。</w:t>
      </w:r>
    </w:p>
    <w:p>
      <w:pPr>
        <w:numPr>
          <w:ilvl w:val="0"/>
          <w:numId w:val="10"/>
        </w:numPr>
        <w:spacing w:before="156" w:beforeLines="50" w:line="440" w:lineRule="exact"/>
        <w:rPr>
          <w:rFonts w:ascii="宋体" w:hAnsi="宋体" w:cs="Arial"/>
          <w:sz w:val="24"/>
        </w:rPr>
      </w:pPr>
      <w:r>
        <w:rPr>
          <w:rFonts w:hint="eastAsia" w:ascii="宋体" w:hAnsi="宋体" w:cs="Arial"/>
          <w:sz w:val="24"/>
        </w:rPr>
        <w:t>乙方数据采集（测序）过程，由专人负责实验及分析过程，设置一台或多台专用的国产仪器设备开展致病菌测序工作，防范进口仪器设备可能存在的预留后门、开放漏洞等隐患，数据采集仪器设备不接入外网。</w:t>
      </w:r>
    </w:p>
    <w:p>
      <w:pPr>
        <w:numPr>
          <w:ilvl w:val="0"/>
          <w:numId w:val="10"/>
        </w:numPr>
        <w:spacing w:before="156" w:beforeLines="50" w:line="440" w:lineRule="exact"/>
        <w:rPr>
          <w:rFonts w:ascii="宋体" w:hAnsi="宋体" w:cs="Arial"/>
          <w:sz w:val="24"/>
        </w:rPr>
      </w:pPr>
      <w:r>
        <w:rPr>
          <w:rFonts w:hint="eastAsia" w:ascii="宋体" w:hAnsi="宋体" w:cs="Arial"/>
          <w:sz w:val="24"/>
        </w:rPr>
        <w:t>乙方在数据保藏过程中，设置专用服务器存储致病菌数据，数据存储服务器不接入外网，不通过任何互联网的形式传输数据，不向任何组织或个人提供数据，对于部分特殊敏感数据进行加密处理。</w:t>
      </w:r>
    </w:p>
    <w:p>
      <w:pPr>
        <w:numPr>
          <w:ilvl w:val="0"/>
          <w:numId w:val="10"/>
        </w:numPr>
        <w:spacing w:before="156" w:beforeLines="50" w:line="440" w:lineRule="exact"/>
        <w:rPr>
          <w:rFonts w:ascii="宋体" w:hAnsi="宋体" w:cs="Arial"/>
          <w:sz w:val="24"/>
        </w:rPr>
      </w:pPr>
      <w:r>
        <w:rPr>
          <w:rFonts w:hint="eastAsia" w:ascii="宋体" w:hAnsi="宋体" w:cs="Arial"/>
          <w:sz w:val="24"/>
        </w:rPr>
        <w:t>乙方在数据利用过程中，设置专用服务器与PC机开展数据分析工作，所有数据分析工作均在本地与专用的局域网环境下进行并保证安全。</w:t>
      </w:r>
    </w:p>
    <w:p>
      <w:pPr>
        <w:numPr>
          <w:ilvl w:val="0"/>
          <w:numId w:val="10"/>
        </w:numPr>
        <w:spacing w:before="156" w:beforeLines="50" w:line="440" w:lineRule="exact"/>
        <w:rPr>
          <w:rFonts w:ascii="宋体" w:hAnsi="宋体" w:cs="Arial"/>
          <w:sz w:val="24"/>
        </w:rPr>
      </w:pPr>
      <w:r>
        <w:rPr>
          <w:rFonts w:hint="eastAsia" w:ascii="宋体" w:hAnsi="宋体" w:cs="Arial"/>
          <w:sz w:val="24"/>
        </w:rPr>
        <w:t>乙方安全承诺见附件1。</w:t>
      </w:r>
    </w:p>
    <w:p>
      <w:pPr>
        <w:spacing w:before="156" w:beforeLines="50" w:line="440" w:lineRule="exact"/>
        <w:rPr>
          <w:rFonts w:ascii="宋体" w:hAnsi="宋体" w:cs="Arial"/>
          <w:b/>
          <w:sz w:val="24"/>
        </w:rPr>
      </w:pPr>
      <w:r>
        <w:rPr>
          <w:rFonts w:hint="eastAsia" w:ascii="宋体" w:hAnsi="宋体" w:cs="Arial"/>
          <w:b/>
          <w:sz w:val="24"/>
        </w:rPr>
        <w:t>七</w:t>
      </w:r>
      <w:r>
        <w:rPr>
          <w:rFonts w:ascii="宋体" w:hAnsi="宋体" w:cs="Arial"/>
          <w:b/>
          <w:sz w:val="24"/>
        </w:rPr>
        <w:t>、</w:t>
      </w:r>
      <w:r>
        <w:rPr>
          <w:rFonts w:hint="eastAsia" w:ascii="宋体" w:hAnsi="宋体" w:cs="Arial"/>
          <w:b/>
          <w:sz w:val="24"/>
        </w:rPr>
        <w:t>运输安全</w:t>
      </w:r>
    </w:p>
    <w:p>
      <w:pPr>
        <w:numPr>
          <w:ilvl w:val="0"/>
          <w:numId w:val="11"/>
        </w:numPr>
        <w:spacing w:before="156" w:beforeLines="50" w:line="440" w:lineRule="exact"/>
        <w:ind w:left="851"/>
        <w:rPr>
          <w:rFonts w:ascii="宋体" w:hAnsi="宋体" w:cs="Arial"/>
          <w:bCs/>
          <w:sz w:val="24"/>
        </w:rPr>
      </w:pPr>
      <w:r>
        <w:rPr>
          <w:rFonts w:hint="eastAsia" w:ascii="宋体" w:hAnsi="宋体" w:cs="Arial"/>
          <w:bCs/>
          <w:sz w:val="24"/>
        </w:rPr>
        <w:t>准备好的标本（菌株或核酸）装在密封袋中，置于标本转运箱（运送温度视菌株而定），保持直立不倒。转运箱封闭前，须用75%乙醇喷雾消毒。标本要单独转运，不和其他物品混杂。</w:t>
      </w:r>
    </w:p>
    <w:p>
      <w:pPr>
        <w:numPr>
          <w:ilvl w:val="0"/>
          <w:numId w:val="11"/>
        </w:numPr>
        <w:spacing w:before="156" w:beforeLines="50" w:line="440" w:lineRule="exact"/>
        <w:ind w:left="851"/>
        <w:rPr>
          <w:rFonts w:ascii="宋体" w:hAnsi="宋体" w:cs="Arial"/>
          <w:bCs/>
          <w:sz w:val="24"/>
        </w:rPr>
      </w:pPr>
      <w:r>
        <w:rPr>
          <w:rFonts w:hint="eastAsia" w:ascii="宋体" w:hAnsi="宋体" w:cs="Arial"/>
          <w:bCs/>
          <w:sz w:val="24"/>
        </w:rPr>
        <w:t>乙方和甲方签订样本交接单，甲乙双方签字或盖公章确认，完成样本交接。</w:t>
      </w:r>
    </w:p>
    <w:p>
      <w:pPr>
        <w:numPr>
          <w:ilvl w:val="0"/>
          <w:numId w:val="11"/>
        </w:numPr>
        <w:spacing w:before="156" w:beforeLines="50" w:line="440" w:lineRule="exact"/>
        <w:ind w:left="851"/>
        <w:rPr>
          <w:rFonts w:hint="eastAsia" w:ascii="宋体" w:hAnsi="宋体" w:cs="Arial"/>
          <w:bCs/>
          <w:sz w:val="24"/>
        </w:rPr>
      </w:pPr>
      <w:r>
        <w:rPr>
          <w:rFonts w:hint="eastAsia" w:ascii="宋体" w:hAnsi="宋体" w:cs="Arial"/>
          <w:bCs/>
          <w:sz w:val="24"/>
        </w:rPr>
        <w:t>运输方将标本转运箱和相关信息安全运抵实验室。期间保持转运箱平稳，标本直立不倒，避免剧烈震荡、颠簸。不要自行打开转运箱。</w:t>
      </w:r>
    </w:p>
    <w:p>
      <w:pPr>
        <w:numPr>
          <w:ilvl w:val="0"/>
          <w:numId w:val="11"/>
        </w:numPr>
        <w:spacing w:before="156" w:beforeLines="50" w:line="440" w:lineRule="exact"/>
        <w:ind w:left="851"/>
        <w:rPr>
          <w:rFonts w:hint="eastAsia" w:ascii="宋体" w:hAnsi="宋体" w:cs="Arial"/>
          <w:bCs/>
          <w:sz w:val="24"/>
        </w:rPr>
      </w:pPr>
      <w:r>
        <w:rPr>
          <w:rFonts w:hint="eastAsia" w:ascii="宋体" w:hAnsi="宋体" w:cs="Arial"/>
          <w:bCs/>
          <w:sz w:val="24"/>
        </w:rPr>
        <w:t>转运期间如果发生意外，转运者不要自行处理转运箱。须和甲方说明情况，共同处理。</w:t>
      </w:r>
    </w:p>
    <w:p>
      <w:pPr>
        <w:numPr>
          <w:ilvl w:val="0"/>
          <w:numId w:val="11"/>
        </w:numPr>
        <w:spacing w:before="156" w:beforeLines="50" w:line="440" w:lineRule="exact"/>
        <w:ind w:left="851"/>
        <w:rPr>
          <w:rFonts w:ascii="宋体" w:hAnsi="宋体" w:cs="Arial"/>
          <w:bCs/>
          <w:sz w:val="24"/>
        </w:rPr>
      </w:pPr>
      <w:r>
        <w:rPr>
          <w:rFonts w:hint="eastAsia" w:ascii="宋体" w:hAnsi="宋体" w:cs="Arial"/>
          <w:bCs/>
          <w:sz w:val="24"/>
        </w:rPr>
        <w:t>外部转运：用内部专用车辆，并遵循相应法规管理。</w:t>
      </w:r>
    </w:p>
    <w:p>
      <w:pPr>
        <w:numPr>
          <w:ilvl w:val="0"/>
          <w:numId w:val="11"/>
        </w:numPr>
        <w:spacing w:before="156" w:beforeLines="50" w:line="440" w:lineRule="exact"/>
        <w:ind w:left="851"/>
        <w:rPr>
          <w:rFonts w:hint="eastAsia" w:ascii="宋体" w:hAnsi="宋体" w:cs="Arial"/>
          <w:bCs/>
          <w:sz w:val="24"/>
        </w:rPr>
      </w:pPr>
      <w:r>
        <w:rPr>
          <w:rFonts w:hint="eastAsia" w:ascii="宋体" w:hAnsi="宋体" w:cs="Arial"/>
          <w:bCs/>
          <w:sz w:val="24"/>
        </w:rPr>
        <w:t>实验室接收人员：接收时，确认转运箱标识。确认装箱前有消毒环节。</w:t>
      </w:r>
    </w:p>
    <w:p>
      <w:pPr>
        <w:numPr>
          <w:ilvl w:val="0"/>
          <w:numId w:val="11"/>
        </w:numPr>
        <w:spacing w:before="156" w:beforeLines="50" w:line="440" w:lineRule="exact"/>
        <w:ind w:left="851"/>
        <w:rPr>
          <w:rFonts w:hint="eastAsia" w:ascii="宋体" w:hAnsi="宋体" w:cs="Arial"/>
          <w:bCs/>
          <w:sz w:val="24"/>
        </w:rPr>
      </w:pPr>
      <w:r>
        <w:rPr>
          <w:rFonts w:hint="eastAsia" w:ascii="宋体" w:hAnsi="宋体" w:cs="Arial"/>
          <w:bCs/>
          <w:sz w:val="24"/>
        </w:rPr>
        <w:t>我司义务为甲方将菌株安全配送到省疾控中心交由识别网负责同志。如需运输，甲方应为乙方提供独立保存管安全保存的菌株。</w:t>
      </w:r>
    </w:p>
    <w:p>
      <w:pPr>
        <w:spacing w:before="156" w:beforeLines="50" w:line="440" w:lineRule="exact"/>
        <w:rPr>
          <w:rFonts w:hint="eastAsia" w:ascii="宋体" w:hAnsi="宋体" w:cs="Arial"/>
          <w:b/>
          <w:sz w:val="24"/>
        </w:rPr>
      </w:pPr>
      <w:r>
        <w:rPr>
          <w:rFonts w:hint="eastAsia" w:ascii="宋体" w:hAnsi="宋体" w:cs="Arial"/>
          <w:b/>
          <w:sz w:val="24"/>
        </w:rPr>
        <w:t>八</w:t>
      </w:r>
      <w:r>
        <w:rPr>
          <w:rFonts w:ascii="宋体" w:hAnsi="宋体" w:cs="Arial"/>
          <w:b/>
          <w:sz w:val="24"/>
        </w:rPr>
        <w:t>、</w:t>
      </w:r>
      <w:r>
        <w:rPr>
          <w:rFonts w:hint="eastAsia" w:ascii="宋体" w:hAnsi="宋体" w:cs="Arial"/>
          <w:b/>
          <w:sz w:val="24"/>
        </w:rPr>
        <w:t>知识产权</w:t>
      </w:r>
    </w:p>
    <w:p>
      <w:pPr>
        <w:tabs>
          <w:tab w:val="left" w:pos="1162"/>
        </w:tabs>
        <w:spacing w:before="156" w:beforeLines="50" w:line="440" w:lineRule="exact"/>
        <w:ind w:left="479" w:leftChars="228" w:firstLine="480" w:firstLineChars="200"/>
        <w:rPr>
          <w:rFonts w:ascii="宋体" w:hAnsi="宋体" w:cs="Arial"/>
          <w:sz w:val="24"/>
        </w:rPr>
      </w:pPr>
      <w:r>
        <w:rPr>
          <w:rFonts w:hint="eastAsia" w:ascii="宋体" w:hAnsi="宋体" w:cs="Arial"/>
          <w:sz w:val="24"/>
        </w:rPr>
        <w:t>因本协议所产生的技术服务成果和知识产权归甲方所有。</w:t>
      </w:r>
    </w:p>
    <w:p>
      <w:pPr>
        <w:spacing w:before="156" w:beforeLines="50" w:line="440" w:lineRule="exact"/>
        <w:rPr>
          <w:rFonts w:hint="eastAsia" w:ascii="宋体" w:hAnsi="宋体" w:cs="Arial"/>
          <w:b/>
          <w:sz w:val="24"/>
        </w:rPr>
      </w:pPr>
      <w:r>
        <w:rPr>
          <w:rFonts w:hint="eastAsia" w:ascii="宋体" w:hAnsi="宋体" w:cs="Arial"/>
          <w:b/>
          <w:sz w:val="24"/>
        </w:rPr>
        <w:t>九</w:t>
      </w:r>
      <w:r>
        <w:rPr>
          <w:rFonts w:ascii="宋体" w:hAnsi="宋体" w:cs="Arial"/>
          <w:b/>
          <w:sz w:val="24"/>
        </w:rPr>
        <w:t>、</w:t>
      </w:r>
      <w:r>
        <w:rPr>
          <w:rFonts w:hint="eastAsia" w:ascii="宋体" w:hAnsi="宋体" w:cs="Arial"/>
          <w:b/>
          <w:sz w:val="24"/>
        </w:rPr>
        <w:t>争议解决</w:t>
      </w:r>
    </w:p>
    <w:p>
      <w:pPr>
        <w:tabs>
          <w:tab w:val="left" w:pos="1162"/>
        </w:tabs>
        <w:spacing w:before="156" w:beforeLines="50" w:line="440" w:lineRule="exact"/>
        <w:ind w:left="479" w:leftChars="228" w:firstLine="480" w:firstLineChars="200"/>
        <w:rPr>
          <w:rFonts w:hint="eastAsia" w:ascii="宋体" w:hAnsi="宋体" w:cs="Arial"/>
          <w:sz w:val="24"/>
        </w:rPr>
      </w:pPr>
      <w:r>
        <w:rPr>
          <w:rFonts w:hint="eastAsia" w:ascii="宋体" w:hAnsi="宋体" w:cs="Arial"/>
          <w:sz w:val="24"/>
        </w:rPr>
        <w:t>本协议未尽事宜，由甲乙双方协商解决。如双方协商不成，可向原告所在地有管辖权的人民法院提起诉讼。</w:t>
      </w:r>
    </w:p>
    <w:p>
      <w:pPr>
        <w:spacing w:before="156" w:beforeLines="50" w:line="360" w:lineRule="auto"/>
        <w:rPr>
          <w:rFonts w:hint="eastAsia" w:ascii="宋体" w:hAnsi="宋体" w:cs="Arial"/>
          <w:b/>
          <w:sz w:val="24"/>
        </w:rPr>
      </w:pPr>
      <w:r>
        <w:rPr>
          <w:rFonts w:hint="eastAsia" w:ascii="宋体" w:hAnsi="宋体" w:cs="Arial"/>
          <w:b/>
          <w:sz w:val="24"/>
        </w:rPr>
        <w:t>十</w:t>
      </w:r>
      <w:r>
        <w:rPr>
          <w:rFonts w:ascii="宋体" w:hAnsi="宋体" w:cs="Arial"/>
          <w:b/>
          <w:sz w:val="24"/>
        </w:rPr>
        <w:t>、</w:t>
      </w:r>
      <w:r>
        <w:rPr>
          <w:rFonts w:hint="eastAsia" w:ascii="宋体" w:hAnsi="宋体" w:cs="Arial"/>
          <w:b/>
          <w:sz w:val="24"/>
        </w:rPr>
        <w:t>其他</w:t>
      </w:r>
    </w:p>
    <w:p>
      <w:pPr>
        <w:pStyle w:val="5"/>
        <w:framePr w:hSpace="0" w:wrap="auto" w:vAnchor="margin" w:hAnchor="text" w:xAlign="left" w:yAlign="inline"/>
        <w:numPr>
          <w:ilvl w:val="0"/>
          <w:numId w:val="12"/>
        </w:numPr>
        <w:ind w:firstLineChars="0"/>
        <w:rPr>
          <w:rFonts w:ascii="宋体" w:eastAsia="宋体" w:cs="Arial"/>
          <w:sz w:val="24"/>
        </w:rPr>
      </w:pPr>
      <w:r>
        <w:rPr>
          <w:rFonts w:hint="eastAsia" w:ascii="宋体" w:eastAsia="宋体" w:cs="Arial"/>
          <w:sz w:val="24"/>
        </w:rPr>
        <w:t>本协议自甲乙双方签字盖章之日起生效，有效期至</w:t>
      </w:r>
      <w:r>
        <w:rPr>
          <w:rFonts w:hint="eastAsia" w:ascii="宋体" w:eastAsia="宋体" w:cs="Arial"/>
          <w:sz w:val="24"/>
          <w:lang w:val="en-US" w:eastAsia="zh-CN"/>
        </w:rPr>
        <w:t xml:space="preserve"> 2022</w:t>
      </w:r>
      <w:r>
        <w:rPr>
          <w:rFonts w:hint="eastAsia" w:ascii="宋体" w:eastAsia="宋体" w:cs="Arial"/>
          <w:sz w:val="24"/>
          <w:highlight w:val="none"/>
        </w:rPr>
        <w:t>年</w:t>
      </w:r>
      <w:r>
        <w:rPr>
          <w:rFonts w:hint="eastAsia" w:ascii="宋体" w:eastAsia="宋体" w:cs="Arial"/>
          <w:sz w:val="24"/>
          <w:highlight w:val="none"/>
          <w:lang w:val="en-US" w:eastAsia="zh-CN"/>
        </w:rPr>
        <w:t xml:space="preserve"> 12</w:t>
      </w:r>
      <w:r>
        <w:rPr>
          <w:rFonts w:hint="eastAsia" w:ascii="宋体" w:eastAsia="宋体" w:cs="Arial"/>
          <w:sz w:val="24"/>
          <w:highlight w:val="none"/>
        </w:rPr>
        <w:t>月</w:t>
      </w:r>
      <w:r>
        <w:rPr>
          <w:rFonts w:hint="eastAsia" w:ascii="宋体" w:eastAsia="宋体" w:cs="Arial"/>
          <w:sz w:val="24"/>
          <w:highlight w:val="none"/>
          <w:lang w:val="en-US" w:eastAsia="zh-CN"/>
        </w:rPr>
        <w:t xml:space="preserve">31 </w:t>
      </w:r>
      <w:r>
        <w:rPr>
          <w:rFonts w:hint="eastAsia" w:ascii="宋体" w:eastAsia="宋体" w:cs="Arial"/>
          <w:sz w:val="24"/>
          <w:highlight w:val="none"/>
        </w:rPr>
        <w:t>日</w:t>
      </w:r>
      <w:r>
        <w:rPr>
          <w:rFonts w:hint="eastAsia" w:ascii="宋体" w:eastAsia="宋体" w:cs="Arial"/>
          <w:sz w:val="24"/>
        </w:rPr>
        <w:t>。</w:t>
      </w:r>
    </w:p>
    <w:p>
      <w:pPr>
        <w:pStyle w:val="5"/>
        <w:framePr w:hSpace="0" w:wrap="auto" w:vAnchor="margin" w:hAnchor="text" w:xAlign="left" w:yAlign="inline"/>
        <w:numPr>
          <w:ilvl w:val="0"/>
          <w:numId w:val="12"/>
        </w:numPr>
        <w:ind w:firstLineChars="0"/>
        <w:rPr>
          <w:rFonts w:ascii="宋体" w:eastAsia="宋体" w:cs="Arial"/>
          <w:sz w:val="24"/>
        </w:rPr>
      </w:pPr>
      <w:r>
        <w:rPr>
          <w:rFonts w:hint="eastAsia" w:ascii="宋体" w:eastAsia="宋体" w:cs="Arial"/>
          <w:sz w:val="24"/>
        </w:rPr>
        <w:t>本合同签订人所填写一切地址信息、传真、邮箱等联系方式，将作为通知、信件、法律文书等一切书面文件的送达地址。信息发生变动的，应于五个工作日书面提出，若按上述信息送达的相关文件无人签收或被拒绝签收，则文件退回之日视为送达之日。</w:t>
      </w:r>
    </w:p>
    <w:p>
      <w:pPr>
        <w:pStyle w:val="5"/>
        <w:framePr w:hSpace="0" w:wrap="auto" w:vAnchor="margin" w:hAnchor="text" w:xAlign="left" w:yAlign="inline"/>
        <w:numPr>
          <w:ilvl w:val="0"/>
          <w:numId w:val="12"/>
        </w:numPr>
        <w:ind w:firstLineChars="0"/>
        <w:rPr>
          <w:rFonts w:ascii="宋体" w:eastAsia="宋体" w:cs="Arial"/>
          <w:sz w:val="24"/>
        </w:rPr>
      </w:pPr>
      <w:r>
        <w:rPr>
          <w:rFonts w:hint="eastAsia" w:ascii="宋体" w:eastAsia="宋体" w:cs="Arial"/>
          <w:sz w:val="24"/>
        </w:rPr>
        <w:t>协议一式贰份，双方各执壹份，具有同等法律效力。</w:t>
      </w:r>
    </w:p>
    <w:p>
      <w:pPr>
        <w:pStyle w:val="5"/>
        <w:ind w:left="900" w:firstLine="0" w:firstLineChars="0"/>
        <w:rPr>
          <w:rFonts w:ascii="宋体" w:eastAsia="宋体" w:cs="Arial"/>
          <w:sz w:val="24"/>
        </w:rPr>
      </w:pPr>
      <w:r>
        <w:rPr>
          <w:rFonts w:hint="eastAsia" w:ascii="宋体" w:eastAsia="宋体" w:cs="Arial"/>
          <w:sz w:val="24"/>
        </w:rPr>
        <w:t>（以下无正文，为签字盖章页）</w:t>
      </w:r>
    </w:p>
    <w:p>
      <w:pPr>
        <w:pStyle w:val="5"/>
        <w:framePr w:hSpace="0" w:wrap="auto" w:vAnchor="margin" w:hAnchor="text" w:xAlign="left" w:yAlign="inline"/>
        <w:ind w:left="900" w:firstLine="0" w:firstLineChars="0"/>
        <w:jc w:val="center"/>
        <w:rPr>
          <w:rFonts w:ascii="宋体" w:eastAsia="宋体" w:cs="Arial"/>
          <w:sz w:val="24"/>
        </w:rPr>
      </w:pPr>
      <w:r>
        <w:rPr>
          <w:rFonts w:ascii="宋体" w:eastAsia="宋体" w:cs="Arial"/>
          <w:sz w:val="24"/>
        </w:rPr>
        <w:br w:type="page"/>
      </w:r>
      <w:r>
        <w:rPr>
          <w:rFonts w:hint="eastAsia" w:ascii="宋体" w:eastAsia="宋体" w:cs="Arial"/>
          <w:sz w:val="24"/>
        </w:rPr>
        <w:t>（以下无正文，为签字盖章页）</w:t>
      </w:r>
    </w:p>
    <w:p>
      <w:pPr>
        <w:pStyle w:val="5"/>
        <w:framePr w:hSpace="0" w:wrap="auto" w:vAnchor="margin" w:hAnchor="text" w:xAlign="left" w:yAlign="inline"/>
        <w:ind w:left="900" w:firstLine="0" w:firstLineChars="0"/>
        <w:rPr>
          <w:rFonts w:hint="eastAsia" w:ascii="宋体" w:eastAsia="宋体" w:cs="Arial"/>
          <w:sz w:val="24"/>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063"/>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391" w:type="dxa"/>
            <w:gridSpan w:val="3"/>
            <w:noWrap w:val="0"/>
            <w:vAlign w:val="center"/>
          </w:tcPr>
          <w:p>
            <w:pPr>
              <w:spacing w:line="360" w:lineRule="auto"/>
              <w:jc w:val="center"/>
              <w:rPr>
                <w:rFonts w:hint="eastAsia" w:ascii="宋体" w:hAnsi="宋体"/>
                <w:sz w:val="24"/>
              </w:rPr>
            </w:pPr>
            <w:r>
              <w:rPr>
                <w:rFonts w:hint="eastAsia" w:ascii="宋体" w:hAnsi="宋体"/>
                <w:b/>
                <w:bCs/>
                <w:sz w:val="24"/>
              </w:rPr>
              <w:t>委托人（甲方）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名    称</w:t>
            </w:r>
          </w:p>
        </w:tc>
        <w:tc>
          <w:tcPr>
            <w:tcW w:w="4063" w:type="dxa"/>
            <w:noWrap w:val="0"/>
            <w:vAlign w:val="center"/>
          </w:tcPr>
          <w:p>
            <w:pPr>
              <w:spacing w:line="360" w:lineRule="auto"/>
              <w:rPr>
                <w:rFonts w:hint="eastAsia"/>
                <w:sz w:val="24"/>
              </w:rPr>
            </w:pPr>
            <w:r>
              <w:rPr>
                <w:rFonts w:hint="eastAsia"/>
                <w:sz w:val="24"/>
                <w:lang w:eastAsia="zh-CN"/>
              </w:rPr>
              <w:t>牡丹江</w:t>
            </w:r>
            <w:r>
              <w:rPr>
                <w:rFonts w:hint="eastAsia"/>
                <w:sz w:val="24"/>
              </w:rPr>
              <w:t>市疾病预防控制中心</w:t>
            </w:r>
          </w:p>
        </w:tc>
        <w:tc>
          <w:tcPr>
            <w:tcW w:w="2881" w:type="dxa"/>
            <w:vMerge w:val="restart"/>
            <w:noWrap w:val="0"/>
            <w:vAlign w:val="top"/>
          </w:tcPr>
          <w:p>
            <w:pPr>
              <w:spacing w:line="360" w:lineRule="auto"/>
              <w:jc w:val="center"/>
              <w:rPr>
                <w:rFonts w:ascii="宋体" w:hAnsi="宋体"/>
                <w:sz w:val="24"/>
              </w:rPr>
            </w:pPr>
          </w:p>
          <w:p>
            <w:pPr>
              <w:spacing w:line="360" w:lineRule="auto"/>
              <w:jc w:val="center"/>
              <w:rPr>
                <w:rFonts w:hint="eastAsia" w:ascii="宋体" w:hAnsi="宋体"/>
                <w:sz w:val="24"/>
              </w:rPr>
            </w:pPr>
            <w:r>
              <w:rPr>
                <w:rFonts w:hint="eastAsia" w:ascii="宋体" w:hAnsi="宋体"/>
                <w:sz w:val="24"/>
              </w:rPr>
              <w:t>合同专用章</w:t>
            </w:r>
          </w:p>
          <w:p>
            <w:pPr>
              <w:spacing w:line="360" w:lineRule="auto"/>
              <w:jc w:val="center"/>
              <w:rPr>
                <w:rFonts w:hint="eastAsia" w:ascii="宋体" w:hAnsi="宋体"/>
                <w:sz w:val="24"/>
              </w:rPr>
            </w:pPr>
            <w:r>
              <w:rPr>
                <w:rFonts w:hint="eastAsia" w:ascii="宋体" w:hAnsi="宋体"/>
                <w:sz w:val="24"/>
              </w:rPr>
              <w:t>或单位公章</w:t>
            </w:r>
          </w:p>
          <w:p>
            <w:pPr>
              <w:spacing w:line="360" w:lineRule="auto"/>
              <w:jc w:val="center"/>
              <w:rPr>
                <w:rFonts w:hint="eastAsia" w:ascii="宋体" w:hAnsi="宋体"/>
                <w:sz w:val="24"/>
              </w:rPr>
            </w:pPr>
          </w:p>
          <w:p>
            <w:pPr>
              <w:spacing w:line="360" w:lineRule="auto"/>
              <w:jc w:val="center"/>
              <w:rPr>
                <w:rFonts w:hint="eastAsia" w:ascii="宋体" w:hAnsi="宋体"/>
                <w:sz w:val="24"/>
              </w:rPr>
            </w:pPr>
            <w:r>
              <w:rPr>
                <w:rFonts w:hint="eastAsia" w:ascii="宋体" w:hAnsi="宋体"/>
                <w:sz w:val="24"/>
                <w:highlight w:val="none"/>
                <w:lang w:val="en-US" w:eastAsia="zh-CN"/>
              </w:rPr>
              <w:t>2022</w:t>
            </w:r>
            <w:r>
              <w:rPr>
                <w:rFonts w:hint="eastAsia" w:ascii="宋体" w:hAnsi="宋体"/>
                <w:sz w:val="24"/>
                <w:highlight w:val="none"/>
              </w:rPr>
              <w:t>年</w:t>
            </w:r>
            <w:r>
              <w:rPr>
                <w:rFonts w:hint="eastAsia" w:ascii="宋体" w:hAnsi="宋体"/>
                <w:sz w:val="24"/>
                <w:highlight w:val="none"/>
                <w:lang w:val="en-US" w:eastAsia="zh-CN"/>
              </w:rPr>
              <w:t xml:space="preserve"> </w:t>
            </w:r>
            <w:r>
              <w:rPr>
                <w:rFonts w:hint="eastAsia" w:ascii="宋体" w:hAnsi="宋体"/>
                <w:sz w:val="24"/>
                <w:highlight w:val="none"/>
              </w:rPr>
              <w:t>月</w:t>
            </w:r>
            <w:r>
              <w:rPr>
                <w:rFonts w:hint="eastAsia" w:ascii="宋体" w:hAnsi="宋体"/>
                <w:sz w:val="24"/>
                <w:highlight w:val="none"/>
                <w:lang w:val="en-US" w:eastAsia="zh-CN"/>
              </w:rPr>
              <w:t xml:space="preserve"> </w:t>
            </w:r>
            <w:r>
              <w:rPr>
                <w:rFonts w:hint="eastAsia" w:ascii="宋体" w:hAnsi="宋体"/>
                <w:sz w:val="24"/>
                <w:highlight w:val="none"/>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lang w:val="en-US" w:eastAsia="zh-CN"/>
              </w:rPr>
              <w:t>负 责</w:t>
            </w:r>
            <w:r>
              <w:rPr>
                <w:rFonts w:hint="eastAsia" w:ascii="宋体" w:hAnsi="宋体"/>
                <w:sz w:val="24"/>
              </w:rPr>
              <w:t xml:space="preserve"> 人</w:t>
            </w:r>
          </w:p>
        </w:tc>
        <w:tc>
          <w:tcPr>
            <w:tcW w:w="4063" w:type="dxa"/>
            <w:noWrap w:val="0"/>
            <w:vAlign w:val="center"/>
          </w:tcPr>
          <w:p>
            <w:pPr>
              <w:spacing w:line="360" w:lineRule="auto"/>
              <w:ind w:right="480" w:firstLine="240" w:firstLineChars="100"/>
              <w:rPr>
                <w:rFonts w:hint="eastAsia" w:ascii="宋体" w:hAnsi="宋体"/>
                <w:sz w:val="24"/>
              </w:rPr>
            </w:pPr>
            <w:r>
              <w:rPr>
                <w:rFonts w:hint="eastAsia"/>
                <w:sz w:val="24"/>
                <w:lang w:eastAsia="zh-CN"/>
              </w:rPr>
              <w:t xml:space="preserve"> </w:t>
            </w:r>
            <w:r>
              <w:rPr>
                <w:rFonts w:hint="eastAsia" w:ascii="宋体" w:hAnsi="宋体"/>
                <w:sz w:val="24"/>
              </w:rPr>
              <w:t xml:space="preserve">      </w:t>
            </w:r>
            <w:r>
              <w:rPr>
                <w:rFonts w:hint="eastAsia" w:ascii="宋体" w:hAnsi="宋体"/>
                <w:sz w:val="24"/>
                <w:lang w:val="en-US" w:eastAsia="zh-CN"/>
              </w:rPr>
              <w:t xml:space="preserve">          </w:t>
            </w:r>
            <w:r>
              <w:rPr>
                <w:rFonts w:hint="eastAsia" w:ascii="宋体" w:hAnsi="宋体"/>
                <w:sz w:val="24"/>
              </w:rPr>
              <w:t>（签章）</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通讯地址</w:t>
            </w:r>
          </w:p>
        </w:tc>
        <w:tc>
          <w:tcPr>
            <w:tcW w:w="4063" w:type="dxa"/>
            <w:noWrap w:val="0"/>
            <w:vAlign w:val="center"/>
          </w:tcPr>
          <w:p>
            <w:pPr>
              <w:spacing w:line="360" w:lineRule="auto"/>
              <w:jc w:val="left"/>
              <w:rPr>
                <w:rFonts w:hint="eastAsia" w:ascii="宋体" w:hAnsi="宋体"/>
                <w:sz w:val="24"/>
              </w:rPr>
            </w:pPr>
            <w:r>
              <w:rPr>
                <w:rFonts w:hint="eastAsia"/>
                <w:sz w:val="24"/>
                <w:lang w:eastAsia="zh-CN"/>
              </w:rPr>
              <w:t>牡丹江市穆棱河路276号</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电    话</w:t>
            </w:r>
          </w:p>
        </w:tc>
        <w:tc>
          <w:tcPr>
            <w:tcW w:w="4063" w:type="dxa"/>
            <w:noWrap w:val="0"/>
            <w:vAlign w:val="center"/>
          </w:tcPr>
          <w:p>
            <w:pPr>
              <w:spacing w:line="360" w:lineRule="auto"/>
              <w:jc w:val="left"/>
              <w:rPr>
                <w:rFonts w:hint="eastAsia" w:ascii="宋体" w:hAnsi="宋体"/>
                <w:sz w:val="24"/>
              </w:rPr>
            </w:pP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邮    箱</w:t>
            </w:r>
          </w:p>
        </w:tc>
        <w:tc>
          <w:tcPr>
            <w:tcW w:w="4063" w:type="dxa"/>
            <w:noWrap w:val="0"/>
            <w:vAlign w:val="center"/>
          </w:tcPr>
          <w:p>
            <w:pPr>
              <w:spacing w:line="360" w:lineRule="auto"/>
              <w:jc w:val="left"/>
              <w:rPr>
                <w:rFonts w:hint="eastAsia" w:ascii="宋体" w:hAnsi="宋体"/>
                <w:sz w:val="24"/>
              </w:rPr>
            </w:pP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center"/>
              <w:rPr>
                <w:rFonts w:hint="eastAsia" w:ascii="宋体" w:hAnsi="宋体"/>
                <w:sz w:val="24"/>
              </w:rPr>
            </w:pPr>
            <w:r>
              <w:rPr>
                <w:rFonts w:hint="eastAsia" w:ascii="宋体" w:hAnsi="宋体"/>
                <w:sz w:val="24"/>
              </w:rPr>
              <w:t>开户银行</w:t>
            </w:r>
          </w:p>
        </w:tc>
        <w:tc>
          <w:tcPr>
            <w:tcW w:w="4063" w:type="dxa"/>
            <w:noWrap w:val="0"/>
            <w:vAlign w:val="center"/>
          </w:tcPr>
          <w:p>
            <w:pPr>
              <w:spacing w:line="360" w:lineRule="auto"/>
              <w:jc w:val="center"/>
              <w:rPr>
                <w:rFonts w:hint="default" w:ascii="宋体" w:hAnsi="宋体" w:eastAsia="宋体"/>
                <w:b/>
                <w:bCs/>
                <w:sz w:val="24"/>
                <w:lang w:val="en-US" w:eastAsia="zh-CN"/>
              </w:rPr>
            </w:pPr>
            <w:r>
              <w:rPr>
                <w:rFonts w:hint="eastAsia" w:ascii="宋体" w:hAnsi="宋体"/>
                <w:b/>
                <w:bCs/>
                <w:sz w:val="24"/>
                <w:lang w:val="en-US" w:eastAsia="zh-CN"/>
              </w:rPr>
              <w:t>中国银行股份有限公司牡丹江分行</w:t>
            </w:r>
          </w:p>
        </w:tc>
        <w:tc>
          <w:tcPr>
            <w:tcW w:w="2881" w:type="dxa"/>
            <w:vMerge w:val="continue"/>
            <w:noWrap w:val="0"/>
            <w:vAlign w:val="center"/>
          </w:tcPr>
          <w:p>
            <w:pPr>
              <w:spacing w:line="360" w:lineRule="auto"/>
              <w:jc w:val="center"/>
              <w:rPr>
                <w:rFonts w:hint="eastAsia"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center"/>
              <w:rPr>
                <w:rFonts w:hint="eastAsia" w:ascii="宋体" w:hAnsi="宋体"/>
                <w:sz w:val="24"/>
              </w:rPr>
            </w:pPr>
            <w:r>
              <w:rPr>
                <w:rFonts w:hint="eastAsia" w:ascii="宋体" w:hAnsi="宋体"/>
                <w:sz w:val="24"/>
              </w:rPr>
              <w:t xml:space="preserve">账 </w:t>
            </w:r>
            <w:r>
              <w:rPr>
                <w:rFonts w:ascii="宋体" w:hAnsi="宋体"/>
                <w:sz w:val="24"/>
              </w:rPr>
              <w:t xml:space="preserve">   </w:t>
            </w:r>
            <w:r>
              <w:rPr>
                <w:rFonts w:hint="eastAsia" w:ascii="宋体" w:hAnsi="宋体"/>
                <w:sz w:val="24"/>
              </w:rPr>
              <w:t>号</w:t>
            </w:r>
          </w:p>
        </w:tc>
        <w:tc>
          <w:tcPr>
            <w:tcW w:w="4063" w:type="dxa"/>
            <w:noWrap w:val="0"/>
            <w:vAlign w:val="center"/>
          </w:tcPr>
          <w:p>
            <w:pPr>
              <w:spacing w:line="360" w:lineRule="auto"/>
              <w:jc w:val="center"/>
              <w:rPr>
                <w:rFonts w:hint="eastAsia" w:ascii="宋体" w:hAnsi="宋体"/>
                <w:b/>
                <w:bCs/>
                <w:sz w:val="24"/>
              </w:rPr>
            </w:pPr>
            <w:r>
              <w:rPr>
                <w:rFonts w:hint="eastAsia" w:ascii="宋体" w:hAnsi="宋体"/>
                <w:b/>
                <w:bCs/>
                <w:sz w:val="24"/>
                <w:lang w:val="en-US" w:eastAsia="zh-CN"/>
              </w:rPr>
              <w:t>168952232616</w:t>
            </w:r>
          </w:p>
        </w:tc>
        <w:tc>
          <w:tcPr>
            <w:tcW w:w="2881" w:type="dxa"/>
            <w:vMerge w:val="continue"/>
            <w:noWrap w:val="0"/>
            <w:vAlign w:val="center"/>
          </w:tcPr>
          <w:p>
            <w:pPr>
              <w:spacing w:line="360" w:lineRule="auto"/>
              <w:jc w:val="center"/>
              <w:rPr>
                <w:rFonts w:hint="eastAsia" w:ascii="宋体" w:hAnsi="宋体"/>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391" w:type="dxa"/>
            <w:gridSpan w:val="3"/>
            <w:noWrap w:val="0"/>
            <w:vAlign w:val="center"/>
          </w:tcPr>
          <w:p>
            <w:pPr>
              <w:spacing w:line="360" w:lineRule="auto"/>
              <w:jc w:val="center"/>
              <w:rPr>
                <w:rFonts w:hint="eastAsia" w:ascii="宋体" w:hAnsi="宋体"/>
                <w:sz w:val="24"/>
              </w:rPr>
            </w:pPr>
            <w:r>
              <w:rPr>
                <w:rFonts w:hint="eastAsia" w:ascii="宋体" w:hAnsi="宋体"/>
                <w:b/>
                <w:bCs/>
                <w:sz w:val="24"/>
              </w:rPr>
              <w:t>受托人（乙方）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名    称</w:t>
            </w:r>
          </w:p>
        </w:tc>
        <w:tc>
          <w:tcPr>
            <w:tcW w:w="4063" w:type="dxa"/>
            <w:noWrap w:val="0"/>
            <w:vAlign w:val="center"/>
          </w:tcPr>
          <w:p>
            <w:pPr>
              <w:spacing w:line="360" w:lineRule="auto"/>
              <w:jc w:val="left"/>
              <w:rPr>
                <w:rFonts w:hint="eastAsia" w:ascii="宋体" w:hAnsi="宋体"/>
                <w:sz w:val="24"/>
              </w:rPr>
            </w:pPr>
            <w:r>
              <w:rPr>
                <w:rFonts w:hint="eastAsia" w:ascii="宋体" w:hAnsi="宋体"/>
                <w:sz w:val="24"/>
              </w:rPr>
              <w:t>哈尔滨星云医学检验所有限公司</w:t>
            </w:r>
          </w:p>
        </w:tc>
        <w:tc>
          <w:tcPr>
            <w:tcW w:w="2881" w:type="dxa"/>
            <w:vMerge w:val="restart"/>
            <w:noWrap w:val="0"/>
            <w:vAlign w:val="top"/>
          </w:tcPr>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hint="eastAsia" w:ascii="宋体" w:hAnsi="宋体"/>
                <w:sz w:val="24"/>
              </w:rPr>
            </w:pPr>
            <w:r>
              <w:rPr>
                <w:rFonts w:hint="eastAsia" w:ascii="宋体" w:hAnsi="宋体"/>
                <w:sz w:val="24"/>
              </w:rPr>
              <w:t>合同专用章</w:t>
            </w:r>
          </w:p>
          <w:p>
            <w:pPr>
              <w:spacing w:line="360" w:lineRule="auto"/>
              <w:jc w:val="center"/>
              <w:rPr>
                <w:rFonts w:hint="eastAsia" w:ascii="宋体" w:hAnsi="宋体"/>
                <w:sz w:val="24"/>
              </w:rPr>
            </w:pPr>
            <w:r>
              <w:rPr>
                <w:rFonts w:hint="eastAsia" w:ascii="宋体" w:hAnsi="宋体"/>
                <w:sz w:val="24"/>
              </w:rPr>
              <w:t>或单位公章</w:t>
            </w:r>
          </w:p>
          <w:p>
            <w:pPr>
              <w:spacing w:line="360" w:lineRule="auto"/>
              <w:jc w:val="center"/>
              <w:rPr>
                <w:rFonts w:hint="eastAsia" w:ascii="宋体" w:hAnsi="宋体"/>
                <w:sz w:val="24"/>
              </w:rPr>
            </w:pPr>
          </w:p>
          <w:p>
            <w:pPr>
              <w:spacing w:line="360" w:lineRule="auto"/>
              <w:jc w:val="center"/>
              <w:rPr>
                <w:rFonts w:hint="eastAsia" w:ascii="宋体" w:hAnsi="宋体"/>
                <w:sz w:val="24"/>
              </w:rPr>
            </w:pPr>
          </w:p>
          <w:p>
            <w:pPr>
              <w:spacing w:line="360" w:lineRule="auto"/>
              <w:rPr>
                <w:rFonts w:hint="eastAsia" w:ascii="宋体" w:hAnsi="宋体"/>
                <w:sz w:val="24"/>
              </w:rPr>
            </w:pPr>
            <w:r>
              <w:rPr>
                <w:rFonts w:hint="eastAsia" w:ascii="宋体" w:hAnsi="宋体"/>
                <w:sz w:val="24"/>
              </w:rPr>
              <w:t xml:space="preserve">    </w:t>
            </w:r>
            <w:r>
              <w:rPr>
                <w:rFonts w:ascii="宋体" w:hAnsi="宋体"/>
                <w:sz w:val="24"/>
                <w:highlight w:val="none"/>
              </w:rPr>
              <w:t>202</w:t>
            </w:r>
            <w:r>
              <w:rPr>
                <w:rFonts w:hint="eastAsia" w:ascii="宋体" w:hAnsi="宋体"/>
                <w:sz w:val="24"/>
                <w:highlight w:val="none"/>
                <w:lang w:val="en-US" w:eastAsia="zh-CN"/>
              </w:rPr>
              <w:t>2</w:t>
            </w:r>
            <w:r>
              <w:rPr>
                <w:rFonts w:hint="eastAsia" w:ascii="宋体" w:hAnsi="宋体"/>
                <w:sz w:val="24"/>
                <w:highlight w:val="none"/>
              </w:rPr>
              <w:t>年</w:t>
            </w:r>
            <w:r>
              <w:rPr>
                <w:rFonts w:hint="eastAsia" w:ascii="宋体" w:hAnsi="宋体"/>
                <w:sz w:val="24"/>
                <w:highlight w:val="none"/>
                <w:lang w:val="en-US" w:eastAsia="zh-CN"/>
              </w:rPr>
              <w:t xml:space="preserve"> </w:t>
            </w:r>
            <w:r>
              <w:rPr>
                <w:rFonts w:hint="eastAsia" w:ascii="宋体" w:hAnsi="宋体"/>
                <w:sz w:val="24"/>
                <w:highlight w:val="none"/>
              </w:rPr>
              <w:t>月</w:t>
            </w:r>
            <w:r>
              <w:rPr>
                <w:rFonts w:hint="eastAsia" w:ascii="宋体" w:hAnsi="宋体"/>
                <w:sz w:val="24"/>
                <w:highlight w:val="none"/>
                <w:lang w:val="en-US" w:eastAsia="zh-CN"/>
              </w:rPr>
              <w:t xml:space="preserve"> </w:t>
            </w:r>
            <w:r>
              <w:rPr>
                <w:rFonts w:hint="eastAsia" w:ascii="宋体" w:hAnsi="宋体"/>
                <w:sz w:val="24"/>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lang w:val="en-US" w:eastAsia="zh-CN"/>
              </w:rPr>
              <w:t>负 责</w:t>
            </w:r>
            <w:r>
              <w:rPr>
                <w:rFonts w:hint="eastAsia" w:ascii="宋体" w:hAnsi="宋体"/>
                <w:sz w:val="24"/>
              </w:rPr>
              <w:t xml:space="preserve"> 人</w:t>
            </w:r>
          </w:p>
        </w:tc>
        <w:tc>
          <w:tcPr>
            <w:tcW w:w="4063" w:type="dxa"/>
            <w:noWrap w:val="0"/>
            <w:vAlign w:val="center"/>
          </w:tcPr>
          <w:p>
            <w:pPr>
              <w:spacing w:line="360" w:lineRule="auto"/>
              <w:jc w:val="right"/>
              <w:rPr>
                <w:rFonts w:hint="eastAsia" w:ascii="宋体" w:hAnsi="宋体"/>
                <w:sz w:val="24"/>
              </w:rPr>
            </w:pPr>
            <w:r>
              <w:rPr>
                <w:rFonts w:hint="eastAsia" w:ascii="宋体" w:hAnsi="宋体"/>
                <w:sz w:val="24"/>
              </w:rPr>
              <w:t>（签章）</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通讯地址</w:t>
            </w:r>
          </w:p>
        </w:tc>
        <w:tc>
          <w:tcPr>
            <w:tcW w:w="4063" w:type="dxa"/>
            <w:noWrap w:val="0"/>
            <w:vAlign w:val="center"/>
          </w:tcPr>
          <w:p>
            <w:pPr>
              <w:spacing w:line="360" w:lineRule="auto"/>
              <w:jc w:val="left"/>
              <w:rPr>
                <w:rFonts w:hint="eastAsia" w:ascii="宋体" w:hAnsi="宋体"/>
                <w:sz w:val="24"/>
              </w:rPr>
            </w:pPr>
            <w:r>
              <w:rPr>
                <w:rFonts w:hint="eastAsia" w:ascii="宋体" w:hAnsi="宋体"/>
                <w:sz w:val="24"/>
              </w:rPr>
              <w:t>哈尔滨市平房区松花路9号中国云谷A10栋五层东侧</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邮    箱</w:t>
            </w:r>
          </w:p>
        </w:tc>
        <w:tc>
          <w:tcPr>
            <w:tcW w:w="4063" w:type="dxa"/>
            <w:noWrap w:val="0"/>
            <w:vAlign w:val="center"/>
          </w:tcPr>
          <w:p>
            <w:pPr>
              <w:spacing w:line="360" w:lineRule="auto"/>
              <w:jc w:val="left"/>
              <w:rPr>
                <w:rFonts w:hint="eastAsia" w:ascii="宋体" w:hAnsi="宋体"/>
                <w:sz w:val="24"/>
              </w:rPr>
            </w:pP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联系方式</w:t>
            </w:r>
          </w:p>
        </w:tc>
        <w:tc>
          <w:tcPr>
            <w:tcW w:w="4063" w:type="dxa"/>
            <w:noWrap w:val="0"/>
            <w:vAlign w:val="center"/>
          </w:tcPr>
          <w:p>
            <w:pPr>
              <w:spacing w:line="360" w:lineRule="auto"/>
              <w:jc w:val="left"/>
              <w:rPr>
                <w:rFonts w:hint="default" w:ascii="宋体" w:hAnsi="宋体" w:eastAsia="宋体"/>
                <w:sz w:val="24"/>
                <w:lang w:val="en-US" w:eastAsia="zh-CN"/>
              </w:rPr>
            </w:pPr>
            <w:r>
              <w:rPr>
                <w:rFonts w:hint="eastAsia" w:ascii="宋体" w:hAnsi="宋体"/>
                <w:sz w:val="24"/>
                <w:lang w:val="en-US" w:eastAsia="zh-CN"/>
              </w:rPr>
              <w:t>13304501917</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 xml:space="preserve">电 </w:t>
            </w:r>
            <w:r>
              <w:rPr>
                <w:rFonts w:ascii="宋体" w:hAnsi="宋体"/>
                <w:sz w:val="24"/>
              </w:rPr>
              <w:t xml:space="preserve">   </w:t>
            </w:r>
            <w:r>
              <w:rPr>
                <w:rFonts w:hint="eastAsia" w:ascii="宋体" w:hAnsi="宋体"/>
                <w:sz w:val="24"/>
              </w:rPr>
              <w:t>话</w:t>
            </w:r>
          </w:p>
        </w:tc>
        <w:tc>
          <w:tcPr>
            <w:tcW w:w="4063" w:type="dxa"/>
            <w:noWrap w:val="0"/>
            <w:vAlign w:val="center"/>
          </w:tcPr>
          <w:p>
            <w:pPr>
              <w:spacing w:line="360" w:lineRule="auto"/>
              <w:jc w:val="left"/>
              <w:rPr>
                <w:rFonts w:hint="eastAsia" w:ascii="宋体" w:hAnsi="宋体"/>
                <w:sz w:val="24"/>
              </w:rPr>
            </w:pP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开户银行</w:t>
            </w:r>
          </w:p>
        </w:tc>
        <w:tc>
          <w:tcPr>
            <w:tcW w:w="4063" w:type="dxa"/>
            <w:noWrap w:val="0"/>
            <w:vAlign w:val="center"/>
          </w:tcPr>
          <w:p>
            <w:pPr>
              <w:spacing w:line="360" w:lineRule="auto"/>
              <w:jc w:val="left"/>
              <w:rPr>
                <w:rFonts w:hint="default" w:ascii="宋体" w:hAnsi="宋体" w:eastAsia="宋体"/>
                <w:sz w:val="24"/>
                <w:lang w:val="en-US" w:eastAsia="zh-CN"/>
              </w:rPr>
            </w:pPr>
            <w:r>
              <w:rPr>
                <w:rFonts w:hint="eastAsia" w:ascii="宋体" w:hAnsi="宋体"/>
                <w:sz w:val="24"/>
                <w:lang w:val="en-US" w:eastAsia="zh-CN"/>
              </w:rPr>
              <w:t>上海浦东发展银行哈尔滨分行营业部</w:t>
            </w:r>
          </w:p>
        </w:tc>
        <w:tc>
          <w:tcPr>
            <w:tcW w:w="2881" w:type="dxa"/>
            <w:vMerge w:val="continue"/>
            <w:noWrap w:val="0"/>
            <w:vAlign w:val="top"/>
          </w:tcPr>
          <w:p>
            <w:pPr>
              <w:spacing w:line="360" w:lineRule="auto"/>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47" w:type="dxa"/>
            <w:noWrap w:val="0"/>
            <w:vAlign w:val="center"/>
          </w:tcPr>
          <w:p>
            <w:pPr>
              <w:spacing w:line="360" w:lineRule="auto"/>
              <w:jc w:val="left"/>
              <w:rPr>
                <w:rFonts w:hint="eastAsia" w:ascii="宋体" w:hAnsi="宋体"/>
                <w:sz w:val="24"/>
              </w:rPr>
            </w:pPr>
            <w:r>
              <w:rPr>
                <w:rFonts w:hint="eastAsia" w:ascii="宋体" w:hAnsi="宋体"/>
                <w:sz w:val="24"/>
              </w:rPr>
              <w:t>账   号</w:t>
            </w:r>
          </w:p>
        </w:tc>
        <w:tc>
          <w:tcPr>
            <w:tcW w:w="4063" w:type="dxa"/>
            <w:noWrap w:val="0"/>
            <w:vAlign w:val="center"/>
          </w:tcPr>
          <w:p>
            <w:pPr>
              <w:spacing w:line="360" w:lineRule="auto"/>
              <w:jc w:val="left"/>
              <w:rPr>
                <w:rFonts w:hint="default" w:ascii="宋体" w:hAnsi="宋体" w:eastAsia="宋体"/>
                <w:sz w:val="24"/>
                <w:lang w:val="en-US" w:eastAsia="zh-CN"/>
              </w:rPr>
            </w:pPr>
            <w:r>
              <w:rPr>
                <w:rFonts w:hint="eastAsia" w:ascii="宋体" w:hAnsi="宋体"/>
                <w:sz w:val="24"/>
                <w:lang w:val="en-US" w:eastAsia="zh-CN"/>
              </w:rPr>
              <w:t>65010078801600005042</w:t>
            </w:r>
          </w:p>
        </w:tc>
        <w:tc>
          <w:tcPr>
            <w:tcW w:w="2881" w:type="dxa"/>
            <w:vMerge w:val="continue"/>
            <w:noWrap w:val="0"/>
            <w:vAlign w:val="top"/>
          </w:tcPr>
          <w:p>
            <w:pPr>
              <w:spacing w:line="360" w:lineRule="auto"/>
              <w:rPr>
                <w:rFonts w:hint="eastAsia" w:ascii="宋体" w:hAnsi="宋体"/>
                <w:sz w:val="24"/>
              </w:rPr>
            </w:pPr>
          </w:p>
        </w:tc>
      </w:tr>
    </w:tbl>
    <w:p>
      <w:pPr>
        <w:spacing w:line="360" w:lineRule="auto"/>
        <w:ind w:firstLine="422" w:firstLineChars="200"/>
        <w:rPr>
          <w:b/>
        </w:rPr>
      </w:pPr>
      <w:r>
        <w:rPr>
          <w:b/>
        </w:rPr>
        <w:br w:type="page"/>
      </w:r>
    </w:p>
    <w:p>
      <w:pPr>
        <w:spacing w:line="360" w:lineRule="auto"/>
        <w:jc w:val="left"/>
        <w:rPr>
          <w:rFonts w:ascii="仿宋_GB2312" w:hAnsi="仿宋" w:eastAsia="仿宋_GB2312"/>
          <w:b/>
          <w:sz w:val="28"/>
          <w:szCs w:val="28"/>
        </w:rPr>
      </w:pPr>
      <w:r>
        <w:rPr>
          <w:rFonts w:hint="eastAsia" w:ascii="仿宋_GB2312" w:hAnsi="仿宋" w:eastAsia="仿宋_GB2312"/>
          <w:b/>
          <w:sz w:val="36"/>
          <w:szCs w:val="36"/>
        </w:rPr>
        <w:t xml:space="preserve">附件1   </w:t>
      </w:r>
      <w:r>
        <w:rPr>
          <w:rFonts w:ascii="仿宋_GB2312" w:hAnsi="仿宋" w:eastAsia="仿宋_GB2312"/>
          <w:b/>
          <w:sz w:val="28"/>
          <w:szCs w:val="28"/>
        </w:rPr>
        <w:t xml:space="preserve">        </w:t>
      </w:r>
    </w:p>
    <w:p>
      <w:pPr>
        <w:spacing w:line="360" w:lineRule="auto"/>
        <w:jc w:val="center"/>
        <w:rPr>
          <w:rStyle w:val="14"/>
          <w:rFonts w:hint="eastAsia"/>
        </w:rPr>
      </w:pPr>
      <w:r>
        <w:rPr>
          <w:rStyle w:val="14"/>
          <w:rFonts w:hint="eastAsia"/>
        </w:rPr>
        <w:t>安全保密承诺书</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哈尔滨星云医学检验所有限公司承诺在为</w:t>
      </w:r>
      <w:r>
        <w:rPr>
          <w:rFonts w:hint="eastAsia" w:ascii="仿宋" w:hAnsi="仿宋" w:eastAsia="仿宋" w:cs="仿宋"/>
          <w:sz w:val="32"/>
          <w:szCs w:val="32"/>
          <w:lang w:val="en-US" w:eastAsia="zh-CN"/>
        </w:rPr>
        <w:t>牡丹江市</w:t>
      </w:r>
      <w:r>
        <w:rPr>
          <w:rFonts w:hint="eastAsia" w:ascii="仿宋" w:hAnsi="仿宋" w:eastAsia="仿宋" w:cs="仿宋"/>
          <w:sz w:val="32"/>
          <w:szCs w:val="32"/>
        </w:rPr>
        <w:t>疾病预防控制中心服务过程中，严格按照《中华人民共和国传染病防治法》、《病原微生物实验室生物安全管理条款》、《可感染人类的高致病性病原微生物菌（毒）种或样本运输管理规定》、《人间传染的病原微生物菌（毒）种保藏机构管理办法》执行。实验操作严格按照《国家致病菌识别网实验室技术手册》最新版开展，避免造成污染。</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乙</w:t>
      </w:r>
      <w:r>
        <w:rPr>
          <w:rFonts w:hint="eastAsia" w:ascii="仿宋" w:hAnsi="仿宋" w:eastAsia="仿宋" w:cs="仿宋"/>
          <w:sz w:val="32"/>
          <w:szCs w:val="32"/>
        </w:rPr>
        <w:t xml:space="preserve">方对检测过程中所获知的对方的资料、技术、信息、检测结果等涉密材料承担永久保密义务。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上述承诺，仅适用于本技术服务协议。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w:t>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jc w:val="right"/>
        <w:rPr>
          <w:rFonts w:hint="eastAsia" w:ascii="仿宋" w:hAnsi="仿宋" w:eastAsia="仿宋" w:cs="仿宋"/>
          <w:sz w:val="32"/>
          <w:szCs w:val="32"/>
        </w:rPr>
      </w:pPr>
      <w:r>
        <w:rPr>
          <w:rFonts w:hint="eastAsia" w:ascii="仿宋" w:hAnsi="仿宋" w:eastAsia="仿宋" w:cs="仿宋"/>
          <w:sz w:val="32"/>
          <w:szCs w:val="32"/>
        </w:rPr>
        <w:t xml:space="preserve"> 哈尔滨星云医学检验所有限公司</w:t>
      </w:r>
    </w:p>
    <w:p>
      <w:pPr>
        <w:spacing w:line="360" w:lineRule="auto"/>
        <w:ind w:firstLine="640" w:firstLineChars="200"/>
        <w:rPr>
          <w:rFonts w:hint="eastAsia" w:ascii="仿宋" w:hAnsi="仿宋" w:eastAsia="仿宋" w:cs="仿宋"/>
          <w:sz w:val="32"/>
          <w:szCs w:val="32"/>
          <w:highlight w:val="yellow"/>
        </w:rPr>
      </w:pPr>
      <w:r>
        <w:rPr>
          <w:rFonts w:hint="eastAsia" w:ascii="仿宋" w:hAnsi="仿宋" w:eastAsia="仿宋" w:cs="仿宋"/>
          <w:sz w:val="32"/>
          <w:szCs w:val="32"/>
        </w:rPr>
        <w:t xml:space="preserve">                                 </w:t>
      </w:r>
      <w:r>
        <w:rPr>
          <w:rFonts w:hint="eastAsia" w:ascii="仿宋" w:hAnsi="仿宋" w:eastAsia="仿宋" w:cs="仿宋"/>
          <w:sz w:val="32"/>
          <w:szCs w:val="32"/>
          <w:highlight w:val="none"/>
        </w:rPr>
        <w:t xml:space="preserve"> 202</w:t>
      </w:r>
      <w:r>
        <w:rPr>
          <w:rFonts w:hint="eastAsia" w:ascii="仿宋" w:hAnsi="仿宋" w:eastAsia="仿宋" w:cs="仿宋"/>
          <w:sz w:val="32"/>
          <w:szCs w:val="32"/>
          <w:highlight w:val="none"/>
          <w:lang w:val="en-US" w:eastAsia="zh-CN"/>
        </w:rPr>
        <w:t>2</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日</w:t>
      </w: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spacing w:line="360" w:lineRule="auto"/>
        <w:ind w:firstLine="640" w:firstLineChars="200"/>
        <w:rPr>
          <w:rFonts w:hint="eastAsia" w:ascii="仿宋" w:hAnsi="仿宋" w:eastAsia="仿宋" w:cs="仿宋"/>
          <w:sz w:val="32"/>
          <w:szCs w:val="32"/>
        </w:rPr>
      </w:pPr>
    </w:p>
    <w:p>
      <w:pPr>
        <w:pStyle w:val="5"/>
        <w:framePr w:hSpace="0" w:wrap="auto" w:vAnchor="margin" w:hAnchor="text" w:xAlign="left" w:yAlign="inline"/>
        <w:ind w:firstLine="0" w:firstLineChars="0"/>
        <w:rPr>
          <w:rFonts w:hint="eastAsia" w:ascii="仿宋" w:hAnsi="仿宋" w:eastAsia="仿宋" w:cs="仿宋"/>
          <w:sz w:val="32"/>
          <w:szCs w:val="32"/>
        </w:rPr>
      </w:pPr>
    </w:p>
    <w:p>
      <w:pPr>
        <w:pStyle w:val="5"/>
        <w:framePr w:hSpace="0" w:wrap="auto" w:vAnchor="margin" w:hAnchor="text" w:xAlign="left" w:yAlign="inline"/>
        <w:ind w:firstLine="0" w:firstLineChars="0"/>
        <w:rPr>
          <w:rFonts w:hint="eastAsia" w:ascii="仿宋" w:hAnsi="仿宋" w:eastAsia="仿宋" w:cs="仿宋"/>
          <w:sz w:val="32"/>
          <w:szCs w:val="32"/>
        </w:rPr>
      </w:pPr>
    </w:p>
    <w:p>
      <w:pPr>
        <w:pStyle w:val="5"/>
        <w:framePr w:hSpace="0" w:wrap="auto" w:vAnchor="margin" w:hAnchor="text" w:xAlign="left" w:yAlign="inline"/>
        <w:ind w:firstLine="0" w:firstLineChars="0"/>
        <w:rPr>
          <w:rFonts w:hint="eastAsia" w:ascii="仿宋" w:hAnsi="仿宋" w:eastAsia="仿宋" w:cs="仿宋"/>
          <w:sz w:val="32"/>
          <w:szCs w:val="32"/>
        </w:rPr>
      </w:pPr>
    </w:p>
    <w:p>
      <w:pPr>
        <w:pStyle w:val="2"/>
        <w:rPr>
          <w:rFonts w:hint="eastAsia" w:ascii="仿宋_GB2312" w:hAnsi="仿宋" w:eastAsia="仿宋_GB2312"/>
          <w:b/>
          <w:sz w:val="36"/>
          <w:szCs w:val="36"/>
        </w:rPr>
      </w:pPr>
      <w:r>
        <w:rPr>
          <w:rFonts w:hint="eastAsia" w:ascii="仿宋_GB2312" w:hAnsi="仿宋" w:eastAsia="仿宋_GB2312"/>
          <w:b/>
          <w:sz w:val="36"/>
          <w:szCs w:val="36"/>
        </w:rPr>
        <w:t>附件</w:t>
      </w:r>
      <w:r>
        <w:rPr>
          <w:rFonts w:hint="eastAsia" w:ascii="仿宋_GB2312" w:hAnsi="仿宋" w:eastAsia="仿宋_GB2312"/>
          <w:b/>
          <w:sz w:val="36"/>
          <w:szCs w:val="36"/>
          <w:lang w:val="en-US" w:eastAsia="zh-CN"/>
        </w:rPr>
        <w:t>2</w:t>
      </w:r>
      <w:r>
        <w:rPr>
          <w:rFonts w:hint="eastAsia" w:ascii="仿宋_GB2312" w:hAnsi="仿宋" w:eastAsia="仿宋_GB2312"/>
          <w:b/>
          <w:sz w:val="36"/>
          <w:szCs w:val="36"/>
        </w:rPr>
        <w:t xml:space="preserve"> </w:t>
      </w:r>
      <w:r>
        <w:rPr>
          <w:rFonts w:hint="eastAsia" w:ascii="仿宋_GB2312" w:hAnsi="仿宋" w:eastAsia="仿宋_GB2312" w:cs="Times New Roman"/>
          <w:b/>
          <w:sz w:val="36"/>
          <w:szCs w:val="36"/>
          <w:lang w:val="en-US" w:eastAsia="zh-CN"/>
        </w:rPr>
        <w:t>资质</w:t>
      </w:r>
      <w:r>
        <w:rPr>
          <w:rFonts w:hint="eastAsia" w:ascii="仿宋_GB2312" w:hAnsi="仿宋" w:eastAsia="仿宋_GB2312"/>
          <w:b/>
          <w:sz w:val="36"/>
          <w:szCs w:val="36"/>
        </w:rPr>
        <w:t xml:space="preserve"> </w:t>
      </w:r>
    </w:p>
    <w:p>
      <w:pPr>
        <w:pStyle w:val="2"/>
        <w:rPr>
          <w:rFonts w:hint="eastAsia" w:ascii="仿宋_GB2312" w:hAnsi="仿宋" w:eastAsia="仿宋_GB2312"/>
          <w:b/>
          <w:sz w:val="36"/>
          <w:szCs w:val="36"/>
          <w:lang w:eastAsia="zh-CN"/>
        </w:rPr>
      </w:pPr>
      <w:r>
        <w:rPr>
          <w:rFonts w:hint="eastAsia" w:ascii="仿宋_GB2312" w:hAnsi="仿宋" w:eastAsia="仿宋_GB2312"/>
          <w:b/>
          <w:sz w:val="36"/>
          <w:szCs w:val="36"/>
          <w:lang w:eastAsia="zh-CN"/>
        </w:rPr>
        <w:drawing>
          <wp:inline distT="0" distB="0" distL="114300" distR="114300">
            <wp:extent cx="7622540" cy="5389880"/>
            <wp:effectExtent l="0" t="0" r="1270" b="16510"/>
            <wp:docPr id="1" name="图片 1" descr="营业执照2022.8.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2022.8.8_00"/>
                    <pic:cNvPicPr>
                      <a:picLocks noChangeAspect="1"/>
                    </pic:cNvPicPr>
                  </pic:nvPicPr>
                  <pic:blipFill>
                    <a:blip r:embed="rId7"/>
                    <a:stretch>
                      <a:fillRect/>
                    </a:stretch>
                  </pic:blipFill>
                  <pic:spPr>
                    <a:xfrm rot="16200000">
                      <a:off x="0" y="0"/>
                      <a:ext cx="7622540" cy="5389880"/>
                    </a:xfrm>
                    <a:prstGeom prst="rect">
                      <a:avLst/>
                    </a:prstGeom>
                  </pic:spPr>
                </pic:pic>
              </a:graphicData>
            </a:graphic>
          </wp:inline>
        </w:drawing>
      </w:r>
    </w:p>
    <w:p>
      <w:pPr>
        <w:pStyle w:val="2"/>
      </w:pPr>
    </w:p>
    <w:p>
      <w:pPr>
        <w:pStyle w:val="2"/>
      </w:pPr>
    </w:p>
    <w:p>
      <w:pPr>
        <w:pStyle w:val="2"/>
      </w:pPr>
    </w:p>
    <w:p>
      <w:pPr>
        <w:pStyle w:val="2"/>
      </w:pPr>
      <w:r>
        <w:rPr>
          <w:rFonts w:hint="eastAsia" w:ascii="宋体" w:hAnsi="宋体" w:eastAsia="宋体" w:cs="Times New Roman"/>
          <w:b/>
          <w:bCs w:val="0"/>
          <w:kern w:val="2"/>
          <w:sz w:val="32"/>
          <w:szCs w:val="32"/>
          <w:lang w:val="en-US" w:eastAsia="zh-CN" w:bidi="ar-SA"/>
        </w:rPr>
        <w:drawing>
          <wp:anchor distT="0" distB="0" distL="114300" distR="114300" simplePos="0" relativeHeight="251659264" behindDoc="0" locked="0" layoutInCell="1" allowOverlap="1">
            <wp:simplePos x="0" y="0"/>
            <wp:positionH relativeFrom="column">
              <wp:posOffset>450215</wp:posOffset>
            </wp:positionH>
            <wp:positionV relativeFrom="paragraph">
              <wp:posOffset>88900</wp:posOffset>
            </wp:positionV>
            <wp:extent cx="5172075" cy="6724650"/>
            <wp:effectExtent l="0" t="0" r="9525" b="1143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8"/>
                    <a:stretch>
                      <a:fillRect/>
                    </a:stretch>
                  </pic:blipFill>
                  <pic:spPr>
                    <a:xfrm>
                      <a:off x="0" y="0"/>
                      <a:ext cx="5172075" cy="6724650"/>
                    </a:xfrm>
                    <a:prstGeom prst="rect">
                      <a:avLst/>
                    </a:prstGeom>
                    <a:noFill/>
                    <a:ln>
                      <a:noFill/>
                    </a:ln>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tabs>
          <w:tab w:val="left" w:pos="285"/>
        </w:tabs>
        <w:wordWrap w:val="0"/>
        <w:adjustRightInd w:val="0"/>
        <w:snapToGrid w:val="0"/>
        <w:spacing w:line="360" w:lineRule="auto"/>
        <w:jc w:val="center"/>
        <w:rPr>
          <w:rFonts w:hint="eastAsia" w:ascii="宋体" w:hAnsi="宋体" w:eastAsia="宋体" w:cs="宋体"/>
          <w:snapToGrid w:val="0"/>
          <w:kern w:val="0"/>
          <w:sz w:val="30"/>
          <w:szCs w:val="30"/>
          <w:lang w:eastAsia="zh-CN"/>
        </w:rPr>
      </w:pPr>
      <w:r>
        <w:rPr>
          <w:rFonts w:hint="eastAsia" w:ascii="宋体" w:hAnsi="宋体" w:cs="宋体"/>
          <w:snapToGrid w:val="0"/>
          <w:kern w:val="0"/>
          <w:sz w:val="30"/>
          <w:szCs w:val="30"/>
        </w:rPr>
        <w:t>银行开户许可证（基本存款账户复印件）或银行开户相关证明</w:t>
      </w:r>
      <w:r>
        <w:rPr>
          <w:rFonts w:hint="eastAsia" w:ascii="宋体" w:hAnsi="宋体" w:eastAsia="宋体" w:cs="宋体"/>
          <w:snapToGrid w:val="0"/>
          <w:kern w:val="0"/>
          <w:sz w:val="30"/>
          <w:szCs w:val="30"/>
          <w:lang w:eastAsia="zh-CN"/>
        </w:rPr>
        <w:drawing>
          <wp:inline distT="0" distB="0" distL="114300" distR="114300">
            <wp:extent cx="5826760" cy="8241665"/>
            <wp:effectExtent l="0" t="0" r="2540" b="6985"/>
            <wp:docPr id="3" name="图片 3" descr="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户许可证"/>
                    <pic:cNvPicPr>
                      <a:picLocks noChangeAspect="1"/>
                    </pic:cNvPicPr>
                  </pic:nvPicPr>
                  <pic:blipFill>
                    <a:blip r:embed="rId9"/>
                    <a:stretch>
                      <a:fillRect/>
                    </a:stretch>
                  </pic:blipFill>
                  <pic:spPr>
                    <a:xfrm>
                      <a:off x="0" y="0"/>
                      <a:ext cx="5826760" cy="8241665"/>
                    </a:xfrm>
                    <a:prstGeom prst="rect">
                      <a:avLst/>
                    </a:prstGeom>
                  </pic:spPr>
                </pic:pic>
              </a:graphicData>
            </a:graphic>
          </wp:inline>
        </w:drawing>
      </w:r>
      <w:bookmarkStart w:id="0" w:name="_GoBack"/>
      <w:bookmarkEnd w:id="0"/>
    </w:p>
    <w:p>
      <w:pPr>
        <w:pStyle w:val="2"/>
      </w:pPr>
    </w:p>
    <w:p>
      <w:pPr>
        <w:pStyle w:val="2"/>
        <w:rPr>
          <w:rFonts w:hint="eastAsia" w:eastAsia="宋体"/>
          <w:lang w:eastAsia="zh-CN"/>
        </w:rPr>
      </w:pPr>
    </w:p>
    <w:p>
      <w:pPr>
        <w:pStyle w:val="2"/>
      </w:pPr>
    </w:p>
    <w:p>
      <w:pPr>
        <w:pStyle w:val="2"/>
      </w:pPr>
    </w:p>
    <w:p>
      <w:pPr>
        <w:pStyle w:val="2"/>
      </w:pPr>
    </w:p>
    <w:p>
      <w:pPr>
        <w:pStyle w:val="2"/>
      </w:pPr>
      <w:r>
        <w:drawing>
          <wp:inline distT="0" distB="0" distL="114300" distR="114300">
            <wp:extent cx="4171950" cy="5643245"/>
            <wp:effectExtent l="0" t="0" r="10795" b="381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0"/>
                    <a:stretch>
                      <a:fillRect/>
                    </a:stretch>
                  </pic:blipFill>
                  <pic:spPr>
                    <a:xfrm rot="5400000">
                      <a:off x="0" y="0"/>
                      <a:ext cx="4171950" cy="5643245"/>
                    </a:xfrm>
                    <a:prstGeom prst="rect">
                      <a:avLst/>
                    </a:prstGeom>
                    <a:noFill/>
                    <a:ln>
                      <a:noFill/>
                    </a:ln>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sectPr>
      <w:footerReference r:id="rId5" w:type="first"/>
      <w:footerReference r:id="rId3" w:type="default"/>
      <w:footerReference r:id="rId4" w:type="even"/>
      <w:pgSz w:w="11906" w:h="16838"/>
      <w:pgMar w:top="1418" w:right="1361" w:bottom="1361" w:left="1361"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2"/>
      </w:rPr>
    </w:pPr>
    <w:r>
      <w:fldChar w:fldCharType="begin"/>
    </w:r>
    <w:r>
      <w:rPr>
        <w:rStyle w:val="12"/>
      </w:rPr>
      <w:instrText xml:space="preserve">PAGE  </w:instrText>
    </w:r>
    <w:r>
      <w:fldChar w:fldCharType="separate"/>
    </w:r>
    <w:r>
      <w:rPr>
        <w:rStyle w:val="12"/>
      </w:rPr>
      <w:t>1</w:t>
    </w:r>
    <w:r>
      <w:fldChar w:fldCharType="end"/>
    </w:r>
  </w:p>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12"/>
      </w:rPr>
    </w:pPr>
    <w:r>
      <w:fldChar w:fldCharType="begin"/>
    </w:r>
    <w:r>
      <w:rPr>
        <w:rStyle w:val="12"/>
      </w:rPr>
      <w:instrText xml:space="preserve">PAGE  </w:instrText>
    </w:r>
    <w:r>
      <w:fldChar w:fldCharType="end"/>
    </w:r>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3006F"/>
    <w:multiLevelType w:val="singleLevel"/>
    <w:tmpl w:val="8123006F"/>
    <w:lvl w:ilvl="0" w:tentative="0">
      <w:start w:val="3"/>
      <w:numFmt w:val="chineseCounting"/>
      <w:suff w:val="nothing"/>
      <w:lvlText w:val="%1、"/>
      <w:lvlJc w:val="left"/>
      <w:rPr>
        <w:rFonts w:hint="eastAsia"/>
      </w:rPr>
    </w:lvl>
  </w:abstractNum>
  <w:abstractNum w:abstractNumId="1">
    <w:nsid w:val="03C71775"/>
    <w:multiLevelType w:val="multilevel"/>
    <w:tmpl w:val="03C71775"/>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320"/>
        </w:tabs>
        <w:ind w:left="1320" w:hanging="420"/>
      </w:pPr>
    </w:lvl>
    <w:lvl w:ilvl="2" w:tentative="0">
      <w:start w:val="1"/>
      <w:numFmt w:val="decimal"/>
      <w:lvlText w:val="（%3）"/>
      <w:lvlJc w:val="left"/>
      <w:pPr>
        <w:tabs>
          <w:tab w:val="left" w:pos="2040"/>
        </w:tabs>
        <w:ind w:left="2040" w:hanging="720"/>
      </w:pPr>
      <w:rPr>
        <w:rFonts w:hint="default"/>
      </w:r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04957566"/>
    <w:multiLevelType w:val="multilevel"/>
    <w:tmpl w:val="04957566"/>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3537360C"/>
    <w:multiLevelType w:val="multilevel"/>
    <w:tmpl w:val="3537360C"/>
    <w:lvl w:ilvl="0" w:tentative="0">
      <w:start w:val="1"/>
      <w:numFmt w:val="decimal"/>
      <w:lvlText w:val="（%1）"/>
      <w:lvlJc w:val="left"/>
      <w:pPr>
        <w:tabs>
          <w:tab w:val="left" w:pos="1604"/>
        </w:tabs>
        <w:ind w:left="16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4">
    <w:nsid w:val="3D176838"/>
    <w:multiLevelType w:val="multilevel"/>
    <w:tmpl w:val="3D176838"/>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4B216C3C"/>
    <w:multiLevelType w:val="multilevel"/>
    <w:tmpl w:val="4B216C3C"/>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4D656171"/>
    <w:multiLevelType w:val="multilevel"/>
    <w:tmpl w:val="4D656171"/>
    <w:lvl w:ilvl="0" w:tentative="0">
      <w:start w:val="1"/>
      <w:numFmt w:val="decimal"/>
      <w:lvlText w:val="%1."/>
      <w:lvlJc w:val="left"/>
      <w:pPr>
        <w:tabs>
          <w:tab w:val="left" w:pos="900"/>
        </w:tabs>
        <w:ind w:left="900" w:hanging="420"/>
      </w:pPr>
    </w:lvl>
    <w:lvl w:ilvl="1" w:tentative="0">
      <w:start w:val="1"/>
      <w:numFmt w:val="decimal"/>
      <w:lvlText w:val="%2）"/>
      <w:lvlJc w:val="left"/>
      <w:pPr>
        <w:tabs>
          <w:tab w:val="left" w:pos="1260"/>
        </w:tabs>
        <w:ind w:left="126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599D3067"/>
    <w:multiLevelType w:val="multilevel"/>
    <w:tmpl w:val="599D3067"/>
    <w:lvl w:ilvl="0" w:tentative="0">
      <w:start w:val="1"/>
      <w:numFmt w:val="decimal"/>
      <w:lvlText w:val="%1."/>
      <w:lvlJc w:val="left"/>
      <w:pPr>
        <w:tabs>
          <w:tab w:val="left" w:pos="900"/>
        </w:tabs>
        <w:ind w:left="900" w:hanging="420"/>
      </w:pPr>
      <w:rPr>
        <w:b w:val="0"/>
        <w:bCs/>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5F3E13E1"/>
    <w:multiLevelType w:val="multilevel"/>
    <w:tmpl w:val="5F3E13E1"/>
    <w:lvl w:ilvl="0" w:tentative="0">
      <w:start w:val="1"/>
      <w:numFmt w:val="decimal"/>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6FC119E6"/>
    <w:multiLevelType w:val="multilevel"/>
    <w:tmpl w:val="6FC119E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5E02A52"/>
    <w:multiLevelType w:val="singleLevel"/>
    <w:tmpl w:val="75E02A52"/>
    <w:lvl w:ilvl="0" w:tentative="0">
      <w:start w:val="1"/>
      <w:numFmt w:val="decimal"/>
      <w:suff w:val="nothing"/>
      <w:lvlText w:val="（%1）"/>
      <w:lvlJc w:val="left"/>
    </w:lvl>
  </w:abstractNum>
  <w:abstractNum w:abstractNumId="11">
    <w:nsid w:val="78FB198A"/>
    <w:multiLevelType w:val="multilevel"/>
    <w:tmpl w:val="78FB198A"/>
    <w:lvl w:ilvl="0" w:tentative="0">
      <w:start w:val="1"/>
      <w:numFmt w:val="decimal"/>
      <w:lvlText w:val="（%1）"/>
      <w:lvlJc w:val="left"/>
      <w:pPr>
        <w:tabs>
          <w:tab w:val="left" w:pos="1604"/>
        </w:tabs>
        <w:ind w:left="16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7"/>
  </w:num>
  <w:num w:numId="2">
    <w:abstractNumId w:val="10"/>
  </w:num>
  <w:num w:numId="3">
    <w:abstractNumId w:val="5"/>
  </w:num>
  <w:num w:numId="4">
    <w:abstractNumId w:val="3"/>
  </w:num>
  <w:num w:numId="5">
    <w:abstractNumId w:val="11"/>
  </w:num>
  <w:num w:numId="6">
    <w:abstractNumId w:val="0"/>
  </w:num>
  <w:num w:numId="7">
    <w:abstractNumId w:val="4"/>
  </w:num>
  <w:num w:numId="8">
    <w:abstractNumId w:val="1"/>
  </w:num>
  <w:num w:numId="9">
    <w:abstractNumId w:val="6"/>
  </w:num>
  <w:num w:numId="10">
    <w:abstractNumId w:val="2"/>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0YzMwODFhYzY2MDI2YjNhZWY2ZWZiNGU3ODA2ZDcifQ=="/>
  </w:docVars>
  <w:rsids>
    <w:rsidRoot w:val="3A5827EE"/>
    <w:rsid w:val="0C136410"/>
    <w:rsid w:val="127907C8"/>
    <w:rsid w:val="12BB7978"/>
    <w:rsid w:val="18091650"/>
    <w:rsid w:val="18B665B0"/>
    <w:rsid w:val="1E605B08"/>
    <w:rsid w:val="3A5827EE"/>
    <w:rsid w:val="412958D0"/>
    <w:rsid w:val="4A5418BC"/>
    <w:rsid w:val="4B1C39B5"/>
    <w:rsid w:val="4F9E3301"/>
    <w:rsid w:val="57D27F34"/>
    <w:rsid w:val="5B213223"/>
    <w:rsid w:val="61765B2B"/>
    <w:rsid w:val="67F930E0"/>
    <w:rsid w:val="6D9B06F1"/>
    <w:rsid w:val="6EA72F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4"/>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next w:val="1"/>
    <w:unhideWhenUsed/>
    <w:qFormat/>
    <w:uiPriority w:val="99"/>
    <w:pPr>
      <w:spacing w:after="120"/>
    </w:pPr>
  </w:style>
  <w:style w:type="paragraph" w:styleId="5">
    <w:name w:val="Body Text Indent"/>
    <w:basedOn w:val="1"/>
    <w:qFormat/>
    <w:uiPriority w:val="0"/>
    <w:pPr>
      <w:framePr w:hSpace="180" w:wrap="around" w:vAnchor="text" w:hAnchor="margin" w:x="213" w:y="331"/>
      <w:spacing w:line="520" w:lineRule="exact"/>
      <w:ind w:firstLine="700" w:firstLineChars="250"/>
    </w:pPr>
    <w:rPr>
      <w:rFonts w:ascii="华文仿宋" w:hAnsi="宋体" w:eastAsia="华文仿宋"/>
      <w:sz w:val="28"/>
    </w:rPr>
  </w:style>
  <w:style w:type="paragraph" w:styleId="6">
    <w:name w:val="footer"/>
    <w:basedOn w:val="1"/>
    <w:qFormat/>
    <w:uiPriority w:val="99"/>
    <w:pPr>
      <w:tabs>
        <w:tab w:val="center" w:pos="4153"/>
        <w:tab w:val="right" w:pos="8306"/>
      </w:tabs>
      <w:snapToGrid w:val="0"/>
      <w:jc w:val="left"/>
    </w:pPr>
    <w:rPr>
      <w:sz w:val="18"/>
      <w:szCs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2"/>
    <w:basedOn w:val="1"/>
    <w:next w:val="1"/>
    <w:qFormat/>
    <w:uiPriority w:val="39"/>
    <w:pPr>
      <w:ind w:left="420" w:leftChars="200"/>
    </w:pPr>
  </w:style>
  <w:style w:type="character" w:styleId="11">
    <w:name w:val="Strong"/>
    <w:basedOn w:val="10"/>
    <w:qFormat/>
    <w:uiPriority w:val="0"/>
    <w:rPr>
      <w:b/>
    </w:rPr>
  </w:style>
  <w:style w:type="character" w:styleId="12">
    <w:name w:val="page number"/>
    <w:basedOn w:val="10"/>
    <w:qFormat/>
    <w:uiPriority w:val="0"/>
  </w:style>
  <w:style w:type="paragraph" w:styleId="13">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14">
    <w:name w:val="标题 1 字符"/>
    <w:link w:val="4"/>
    <w:qFormat/>
    <w:uiPriority w:val="0"/>
    <w:rPr>
      <w:b/>
      <w:kern w:val="44"/>
      <w:sz w:val="44"/>
    </w:rPr>
  </w:style>
  <w:style w:type="table" w:customStyle="1" w:styleId="1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2022-09-19T09:02:00Z</dcterms:created>
  <dc:creator>huawei</dc:creator>
  <cp:lastModifiedBy>晓男</cp:lastModifiedBy>
  <dcterms:modified xsi:type="dcterms:W3CDTF">2022-09-23T05:51:09Z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BD5B30A0E4DA4EC7BB91CA82179E8836</vt:lpwstr>
  </property>
</Properties>
</file>